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05" w:type="dxa"/>
        <w:tblInd w:w="-277" w:type="dxa"/>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shd w:val="clear" w:color="auto" w:fill="CCE0DA"/>
        <w:tblLayout w:type="fixed"/>
        <w:tblCellMar>
          <w:left w:w="0" w:type="dxa"/>
          <w:right w:w="0" w:type="dxa"/>
        </w:tblCellMar>
        <w:tblLook w:val="01E0" w:firstRow="1" w:lastRow="1" w:firstColumn="1" w:lastColumn="1" w:noHBand="0" w:noVBand="0"/>
      </w:tblPr>
      <w:tblGrid>
        <w:gridCol w:w="8017"/>
        <w:gridCol w:w="62"/>
        <w:gridCol w:w="2084"/>
        <w:gridCol w:w="42"/>
      </w:tblGrid>
      <w:tr w:rsidR="00224658" w:rsidRPr="00CA74C4" w14:paraId="30685C20" w14:textId="77777777" w:rsidTr="00A90299">
        <w:trPr>
          <w:trHeight w:val="690"/>
        </w:trPr>
        <w:tc>
          <w:tcPr>
            <w:tcW w:w="8079" w:type="dxa"/>
            <w:gridSpan w:val="2"/>
            <w:shd w:val="clear" w:color="auto" w:fill="auto"/>
          </w:tcPr>
          <w:p w14:paraId="17C0BD28" w14:textId="3A79CDE2" w:rsidR="00224658" w:rsidRPr="00714EDE" w:rsidRDefault="00224658" w:rsidP="00274FFD">
            <w:pPr>
              <w:pStyle w:val="UNC2WGR"/>
            </w:pPr>
            <w:r w:rsidRPr="00224658">
              <w:t xml:space="preserve">UNC </w:t>
            </w:r>
            <w:r w:rsidR="00274FFD">
              <w:t>Workgroup Report</w:t>
            </w:r>
          </w:p>
        </w:tc>
        <w:tc>
          <w:tcPr>
            <w:tcW w:w="2126" w:type="dxa"/>
            <w:gridSpan w:val="2"/>
            <w:shd w:val="clear" w:color="auto" w:fill="auto"/>
          </w:tcPr>
          <w:p w14:paraId="5825778E" w14:textId="77777777" w:rsidR="00224658" w:rsidRPr="00224658" w:rsidRDefault="00224658" w:rsidP="00274FFD">
            <w:pPr>
              <w:pStyle w:val="UNCStage2"/>
            </w:pPr>
            <w:r w:rsidRPr="00224658">
              <w:t xml:space="preserve">At what stage is this </w:t>
            </w:r>
            <w:r w:rsidRPr="00714EDE">
              <w:t>document</w:t>
            </w:r>
            <w:r w:rsidRPr="00224658">
              <w:t xml:space="preserve"> in the process?</w:t>
            </w:r>
          </w:p>
        </w:tc>
      </w:tr>
      <w:tr w:rsidR="006F19E3" w:rsidRPr="00CA74C4" w14:paraId="04544137" w14:textId="77777777" w:rsidTr="00A90299">
        <w:trPr>
          <w:trHeight w:val="2725"/>
        </w:trPr>
        <w:tc>
          <w:tcPr>
            <w:tcW w:w="8079" w:type="dxa"/>
            <w:gridSpan w:val="2"/>
            <w:shd w:val="clear" w:color="auto" w:fill="auto"/>
          </w:tcPr>
          <w:p w14:paraId="2EA313CA" w14:textId="3FC2C1DC" w:rsidR="00E367F4" w:rsidRDefault="00E367F4" w:rsidP="007C1163">
            <w:pPr>
              <w:ind w:left="113" w:right="113"/>
              <w:rPr>
                <w:rFonts w:cs="Arial"/>
                <w:color w:val="008576"/>
                <w:sz w:val="80"/>
                <w:szCs w:val="80"/>
              </w:rPr>
            </w:pPr>
            <w:r>
              <w:rPr>
                <w:rFonts w:cs="Arial"/>
                <w:color w:val="008576"/>
                <w:sz w:val="80"/>
                <w:szCs w:val="80"/>
              </w:rPr>
              <w:t xml:space="preserve">UNC </w:t>
            </w:r>
            <w:r w:rsidR="006F19E3" w:rsidRPr="00CA74C4">
              <w:rPr>
                <w:rFonts w:cs="Arial"/>
                <w:color w:val="008576"/>
                <w:sz w:val="80"/>
                <w:szCs w:val="80"/>
              </w:rPr>
              <w:t>0</w:t>
            </w:r>
            <w:r w:rsidR="00632F18">
              <w:rPr>
                <w:rFonts w:cs="Arial"/>
                <w:color w:val="008576"/>
                <w:sz w:val="80"/>
                <w:szCs w:val="80"/>
              </w:rPr>
              <w:t>87</w:t>
            </w:r>
            <w:r w:rsidR="005C6FC0">
              <w:rPr>
                <w:rFonts w:cs="Arial"/>
                <w:color w:val="008576"/>
                <w:sz w:val="80"/>
                <w:szCs w:val="80"/>
              </w:rPr>
              <w:t>8</w:t>
            </w:r>
            <w:r w:rsidR="006F19E3" w:rsidRPr="00CA74C4">
              <w:rPr>
                <w:rFonts w:cs="Arial"/>
                <w:color w:val="008576"/>
                <w:sz w:val="80"/>
                <w:szCs w:val="80"/>
              </w:rPr>
              <w:t>:</w:t>
            </w:r>
          </w:p>
          <w:p w14:paraId="413AEFE5" w14:textId="1F995A78" w:rsidR="006F19E3" w:rsidRPr="00CA74C4" w:rsidRDefault="006626EC" w:rsidP="009B006E">
            <w:pPr>
              <w:ind w:left="113" w:right="113"/>
              <w:rPr>
                <w:rFonts w:cs="Arial"/>
                <w:i/>
                <w:color w:val="00B274"/>
                <w:sz w:val="24"/>
              </w:rPr>
            </w:pPr>
            <w:r>
              <w:rPr>
                <w:rFonts w:cs="Arial"/>
                <w:color w:val="008000"/>
                <w:sz w:val="48"/>
                <w:szCs w:val="48"/>
              </w:rPr>
              <w:t xml:space="preserve">Use of </w:t>
            </w:r>
            <w:r w:rsidR="009B006E" w:rsidRPr="009B006E">
              <w:rPr>
                <w:rFonts w:cs="Arial"/>
                <w:color w:val="008000"/>
                <w:sz w:val="48"/>
                <w:szCs w:val="48"/>
              </w:rPr>
              <w:t>E</w:t>
            </w:r>
            <w:r w:rsidR="00903695">
              <w:rPr>
                <w:rFonts w:cs="Arial"/>
                <w:color w:val="008000"/>
                <w:sz w:val="48"/>
                <w:szCs w:val="48"/>
              </w:rPr>
              <w:t>ntry</w:t>
            </w:r>
            <w:r w:rsidR="009B006E" w:rsidRPr="009B006E">
              <w:rPr>
                <w:rFonts w:cs="Arial"/>
                <w:color w:val="008000"/>
                <w:sz w:val="48"/>
                <w:szCs w:val="48"/>
              </w:rPr>
              <w:t xml:space="preserve"> Capacity Holding</w:t>
            </w:r>
            <w:r w:rsidR="00903695">
              <w:rPr>
                <w:rFonts w:cs="Arial"/>
                <w:color w:val="008000"/>
                <w:sz w:val="48"/>
                <w:szCs w:val="48"/>
              </w:rPr>
              <w:t>s</w:t>
            </w:r>
            <w:r w:rsidR="009B006E" w:rsidRPr="009B006E">
              <w:rPr>
                <w:rFonts w:cs="Arial"/>
                <w:color w:val="008000"/>
                <w:sz w:val="48"/>
                <w:szCs w:val="48"/>
              </w:rPr>
              <w:t xml:space="preserve"> at Easington </w:t>
            </w:r>
            <w:r>
              <w:rPr>
                <w:rFonts w:cs="Arial"/>
                <w:color w:val="008000"/>
                <w:sz w:val="48"/>
                <w:szCs w:val="48"/>
              </w:rPr>
              <w:t xml:space="preserve">at the </w:t>
            </w:r>
            <w:r w:rsidR="009B006E" w:rsidRPr="009B006E">
              <w:rPr>
                <w:rFonts w:cs="Arial"/>
                <w:color w:val="008000"/>
                <w:sz w:val="48"/>
                <w:szCs w:val="48"/>
              </w:rPr>
              <w:t>Rough Storage ASEP</w:t>
            </w:r>
            <w:r w:rsidR="00AB4598">
              <w:rPr>
                <w:rFonts w:cs="Arial"/>
                <w:color w:val="008000"/>
                <w:sz w:val="48"/>
                <w:szCs w:val="48"/>
              </w:rPr>
              <w:t xml:space="preserve"> in Winter 202</w:t>
            </w:r>
            <w:r w:rsidR="0077666F">
              <w:rPr>
                <w:rFonts w:cs="Arial"/>
                <w:color w:val="008000"/>
                <w:sz w:val="48"/>
                <w:szCs w:val="48"/>
              </w:rPr>
              <w:t>4</w:t>
            </w:r>
            <w:r w:rsidR="00AB4598">
              <w:rPr>
                <w:rFonts w:cs="Arial"/>
                <w:color w:val="008000"/>
                <w:sz w:val="48"/>
                <w:szCs w:val="48"/>
              </w:rPr>
              <w:t>/202</w:t>
            </w:r>
            <w:r w:rsidR="0077666F">
              <w:rPr>
                <w:rFonts w:cs="Arial"/>
                <w:color w:val="008000"/>
                <w:sz w:val="48"/>
                <w:szCs w:val="48"/>
              </w:rPr>
              <w:t>5</w:t>
            </w:r>
          </w:p>
        </w:tc>
        <w:tc>
          <w:tcPr>
            <w:tcW w:w="2126" w:type="dxa"/>
            <w:gridSpan w:val="2"/>
            <w:shd w:val="clear" w:color="auto" w:fill="auto"/>
          </w:tcPr>
          <w:p w14:paraId="0D11F0EC" w14:textId="75B9B0F2" w:rsidR="006F19E3" w:rsidRPr="00CA74C4" w:rsidRDefault="00274FFD" w:rsidP="008D7EFA">
            <w:pPr>
              <w:spacing w:line="240" w:lineRule="auto"/>
              <w:ind w:left="28" w:right="28"/>
              <w:jc w:val="center"/>
              <w:rPr>
                <w:rFonts w:cs="Arial"/>
                <w:color w:val="008576"/>
                <w:szCs w:val="20"/>
              </w:rPr>
            </w:pPr>
            <w:r w:rsidRPr="004D08C9">
              <w:rPr>
                <w:rFonts w:cs="Arial"/>
                <w:noProof/>
                <w:lang w:val="en-US"/>
              </w:rPr>
              <w:drawing>
                <wp:inline distT="0" distB="0" distL="0" distR="0" wp14:anchorId="6FC617A4" wp14:editId="1D85E5CB">
                  <wp:extent cx="1250315" cy="15240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0315" cy="1524000"/>
                          </a:xfrm>
                          <a:prstGeom prst="rect">
                            <a:avLst/>
                          </a:prstGeom>
                          <a:noFill/>
                          <a:ln>
                            <a:noFill/>
                          </a:ln>
                        </pic:spPr>
                      </pic:pic>
                    </a:graphicData>
                  </a:graphic>
                </wp:inline>
              </w:drawing>
            </w:r>
          </w:p>
        </w:tc>
      </w:tr>
      <w:tr w:rsidR="006F19E3" w:rsidRPr="00CA74C4" w14:paraId="0646B1A9" w14:textId="77777777" w:rsidTr="00A90299">
        <w:trPr>
          <w:trHeight w:val="828"/>
        </w:trPr>
        <w:tc>
          <w:tcPr>
            <w:tcW w:w="10205" w:type="dxa"/>
            <w:gridSpan w:val="4"/>
            <w:shd w:val="clear" w:color="auto" w:fill="auto"/>
          </w:tcPr>
          <w:p w14:paraId="2F56864A" w14:textId="77777777" w:rsidR="006F19E3" w:rsidRPr="00CA74C4" w:rsidRDefault="006F19E3" w:rsidP="007C1163">
            <w:pPr>
              <w:pStyle w:val="BodyText2"/>
              <w:ind w:left="113" w:right="113"/>
              <w:rPr>
                <w:rFonts w:cs="Arial"/>
                <w:i/>
                <w:color w:val="00B274"/>
                <w:sz w:val="24"/>
              </w:rPr>
            </w:pPr>
            <w:r w:rsidRPr="00CA74C4">
              <w:rPr>
                <w:rFonts w:cs="Arial"/>
                <w:b/>
                <w:sz w:val="24"/>
              </w:rPr>
              <w:t>Purpose of Modification:</w:t>
            </w:r>
            <w:r w:rsidRPr="00CA74C4">
              <w:rPr>
                <w:rFonts w:cs="Arial"/>
                <w:i/>
                <w:color w:val="00B274"/>
                <w:sz w:val="24"/>
              </w:rPr>
              <w:t xml:space="preserve"> </w:t>
            </w:r>
          </w:p>
          <w:p w14:paraId="256A9E46" w14:textId="7834605A" w:rsidR="006F19E3" w:rsidRPr="00CA74C4" w:rsidRDefault="009B006E" w:rsidP="009B006E">
            <w:pPr>
              <w:ind w:left="113" w:right="113"/>
              <w:rPr>
                <w:rFonts w:cs="Arial"/>
              </w:rPr>
            </w:pPr>
            <w:r>
              <w:rPr>
                <w:rFonts w:cs="Arial"/>
                <w:sz w:val="24"/>
              </w:rPr>
              <w:t xml:space="preserve">This </w:t>
            </w:r>
            <w:r w:rsidR="00F531DB">
              <w:rPr>
                <w:rFonts w:cs="Arial"/>
                <w:sz w:val="24"/>
              </w:rPr>
              <w:t>M</w:t>
            </w:r>
            <w:r>
              <w:rPr>
                <w:rFonts w:cs="Arial"/>
                <w:sz w:val="24"/>
              </w:rPr>
              <w:t>odification</w:t>
            </w:r>
            <w:r w:rsidR="00F531DB">
              <w:rPr>
                <w:rFonts w:cs="Arial"/>
                <w:sz w:val="24"/>
              </w:rPr>
              <w:t xml:space="preserve"> P</w:t>
            </w:r>
            <w:r>
              <w:rPr>
                <w:rFonts w:cs="Arial"/>
                <w:sz w:val="24"/>
              </w:rPr>
              <w:t>roposal will ensure e</w:t>
            </w:r>
            <w:r w:rsidR="00903695">
              <w:rPr>
                <w:rFonts w:cs="Arial"/>
                <w:sz w:val="24"/>
              </w:rPr>
              <w:t xml:space="preserve">ntry </w:t>
            </w:r>
            <w:r>
              <w:rPr>
                <w:rFonts w:cs="Arial"/>
                <w:sz w:val="24"/>
              </w:rPr>
              <w:t xml:space="preserve">capacity holdings at the Easington </w:t>
            </w:r>
            <w:r w:rsidR="00FD25E6">
              <w:rPr>
                <w:rFonts w:cs="Arial"/>
                <w:sz w:val="24"/>
              </w:rPr>
              <w:t>Aggregated System Entry Point (</w:t>
            </w:r>
            <w:r>
              <w:rPr>
                <w:rFonts w:cs="Arial"/>
                <w:sz w:val="24"/>
              </w:rPr>
              <w:t>ASEP</w:t>
            </w:r>
            <w:r w:rsidR="00FD25E6">
              <w:rPr>
                <w:rFonts w:cs="Arial"/>
                <w:sz w:val="24"/>
              </w:rPr>
              <w:t>)</w:t>
            </w:r>
            <w:r>
              <w:rPr>
                <w:rFonts w:cs="Arial"/>
                <w:sz w:val="24"/>
              </w:rPr>
              <w:t xml:space="preserve"> </w:t>
            </w:r>
            <w:r w:rsidR="006626EC">
              <w:rPr>
                <w:rFonts w:cs="Arial"/>
                <w:sz w:val="24"/>
              </w:rPr>
              <w:t xml:space="preserve">can </w:t>
            </w:r>
            <w:r>
              <w:rPr>
                <w:rFonts w:cs="Arial"/>
                <w:sz w:val="24"/>
              </w:rPr>
              <w:t>be utilised at the Rough Storage ASEP</w:t>
            </w:r>
            <w:r w:rsidR="006626EC">
              <w:rPr>
                <w:rFonts w:cs="Arial"/>
                <w:sz w:val="24"/>
              </w:rPr>
              <w:t xml:space="preserve"> during Winter 202</w:t>
            </w:r>
            <w:r w:rsidR="0077666F">
              <w:rPr>
                <w:rFonts w:cs="Arial"/>
                <w:sz w:val="24"/>
              </w:rPr>
              <w:t>4</w:t>
            </w:r>
            <w:r w:rsidR="006626EC">
              <w:rPr>
                <w:rFonts w:cs="Arial"/>
                <w:sz w:val="24"/>
              </w:rPr>
              <w:t>/2</w:t>
            </w:r>
            <w:r w:rsidR="0077666F">
              <w:rPr>
                <w:rFonts w:cs="Arial"/>
                <w:sz w:val="24"/>
              </w:rPr>
              <w:t>5</w:t>
            </w:r>
            <w:r w:rsidR="006626EC">
              <w:rPr>
                <w:rFonts w:cs="Arial"/>
                <w:sz w:val="24"/>
              </w:rPr>
              <w:t xml:space="preserve"> in the same wa</w:t>
            </w:r>
            <w:r w:rsidR="00016022">
              <w:rPr>
                <w:rFonts w:cs="Arial"/>
                <w:sz w:val="24"/>
              </w:rPr>
              <w:t>y</w:t>
            </w:r>
            <w:r w:rsidR="006626EC">
              <w:rPr>
                <w:rFonts w:cs="Arial"/>
                <w:sz w:val="24"/>
              </w:rPr>
              <w:t xml:space="preserve"> as they were during Winter 2022/23</w:t>
            </w:r>
            <w:r w:rsidR="0077666F">
              <w:rPr>
                <w:rFonts w:cs="Arial"/>
                <w:sz w:val="24"/>
              </w:rPr>
              <w:t xml:space="preserve"> and Winter 2023</w:t>
            </w:r>
            <w:r w:rsidR="00603A78">
              <w:rPr>
                <w:rFonts w:cs="Arial"/>
                <w:sz w:val="24"/>
              </w:rPr>
              <w:t>/24</w:t>
            </w:r>
            <w:r>
              <w:rPr>
                <w:rFonts w:cs="Arial"/>
                <w:sz w:val="24"/>
              </w:rPr>
              <w:t>.</w:t>
            </w:r>
            <w:r w:rsidR="00903695">
              <w:rPr>
                <w:rFonts w:cs="Arial"/>
                <w:sz w:val="24"/>
              </w:rPr>
              <w:t xml:space="preserve"> An enhancement has been proposed to permit any User which secures Rough Storage Capacity </w:t>
            </w:r>
            <w:r w:rsidR="007F5280">
              <w:rPr>
                <w:rFonts w:cs="Arial"/>
                <w:sz w:val="24"/>
              </w:rPr>
              <w:t>can</w:t>
            </w:r>
            <w:r w:rsidR="00903695">
              <w:rPr>
                <w:rFonts w:cs="Arial"/>
                <w:sz w:val="24"/>
              </w:rPr>
              <w:t xml:space="preserve"> redesignate Easington Entry Capacity to the Rough ASEP</w:t>
            </w:r>
            <w:r w:rsidR="004C316C">
              <w:rPr>
                <w:rFonts w:cs="Arial"/>
                <w:sz w:val="24"/>
              </w:rPr>
              <w:t>.</w:t>
            </w:r>
          </w:p>
        </w:tc>
      </w:tr>
      <w:tr w:rsidR="00A90299" w:rsidRPr="00CA74C4" w14:paraId="73D35762" w14:textId="77777777" w:rsidTr="00C143A7">
        <w:trPr>
          <w:trHeight w:val="1911"/>
        </w:trPr>
        <w:tc>
          <w:tcPr>
            <w:tcW w:w="10205" w:type="dxa"/>
            <w:gridSpan w:val="4"/>
            <w:shd w:val="clear" w:color="auto" w:fill="auto"/>
          </w:tcPr>
          <w:p w14:paraId="611A45C8" w14:textId="77777777" w:rsidR="00A90299" w:rsidRPr="008F727E" w:rsidRDefault="00A90299" w:rsidP="00491D53">
            <w:pPr>
              <w:pStyle w:val="BodyText2"/>
              <w:ind w:left="113" w:right="113"/>
              <w:rPr>
                <w:rFonts w:cs="Arial"/>
                <w:b/>
                <w:sz w:val="24"/>
              </w:rPr>
            </w:pPr>
            <w:r w:rsidRPr="008F727E">
              <w:rPr>
                <w:rFonts w:cs="Arial"/>
                <w:b/>
                <w:sz w:val="24"/>
              </w:rPr>
              <w:t>Next Steps</w:t>
            </w:r>
            <w:r>
              <w:rPr>
                <w:rFonts w:cs="Arial"/>
                <w:b/>
                <w:sz w:val="24"/>
              </w:rPr>
              <w:t>:</w:t>
            </w:r>
          </w:p>
          <w:p w14:paraId="61A1FA93" w14:textId="6D6DECA1" w:rsidR="00C143A7" w:rsidRPr="00C143A7" w:rsidRDefault="00C143A7" w:rsidP="00C143A7">
            <w:pPr>
              <w:pStyle w:val="BodyText3"/>
              <w:ind w:left="113" w:right="113"/>
              <w:rPr>
                <w:rFonts w:cs="Arial"/>
              </w:rPr>
            </w:pPr>
            <w:r w:rsidRPr="00EB32BB">
              <w:t xml:space="preserve">The </w:t>
            </w:r>
            <w:r>
              <w:t>Workgroup</w:t>
            </w:r>
            <w:r w:rsidRPr="00EB32BB">
              <w:t xml:space="preserve"> recommends that this </w:t>
            </w:r>
            <w:r w:rsidRPr="00C143A7">
              <w:t xml:space="preserve">Modification should not be </w:t>
            </w:r>
            <w:r w:rsidRPr="00C143A7">
              <w:rPr>
                <w:rFonts w:cs="Arial"/>
              </w:rPr>
              <w:t>subject to Self-Governance</w:t>
            </w:r>
          </w:p>
          <w:p w14:paraId="1E16B651" w14:textId="717E55D0" w:rsidR="00C143A7" w:rsidRPr="00C143A7" w:rsidRDefault="00C143A7" w:rsidP="00C143A7">
            <w:pPr>
              <w:pStyle w:val="BodyText3"/>
              <w:ind w:left="113" w:right="113"/>
              <w:rPr>
                <w:rFonts w:cs="Arial"/>
              </w:rPr>
            </w:pPr>
            <w:r w:rsidRPr="00C143A7">
              <w:rPr>
                <w:rFonts w:cs="Arial"/>
              </w:rPr>
              <w:t>The Workgroup asks Panel to agree that this Modification should proceed to consultation.</w:t>
            </w:r>
          </w:p>
          <w:p w14:paraId="75F930D5" w14:textId="6AEFD437" w:rsidR="00A90299" w:rsidRPr="00AD5C29" w:rsidRDefault="00C143A7" w:rsidP="00C143A7">
            <w:pPr>
              <w:pStyle w:val="BodyText3"/>
              <w:ind w:left="113" w:right="113"/>
              <w:rPr>
                <w:rFonts w:cs="Arial"/>
              </w:rPr>
            </w:pPr>
            <w:r w:rsidRPr="00C143A7">
              <w:rPr>
                <w:rFonts w:cs="Arial"/>
              </w:rPr>
              <w:t>The Panel will consider this Workgroup Report on 18 July 2024.  The Panel will consider the recommendations and determine the appropriate next steps.</w:t>
            </w:r>
          </w:p>
        </w:tc>
      </w:tr>
      <w:tr w:rsidR="00A90299" w:rsidRPr="00CA74C4" w14:paraId="17236E80" w14:textId="77777777" w:rsidTr="00632F18">
        <w:trPr>
          <w:trHeight w:val="1409"/>
        </w:trPr>
        <w:tc>
          <w:tcPr>
            <w:tcW w:w="10205" w:type="dxa"/>
            <w:gridSpan w:val="4"/>
            <w:shd w:val="clear" w:color="auto" w:fill="auto"/>
          </w:tcPr>
          <w:p w14:paraId="0DCC3C1F" w14:textId="77777777" w:rsidR="00A90299" w:rsidRPr="00A90299" w:rsidRDefault="00A90299" w:rsidP="004E4E97">
            <w:pPr>
              <w:pStyle w:val="BodyText2"/>
              <w:ind w:left="113" w:right="113"/>
              <w:rPr>
                <w:rFonts w:cs="Arial"/>
                <w:i/>
                <w:color w:val="00B274"/>
                <w:sz w:val="24"/>
              </w:rPr>
            </w:pPr>
            <w:r w:rsidRPr="0093726B">
              <w:rPr>
                <w:rFonts w:cs="Arial"/>
                <w:b/>
                <w:sz w:val="24"/>
              </w:rPr>
              <w:t xml:space="preserve">Impacted Parties: </w:t>
            </w:r>
          </w:p>
          <w:p w14:paraId="6F2B2BEE" w14:textId="5C166C60" w:rsidR="00A90299" w:rsidRPr="0093726B" w:rsidRDefault="00A90299" w:rsidP="00A90299">
            <w:pPr>
              <w:pStyle w:val="BodyText3"/>
              <w:ind w:left="113" w:right="113"/>
              <w:rPr>
                <w:szCs w:val="24"/>
              </w:rPr>
            </w:pPr>
            <w:r w:rsidRPr="0093726B">
              <w:rPr>
                <w:szCs w:val="24"/>
              </w:rPr>
              <w:t>High:</w:t>
            </w:r>
            <w:r w:rsidR="004E4E97">
              <w:rPr>
                <w:szCs w:val="24"/>
              </w:rPr>
              <w:t xml:space="preserve"> Centrica </w:t>
            </w:r>
            <w:r w:rsidR="00773463">
              <w:rPr>
                <w:szCs w:val="24"/>
              </w:rPr>
              <w:t xml:space="preserve">Storage </w:t>
            </w:r>
            <w:r w:rsidR="007B21CC">
              <w:rPr>
                <w:szCs w:val="24"/>
              </w:rPr>
              <w:t>Limited</w:t>
            </w:r>
            <w:r w:rsidR="00903695">
              <w:rPr>
                <w:szCs w:val="24"/>
              </w:rPr>
              <w:t xml:space="preserve"> and Rough Shippers</w:t>
            </w:r>
          </w:p>
          <w:p w14:paraId="6D3EA3EB" w14:textId="480F66AE" w:rsidR="00A90299" w:rsidRPr="00632F18" w:rsidRDefault="00A90299" w:rsidP="00632F18">
            <w:pPr>
              <w:pStyle w:val="BodyText3"/>
              <w:ind w:left="113" w:right="113"/>
              <w:rPr>
                <w:szCs w:val="24"/>
              </w:rPr>
            </w:pPr>
            <w:r w:rsidRPr="0093726B">
              <w:rPr>
                <w:szCs w:val="24"/>
              </w:rPr>
              <w:t>Low:</w:t>
            </w:r>
            <w:r w:rsidR="004E4E97">
              <w:rPr>
                <w:szCs w:val="24"/>
              </w:rPr>
              <w:t xml:space="preserve"> National Gas</w:t>
            </w:r>
            <w:r w:rsidR="00C4388A">
              <w:rPr>
                <w:szCs w:val="24"/>
              </w:rPr>
              <w:t xml:space="preserve"> Transmission</w:t>
            </w:r>
            <w:r w:rsidR="004E4E97">
              <w:rPr>
                <w:szCs w:val="24"/>
              </w:rPr>
              <w:t xml:space="preserve">, </w:t>
            </w:r>
            <w:r w:rsidR="004C316C">
              <w:rPr>
                <w:szCs w:val="24"/>
              </w:rPr>
              <w:t>other</w:t>
            </w:r>
            <w:r w:rsidR="00903695">
              <w:rPr>
                <w:szCs w:val="24"/>
              </w:rPr>
              <w:t xml:space="preserve"> </w:t>
            </w:r>
            <w:r w:rsidR="004E4E97">
              <w:rPr>
                <w:szCs w:val="24"/>
              </w:rPr>
              <w:t>Shippers</w:t>
            </w:r>
          </w:p>
        </w:tc>
      </w:tr>
      <w:tr w:rsidR="00A90299" w:rsidRPr="00CA74C4" w14:paraId="19B53B25" w14:textId="77777777" w:rsidTr="00A90299">
        <w:trPr>
          <w:trHeight w:val="582"/>
        </w:trPr>
        <w:tc>
          <w:tcPr>
            <w:tcW w:w="10205" w:type="dxa"/>
            <w:gridSpan w:val="4"/>
            <w:shd w:val="clear" w:color="auto" w:fill="auto"/>
          </w:tcPr>
          <w:p w14:paraId="4552EF5A" w14:textId="77777777" w:rsidR="00A90299" w:rsidRPr="00CA74C4" w:rsidRDefault="00A90299" w:rsidP="004E4E97">
            <w:pPr>
              <w:pStyle w:val="BodyText2"/>
              <w:ind w:left="113" w:right="113"/>
              <w:rPr>
                <w:rFonts w:cs="Arial"/>
              </w:rPr>
            </w:pPr>
            <w:r w:rsidRPr="0093726B">
              <w:rPr>
                <w:rFonts w:cs="Arial"/>
                <w:b/>
                <w:sz w:val="24"/>
              </w:rPr>
              <w:t xml:space="preserve">Impacted Codes: </w:t>
            </w:r>
            <w:r w:rsidR="004E4E97" w:rsidRPr="004E4E97">
              <w:rPr>
                <w:rFonts w:cs="Arial"/>
                <w:sz w:val="24"/>
              </w:rPr>
              <w:t>None.</w:t>
            </w:r>
          </w:p>
        </w:tc>
      </w:tr>
      <w:tr w:rsidR="00F10E14" w:rsidRPr="00CA74C4" w14:paraId="73812426" w14:textId="77777777" w:rsidTr="002C4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Look w:val="04A0" w:firstRow="1" w:lastRow="0" w:firstColumn="1" w:lastColumn="0" w:noHBand="0" w:noVBand="1"/>
        </w:tblPrEx>
        <w:trPr>
          <w:gridAfter w:val="1"/>
          <w:wAfter w:w="42" w:type="dxa"/>
          <w:trHeight w:val="617"/>
        </w:trPr>
        <w:tc>
          <w:tcPr>
            <w:tcW w:w="8017"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299682BF" w14:textId="77777777" w:rsidR="00F10E14" w:rsidRPr="00CA74C4" w:rsidRDefault="00F10E14" w:rsidP="00761C07">
            <w:pPr>
              <w:pStyle w:val="Contents02"/>
              <w:rPr>
                <w:noProof/>
              </w:rPr>
            </w:pPr>
            <w:r w:rsidRPr="00CA74C4">
              <w:rPr>
                <w:noProof/>
              </w:rPr>
              <w:lastRenderedPageBreak/>
              <w:t>Contents</w:t>
            </w:r>
          </w:p>
          <w:p w14:paraId="18FC07BF" w14:textId="27EB2DDE" w:rsidR="00761C07" w:rsidRPr="00761C07" w:rsidRDefault="00F10E14" w:rsidP="00761C07">
            <w:pPr>
              <w:pStyle w:val="TOCContents02WGR"/>
              <w:rPr>
                <w:rFonts w:eastAsiaTheme="minorEastAsia"/>
              </w:rPr>
            </w:pPr>
            <w:r w:rsidRPr="00CA74C4">
              <w:rPr>
                <w:rFonts w:cs="Arial"/>
              </w:rPr>
              <w:fldChar w:fldCharType="begin"/>
            </w:r>
            <w:r w:rsidRPr="00CA74C4">
              <w:rPr>
                <w:rFonts w:cs="Arial"/>
              </w:rPr>
              <w:instrText xml:space="preserve"> TOC \o "1-1" </w:instrText>
            </w:r>
            <w:r w:rsidRPr="00CA74C4">
              <w:rPr>
                <w:rFonts w:cs="Arial"/>
              </w:rPr>
              <w:fldChar w:fldCharType="separate"/>
            </w:r>
            <w:r w:rsidR="00761C07">
              <w:t>1</w:t>
            </w:r>
            <w:r w:rsidR="00761C07">
              <w:rPr>
                <w:rFonts w:asciiTheme="minorHAnsi" w:eastAsiaTheme="minorEastAsia" w:hAnsiTheme="minorHAnsi" w:cstheme="minorBidi"/>
                <w:color w:val="auto"/>
                <w:kern w:val="2"/>
                <w14:ligatures w14:val="standardContextual"/>
              </w:rPr>
              <w:tab/>
            </w:r>
            <w:r w:rsidR="00761C07" w:rsidRPr="00761C07">
              <w:t>Summary</w:t>
            </w:r>
            <w:r w:rsidR="00761C07" w:rsidRPr="00761C07">
              <w:tab/>
            </w:r>
            <w:r w:rsidR="00761C07" w:rsidRPr="00761C07">
              <w:fldChar w:fldCharType="begin"/>
            </w:r>
            <w:r w:rsidR="00761C07" w:rsidRPr="00761C07">
              <w:instrText xml:space="preserve"> PAGEREF _Toc169090690 \h </w:instrText>
            </w:r>
            <w:r w:rsidR="00761C07" w:rsidRPr="00761C07">
              <w:fldChar w:fldCharType="separate"/>
            </w:r>
            <w:r w:rsidR="0054544B">
              <w:t>3</w:t>
            </w:r>
            <w:r w:rsidR="00761C07" w:rsidRPr="00761C07">
              <w:fldChar w:fldCharType="end"/>
            </w:r>
          </w:p>
          <w:p w14:paraId="17C1DC5E" w14:textId="5970FEEA" w:rsidR="00761C07" w:rsidRPr="00761C07" w:rsidRDefault="00761C07" w:rsidP="00761C07">
            <w:pPr>
              <w:pStyle w:val="TOCContents02WGR"/>
              <w:rPr>
                <w:rFonts w:eastAsiaTheme="minorEastAsia"/>
              </w:rPr>
            </w:pPr>
            <w:r w:rsidRPr="00761C07">
              <w:t>2</w:t>
            </w:r>
            <w:r w:rsidRPr="00761C07">
              <w:rPr>
                <w:rFonts w:eastAsiaTheme="minorEastAsia"/>
              </w:rPr>
              <w:tab/>
            </w:r>
            <w:r w:rsidRPr="00761C07">
              <w:t>Governance</w:t>
            </w:r>
            <w:r w:rsidRPr="00761C07">
              <w:tab/>
            </w:r>
            <w:r w:rsidRPr="00761C07">
              <w:fldChar w:fldCharType="begin"/>
            </w:r>
            <w:r w:rsidRPr="00761C07">
              <w:instrText xml:space="preserve"> PAGEREF _Toc169090691 \h </w:instrText>
            </w:r>
            <w:r w:rsidRPr="00761C07">
              <w:fldChar w:fldCharType="separate"/>
            </w:r>
            <w:r w:rsidR="0054544B">
              <w:t>4</w:t>
            </w:r>
            <w:r w:rsidRPr="00761C07">
              <w:fldChar w:fldCharType="end"/>
            </w:r>
          </w:p>
          <w:p w14:paraId="032FBB8C" w14:textId="42A26312" w:rsidR="00761C07" w:rsidRPr="00761C07" w:rsidRDefault="00761C07" w:rsidP="00761C07">
            <w:pPr>
              <w:pStyle w:val="TOCContents02WGR"/>
              <w:rPr>
                <w:rFonts w:eastAsiaTheme="minorEastAsia"/>
              </w:rPr>
            </w:pPr>
            <w:r w:rsidRPr="00761C07">
              <w:t>3</w:t>
            </w:r>
            <w:r w:rsidRPr="00761C07">
              <w:rPr>
                <w:rFonts w:eastAsiaTheme="minorEastAsia"/>
              </w:rPr>
              <w:tab/>
            </w:r>
            <w:r w:rsidRPr="00761C07">
              <w:t>Why Change?</w:t>
            </w:r>
            <w:r w:rsidRPr="00761C07">
              <w:tab/>
            </w:r>
            <w:r w:rsidRPr="00761C07">
              <w:fldChar w:fldCharType="begin"/>
            </w:r>
            <w:r w:rsidRPr="00761C07">
              <w:instrText xml:space="preserve"> PAGEREF _Toc169090692 \h </w:instrText>
            </w:r>
            <w:r w:rsidRPr="00761C07">
              <w:fldChar w:fldCharType="separate"/>
            </w:r>
            <w:r w:rsidR="0054544B">
              <w:t>5</w:t>
            </w:r>
            <w:r w:rsidRPr="00761C07">
              <w:fldChar w:fldCharType="end"/>
            </w:r>
          </w:p>
          <w:p w14:paraId="593AA294" w14:textId="4D908F65" w:rsidR="00761C07" w:rsidRPr="00761C07" w:rsidRDefault="00761C07" w:rsidP="00761C07">
            <w:pPr>
              <w:pStyle w:val="TOCContents02WGR"/>
              <w:rPr>
                <w:rFonts w:eastAsiaTheme="minorEastAsia"/>
              </w:rPr>
            </w:pPr>
            <w:r w:rsidRPr="00761C07">
              <w:t>4</w:t>
            </w:r>
            <w:r w:rsidRPr="00761C07">
              <w:rPr>
                <w:rFonts w:eastAsiaTheme="minorEastAsia"/>
              </w:rPr>
              <w:tab/>
            </w:r>
            <w:r w:rsidRPr="00761C07">
              <w:t>Code Specific Matters</w:t>
            </w:r>
            <w:r w:rsidRPr="00761C07">
              <w:tab/>
            </w:r>
            <w:r w:rsidRPr="00761C07">
              <w:fldChar w:fldCharType="begin"/>
            </w:r>
            <w:r w:rsidRPr="00761C07">
              <w:instrText xml:space="preserve"> PAGEREF _Toc169090693 \h </w:instrText>
            </w:r>
            <w:r w:rsidRPr="00761C07">
              <w:fldChar w:fldCharType="separate"/>
            </w:r>
            <w:r w:rsidR="0054544B">
              <w:t>7</w:t>
            </w:r>
            <w:r w:rsidRPr="00761C07">
              <w:fldChar w:fldCharType="end"/>
            </w:r>
          </w:p>
          <w:p w14:paraId="397BF4DD" w14:textId="6F8A2643" w:rsidR="00761C07" w:rsidRPr="00761C07" w:rsidRDefault="00761C07" w:rsidP="00761C07">
            <w:pPr>
              <w:pStyle w:val="TOCContents02WGR"/>
              <w:rPr>
                <w:rFonts w:eastAsiaTheme="minorEastAsia"/>
              </w:rPr>
            </w:pPr>
            <w:r w:rsidRPr="00761C07">
              <w:t>5</w:t>
            </w:r>
            <w:r w:rsidRPr="00761C07">
              <w:rPr>
                <w:rFonts w:eastAsiaTheme="minorEastAsia"/>
              </w:rPr>
              <w:tab/>
            </w:r>
            <w:r w:rsidRPr="00761C07">
              <w:t>Solution</w:t>
            </w:r>
            <w:r w:rsidRPr="00761C07">
              <w:tab/>
            </w:r>
            <w:r w:rsidRPr="00761C07">
              <w:fldChar w:fldCharType="begin"/>
            </w:r>
            <w:r w:rsidRPr="00761C07">
              <w:instrText xml:space="preserve"> PAGEREF _Toc169090694 \h </w:instrText>
            </w:r>
            <w:r w:rsidRPr="00761C07">
              <w:fldChar w:fldCharType="separate"/>
            </w:r>
            <w:r w:rsidR="0054544B">
              <w:t>7</w:t>
            </w:r>
            <w:r w:rsidRPr="00761C07">
              <w:fldChar w:fldCharType="end"/>
            </w:r>
          </w:p>
          <w:p w14:paraId="636D9EBF" w14:textId="46FE3B36" w:rsidR="00761C07" w:rsidRPr="00761C07" w:rsidRDefault="00761C07" w:rsidP="00761C07">
            <w:pPr>
              <w:pStyle w:val="TOCContents02WGR"/>
              <w:rPr>
                <w:rFonts w:eastAsiaTheme="minorEastAsia"/>
              </w:rPr>
            </w:pPr>
            <w:r w:rsidRPr="00761C07">
              <w:t>6</w:t>
            </w:r>
            <w:r w:rsidRPr="00761C07">
              <w:rPr>
                <w:rFonts w:eastAsiaTheme="minorEastAsia"/>
              </w:rPr>
              <w:tab/>
            </w:r>
            <w:r w:rsidRPr="00761C07">
              <w:t>Impacts &amp; Other Considerations</w:t>
            </w:r>
            <w:r w:rsidRPr="00761C07">
              <w:tab/>
            </w:r>
            <w:r w:rsidRPr="00761C07">
              <w:fldChar w:fldCharType="begin"/>
            </w:r>
            <w:r w:rsidRPr="00761C07">
              <w:instrText xml:space="preserve"> PAGEREF _Toc169090695 \h </w:instrText>
            </w:r>
            <w:r w:rsidRPr="00761C07">
              <w:fldChar w:fldCharType="separate"/>
            </w:r>
            <w:r w:rsidR="0054544B">
              <w:t>8</w:t>
            </w:r>
            <w:r w:rsidRPr="00761C07">
              <w:fldChar w:fldCharType="end"/>
            </w:r>
          </w:p>
          <w:p w14:paraId="7F6FE4C4" w14:textId="03014ACA" w:rsidR="00761C07" w:rsidRPr="00761C07" w:rsidRDefault="00761C07" w:rsidP="00761C07">
            <w:pPr>
              <w:pStyle w:val="TOCContents02WGR"/>
              <w:rPr>
                <w:rFonts w:eastAsiaTheme="minorEastAsia"/>
              </w:rPr>
            </w:pPr>
            <w:r w:rsidRPr="00761C07">
              <w:t>7</w:t>
            </w:r>
            <w:r w:rsidRPr="00761C07">
              <w:rPr>
                <w:rFonts w:eastAsiaTheme="minorEastAsia"/>
              </w:rPr>
              <w:tab/>
            </w:r>
            <w:r w:rsidRPr="00761C07">
              <w:t>Relevant Objectives</w:t>
            </w:r>
            <w:r w:rsidRPr="00761C07">
              <w:tab/>
            </w:r>
            <w:r w:rsidRPr="00761C07">
              <w:fldChar w:fldCharType="begin"/>
            </w:r>
            <w:r w:rsidRPr="00761C07">
              <w:instrText xml:space="preserve"> PAGEREF _Toc169090696 \h </w:instrText>
            </w:r>
            <w:r w:rsidRPr="00761C07">
              <w:fldChar w:fldCharType="separate"/>
            </w:r>
            <w:r w:rsidR="0054544B">
              <w:t>10</w:t>
            </w:r>
            <w:r w:rsidRPr="00761C07">
              <w:fldChar w:fldCharType="end"/>
            </w:r>
          </w:p>
          <w:p w14:paraId="02A83C2D" w14:textId="616CCE04" w:rsidR="00761C07" w:rsidRPr="00761C07" w:rsidRDefault="00761C07" w:rsidP="00761C07">
            <w:pPr>
              <w:pStyle w:val="TOCContents02WGR"/>
              <w:rPr>
                <w:rFonts w:eastAsiaTheme="minorEastAsia"/>
              </w:rPr>
            </w:pPr>
            <w:r w:rsidRPr="00761C07">
              <w:t>8</w:t>
            </w:r>
            <w:r w:rsidRPr="00761C07">
              <w:rPr>
                <w:rFonts w:eastAsiaTheme="minorEastAsia"/>
              </w:rPr>
              <w:tab/>
            </w:r>
            <w:r w:rsidRPr="00761C07">
              <w:t>Implementation</w:t>
            </w:r>
            <w:r w:rsidRPr="00761C07">
              <w:tab/>
            </w:r>
            <w:r w:rsidRPr="00761C07">
              <w:fldChar w:fldCharType="begin"/>
            </w:r>
            <w:r w:rsidRPr="00761C07">
              <w:instrText xml:space="preserve"> PAGEREF _Toc169090697 \h </w:instrText>
            </w:r>
            <w:r w:rsidRPr="00761C07">
              <w:fldChar w:fldCharType="separate"/>
            </w:r>
            <w:r w:rsidR="0054544B">
              <w:t>12</w:t>
            </w:r>
            <w:r w:rsidRPr="00761C07">
              <w:fldChar w:fldCharType="end"/>
            </w:r>
          </w:p>
          <w:p w14:paraId="0B193F53" w14:textId="7456BF7B" w:rsidR="00761C07" w:rsidRPr="00761C07" w:rsidRDefault="00761C07" w:rsidP="00761C07">
            <w:pPr>
              <w:pStyle w:val="TOCContents02WGR"/>
              <w:rPr>
                <w:rFonts w:eastAsiaTheme="minorEastAsia"/>
              </w:rPr>
            </w:pPr>
            <w:r w:rsidRPr="00761C07">
              <w:t>9</w:t>
            </w:r>
            <w:r w:rsidRPr="00761C07">
              <w:rPr>
                <w:rFonts w:eastAsiaTheme="minorEastAsia"/>
              </w:rPr>
              <w:tab/>
            </w:r>
            <w:r w:rsidRPr="00761C07">
              <w:t>Legal Text</w:t>
            </w:r>
            <w:r w:rsidRPr="00761C07">
              <w:tab/>
            </w:r>
            <w:r w:rsidRPr="00761C07">
              <w:fldChar w:fldCharType="begin"/>
            </w:r>
            <w:r w:rsidRPr="00761C07">
              <w:instrText xml:space="preserve"> PAGEREF _Toc169090698 \h </w:instrText>
            </w:r>
            <w:r w:rsidRPr="00761C07">
              <w:fldChar w:fldCharType="separate"/>
            </w:r>
            <w:r w:rsidR="0054544B">
              <w:t>13</w:t>
            </w:r>
            <w:r w:rsidRPr="00761C07">
              <w:fldChar w:fldCharType="end"/>
            </w:r>
          </w:p>
          <w:p w14:paraId="629F16BD" w14:textId="0423C22E" w:rsidR="00761C07" w:rsidRPr="00761C07" w:rsidRDefault="00761C07" w:rsidP="00761C07">
            <w:pPr>
              <w:pStyle w:val="TOCContents02WGR"/>
              <w:rPr>
                <w:rFonts w:eastAsiaTheme="minorEastAsia"/>
              </w:rPr>
            </w:pPr>
            <w:r w:rsidRPr="00761C07">
              <w:t>10</w:t>
            </w:r>
            <w:r w:rsidRPr="00761C07">
              <w:rPr>
                <w:rFonts w:eastAsiaTheme="minorEastAsia"/>
              </w:rPr>
              <w:tab/>
            </w:r>
            <w:r w:rsidRPr="00761C07">
              <w:t>Recommendations</w:t>
            </w:r>
            <w:r w:rsidRPr="00761C07">
              <w:tab/>
            </w:r>
            <w:r w:rsidRPr="00761C07">
              <w:fldChar w:fldCharType="begin"/>
            </w:r>
            <w:r w:rsidRPr="00761C07">
              <w:instrText xml:space="preserve"> PAGEREF _Toc169090699 \h </w:instrText>
            </w:r>
            <w:r w:rsidRPr="00761C07">
              <w:fldChar w:fldCharType="separate"/>
            </w:r>
            <w:r w:rsidR="0054544B">
              <w:t>13</w:t>
            </w:r>
            <w:r w:rsidRPr="00761C07">
              <w:fldChar w:fldCharType="end"/>
            </w:r>
          </w:p>
          <w:p w14:paraId="0C383B5A" w14:textId="3FD8988C" w:rsidR="00761C07" w:rsidRPr="00761C07" w:rsidRDefault="00761C07" w:rsidP="00761C07">
            <w:pPr>
              <w:pStyle w:val="TOCContents02WGR"/>
              <w:rPr>
                <w:rFonts w:eastAsiaTheme="minorEastAsia"/>
              </w:rPr>
            </w:pPr>
            <w:r w:rsidRPr="00761C07">
              <w:t>11</w:t>
            </w:r>
            <w:r w:rsidRPr="00761C07">
              <w:rPr>
                <w:rFonts w:eastAsiaTheme="minorEastAsia"/>
              </w:rPr>
              <w:tab/>
            </w:r>
            <w:r w:rsidRPr="00761C07">
              <w:t>Appended Representations</w:t>
            </w:r>
            <w:r w:rsidRPr="00761C07">
              <w:tab/>
            </w:r>
            <w:r w:rsidRPr="00761C07">
              <w:fldChar w:fldCharType="begin"/>
            </w:r>
            <w:r w:rsidRPr="00761C07">
              <w:instrText xml:space="preserve"> PAGEREF _Toc169090700 \h </w:instrText>
            </w:r>
            <w:r w:rsidRPr="00761C07">
              <w:fldChar w:fldCharType="separate"/>
            </w:r>
            <w:r w:rsidR="0054544B">
              <w:t>13</w:t>
            </w:r>
            <w:r w:rsidRPr="00761C07">
              <w:fldChar w:fldCharType="end"/>
            </w:r>
          </w:p>
          <w:p w14:paraId="69E60635" w14:textId="6449A90F" w:rsidR="00F10E14" w:rsidRPr="00CA74C4" w:rsidRDefault="00F10E14" w:rsidP="00761C07">
            <w:pPr>
              <w:pStyle w:val="TOCContents02WGR"/>
              <w:rPr>
                <w:rFonts w:cs="Arial"/>
              </w:rPr>
            </w:pPr>
            <w:r w:rsidRPr="00CA74C4">
              <w:rPr>
                <w:rFonts w:cs="Arial"/>
              </w:rPr>
              <w:fldChar w:fldCharType="end"/>
            </w:r>
          </w:p>
          <w:p w14:paraId="3889132B" w14:textId="77777777" w:rsidR="00F10E14" w:rsidRPr="00CA74C4" w:rsidRDefault="008F48D5" w:rsidP="00761C07">
            <w:pPr>
              <w:pStyle w:val="Timetable02"/>
            </w:pPr>
            <w:r w:rsidRPr="00CA74C4">
              <w:t>Timetable</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5807"/>
              <w:gridCol w:w="2126"/>
            </w:tblGrid>
            <w:tr w:rsidR="00AA69EF" w:rsidRPr="00CA74C4" w14:paraId="5DF9DFB4" w14:textId="77777777" w:rsidTr="00E81739">
              <w:tc>
                <w:tcPr>
                  <w:tcW w:w="7933" w:type="dxa"/>
                  <w:gridSpan w:val="2"/>
                  <w:shd w:val="clear" w:color="auto" w:fill="auto"/>
                </w:tcPr>
                <w:p w14:paraId="11E6CAAC" w14:textId="77777777" w:rsidR="00AA69EF" w:rsidRPr="00CA74C4" w:rsidRDefault="005A5B98" w:rsidP="005A5B98">
                  <w:pPr>
                    <w:spacing w:before="40" w:after="40"/>
                    <w:rPr>
                      <w:rFonts w:cs="Arial"/>
                      <w:szCs w:val="20"/>
                    </w:rPr>
                  </w:pPr>
                  <w:r>
                    <w:rPr>
                      <w:rFonts w:cs="Arial"/>
                      <w:b/>
                      <w:szCs w:val="20"/>
                    </w:rPr>
                    <w:t xml:space="preserve">Suggested </w:t>
                  </w:r>
                  <w:r w:rsidR="00491D53">
                    <w:rPr>
                      <w:rFonts w:cs="Arial"/>
                      <w:b/>
                      <w:szCs w:val="20"/>
                    </w:rPr>
                    <w:t xml:space="preserve">Modification </w:t>
                  </w:r>
                  <w:r w:rsidR="00AA69EF" w:rsidRPr="00CA74C4">
                    <w:rPr>
                      <w:rFonts w:cs="Arial"/>
                      <w:b/>
                      <w:szCs w:val="20"/>
                    </w:rPr>
                    <w:t>timetable</w:t>
                  </w:r>
                  <w:r w:rsidR="000B5CFC" w:rsidRPr="00CA74C4">
                    <w:rPr>
                      <w:rFonts w:cs="Arial"/>
                      <w:b/>
                      <w:szCs w:val="20"/>
                    </w:rPr>
                    <w:t>:</w:t>
                  </w:r>
                  <w:r w:rsidR="00AA69EF" w:rsidRPr="00CA74C4">
                    <w:rPr>
                      <w:rFonts w:cs="Arial"/>
                      <w:i/>
                      <w:szCs w:val="20"/>
                    </w:rPr>
                    <w:t xml:space="preserve"> </w:t>
                  </w:r>
                </w:p>
              </w:tc>
            </w:tr>
            <w:tr w:rsidR="00B97699" w:rsidRPr="00CA74C4" w14:paraId="587275FE" w14:textId="77777777" w:rsidTr="004121CC">
              <w:tc>
                <w:tcPr>
                  <w:tcW w:w="5807" w:type="dxa"/>
                  <w:shd w:val="clear" w:color="auto" w:fill="auto"/>
                </w:tcPr>
                <w:p w14:paraId="56248429" w14:textId="2B6095D8" w:rsidR="00B97699" w:rsidRPr="00B112D4" w:rsidRDefault="00B97699" w:rsidP="004E4E97">
                  <w:pPr>
                    <w:tabs>
                      <w:tab w:val="left" w:pos="171"/>
                    </w:tabs>
                    <w:spacing w:before="40" w:after="40"/>
                  </w:pPr>
                  <w:r>
                    <w:t>Pre-Modification Discussed</w:t>
                  </w:r>
                </w:p>
              </w:tc>
              <w:tc>
                <w:tcPr>
                  <w:tcW w:w="2126" w:type="dxa"/>
                  <w:shd w:val="clear" w:color="auto" w:fill="auto"/>
                </w:tcPr>
                <w:p w14:paraId="51EEFD26" w14:textId="68555678" w:rsidR="00B97699" w:rsidRDefault="00B97699" w:rsidP="005A5B98">
                  <w:pPr>
                    <w:spacing w:before="40" w:after="40"/>
                    <w:rPr>
                      <w:rFonts w:cs="Arial"/>
                      <w:szCs w:val="20"/>
                    </w:rPr>
                  </w:pPr>
                  <w:r>
                    <w:rPr>
                      <w:rFonts w:cs="Arial"/>
                      <w:szCs w:val="20"/>
                    </w:rPr>
                    <w:t>06 June 2024</w:t>
                  </w:r>
                </w:p>
              </w:tc>
            </w:tr>
            <w:tr w:rsidR="004E4E97" w:rsidRPr="00CA74C4" w14:paraId="34CCEAFE" w14:textId="77777777" w:rsidTr="004121CC">
              <w:tc>
                <w:tcPr>
                  <w:tcW w:w="5807" w:type="dxa"/>
                  <w:shd w:val="clear" w:color="auto" w:fill="auto"/>
                </w:tcPr>
                <w:p w14:paraId="35FAECFC" w14:textId="77777777" w:rsidR="004E4E97" w:rsidRPr="00CA74C4" w:rsidRDefault="004E4E97" w:rsidP="004E4E97">
                  <w:pPr>
                    <w:tabs>
                      <w:tab w:val="left" w:pos="171"/>
                    </w:tabs>
                    <w:spacing w:before="40" w:after="40"/>
                    <w:rPr>
                      <w:rFonts w:cs="Arial"/>
                      <w:szCs w:val="20"/>
                    </w:rPr>
                  </w:pPr>
                  <w:r w:rsidRPr="00B112D4">
                    <w:t xml:space="preserve">Date Modification Raised </w:t>
                  </w:r>
                </w:p>
              </w:tc>
              <w:tc>
                <w:tcPr>
                  <w:tcW w:w="2126" w:type="dxa"/>
                  <w:shd w:val="clear" w:color="auto" w:fill="auto"/>
                </w:tcPr>
                <w:p w14:paraId="76625111" w14:textId="6AF77460" w:rsidR="004E4E97" w:rsidRPr="00CA74C4" w:rsidRDefault="00307204" w:rsidP="005A5B98">
                  <w:pPr>
                    <w:spacing w:before="40" w:after="40"/>
                    <w:rPr>
                      <w:rFonts w:cs="Arial"/>
                      <w:szCs w:val="20"/>
                    </w:rPr>
                  </w:pPr>
                  <w:r>
                    <w:rPr>
                      <w:rFonts w:cs="Arial"/>
                      <w:szCs w:val="20"/>
                    </w:rPr>
                    <w:t>06</w:t>
                  </w:r>
                  <w:r w:rsidR="009B6FAC">
                    <w:rPr>
                      <w:rFonts w:cs="Arial"/>
                      <w:szCs w:val="20"/>
                    </w:rPr>
                    <w:t xml:space="preserve"> June </w:t>
                  </w:r>
                  <w:r w:rsidR="00FB69AB">
                    <w:rPr>
                      <w:rFonts w:cs="Arial"/>
                      <w:szCs w:val="20"/>
                    </w:rPr>
                    <w:t>2024</w:t>
                  </w:r>
                </w:p>
              </w:tc>
            </w:tr>
            <w:tr w:rsidR="00AB4598" w:rsidRPr="00CA74C4" w14:paraId="6CDF1E56" w14:textId="77777777" w:rsidTr="004121CC">
              <w:tc>
                <w:tcPr>
                  <w:tcW w:w="5807" w:type="dxa"/>
                  <w:shd w:val="clear" w:color="auto" w:fill="auto"/>
                </w:tcPr>
                <w:p w14:paraId="4892D001" w14:textId="54BE8270" w:rsidR="00AB4598" w:rsidRPr="00AB4598" w:rsidRDefault="00AB4598" w:rsidP="004E4E97">
                  <w:pPr>
                    <w:tabs>
                      <w:tab w:val="left" w:pos="171"/>
                    </w:tabs>
                    <w:spacing w:before="40" w:after="40"/>
                  </w:pPr>
                  <w:r>
                    <w:t>Presentation to Panel</w:t>
                  </w:r>
                </w:p>
              </w:tc>
              <w:tc>
                <w:tcPr>
                  <w:tcW w:w="2126" w:type="dxa"/>
                  <w:shd w:val="clear" w:color="auto" w:fill="auto"/>
                </w:tcPr>
                <w:p w14:paraId="43429872" w14:textId="69155F52" w:rsidR="00AB4598" w:rsidRDefault="00307204" w:rsidP="005A5B98">
                  <w:pPr>
                    <w:spacing w:before="40" w:after="40"/>
                    <w:rPr>
                      <w:rFonts w:cs="Arial"/>
                      <w:szCs w:val="20"/>
                    </w:rPr>
                  </w:pPr>
                  <w:r>
                    <w:rPr>
                      <w:rFonts w:cs="Arial"/>
                      <w:szCs w:val="20"/>
                    </w:rPr>
                    <w:t>20 June 2024</w:t>
                  </w:r>
                </w:p>
              </w:tc>
            </w:tr>
            <w:tr w:rsidR="004E4E97" w:rsidRPr="00CA74C4" w14:paraId="0CFF2575" w14:textId="77777777" w:rsidTr="004121CC">
              <w:tc>
                <w:tcPr>
                  <w:tcW w:w="5807" w:type="dxa"/>
                  <w:shd w:val="clear" w:color="auto" w:fill="auto"/>
                </w:tcPr>
                <w:p w14:paraId="345FE8D1" w14:textId="020E3B34" w:rsidR="004E4E97" w:rsidRPr="00CA74C4" w:rsidDel="002A7031" w:rsidRDefault="00AB4598" w:rsidP="004E4E97">
                  <w:pPr>
                    <w:tabs>
                      <w:tab w:val="left" w:pos="171"/>
                    </w:tabs>
                    <w:spacing w:before="40" w:after="40"/>
                    <w:rPr>
                      <w:rFonts w:cs="Arial"/>
                      <w:szCs w:val="20"/>
                    </w:rPr>
                  </w:pPr>
                  <w:r>
                    <w:t xml:space="preserve">First </w:t>
                  </w:r>
                  <w:r w:rsidRPr="00AB4598">
                    <w:t>Work Group</w:t>
                  </w:r>
                  <w:r>
                    <w:t xml:space="preserve"> Meeting</w:t>
                  </w:r>
                </w:p>
              </w:tc>
              <w:tc>
                <w:tcPr>
                  <w:tcW w:w="2126" w:type="dxa"/>
                  <w:shd w:val="clear" w:color="auto" w:fill="auto"/>
                </w:tcPr>
                <w:p w14:paraId="5E736BE5" w14:textId="7CFFBEC1" w:rsidR="004E4E97" w:rsidRPr="00CA74C4" w:rsidRDefault="00307204" w:rsidP="005A5B98">
                  <w:pPr>
                    <w:spacing w:before="40" w:after="40"/>
                    <w:rPr>
                      <w:rFonts w:cs="Arial"/>
                      <w:szCs w:val="20"/>
                    </w:rPr>
                  </w:pPr>
                  <w:r>
                    <w:rPr>
                      <w:rFonts w:cs="Arial"/>
                      <w:szCs w:val="20"/>
                    </w:rPr>
                    <w:t>04 July 2024</w:t>
                  </w:r>
                </w:p>
              </w:tc>
            </w:tr>
            <w:tr w:rsidR="00AB4598" w:rsidRPr="00CA74C4" w14:paraId="46E9891B" w14:textId="77777777" w:rsidTr="004121CC">
              <w:tc>
                <w:tcPr>
                  <w:tcW w:w="5807" w:type="dxa"/>
                  <w:shd w:val="clear" w:color="auto" w:fill="auto"/>
                </w:tcPr>
                <w:p w14:paraId="53368010" w14:textId="67F12B62" w:rsidR="00AB4598" w:rsidRDefault="00AB4598" w:rsidP="004E4E97">
                  <w:pPr>
                    <w:tabs>
                      <w:tab w:val="left" w:pos="171"/>
                    </w:tabs>
                    <w:spacing w:before="40" w:after="40"/>
                  </w:pPr>
                  <w:r w:rsidRPr="00AB4598">
                    <w:t>Workgroup Report to be presented to Pane</w:t>
                  </w:r>
                  <w:r w:rsidR="000E4A04">
                    <w:t>l</w:t>
                  </w:r>
                </w:p>
              </w:tc>
              <w:tc>
                <w:tcPr>
                  <w:tcW w:w="2126" w:type="dxa"/>
                  <w:shd w:val="clear" w:color="auto" w:fill="auto"/>
                </w:tcPr>
                <w:p w14:paraId="6CDBCA37" w14:textId="5F1040B9" w:rsidR="00AB4598" w:rsidRDefault="00307204" w:rsidP="005A5B98">
                  <w:pPr>
                    <w:spacing w:before="40" w:after="40"/>
                    <w:rPr>
                      <w:rFonts w:cs="Arial"/>
                      <w:szCs w:val="20"/>
                    </w:rPr>
                  </w:pPr>
                  <w:r>
                    <w:rPr>
                      <w:rFonts w:cs="Arial"/>
                      <w:szCs w:val="20"/>
                    </w:rPr>
                    <w:t>18 July 2024</w:t>
                  </w:r>
                </w:p>
              </w:tc>
            </w:tr>
            <w:tr w:rsidR="004E4E97" w:rsidRPr="00CA74C4" w14:paraId="32B157F8" w14:textId="77777777" w:rsidTr="004121CC">
              <w:tc>
                <w:tcPr>
                  <w:tcW w:w="5807" w:type="dxa"/>
                  <w:shd w:val="clear" w:color="auto" w:fill="auto"/>
                </w:tcPr>
                <w:p w14:paraId="334CB73F" w14:textId="77777777" w:rsidR="004E4E97" w:rsidRPr="00CA74C4" w:rsidRDefault="004E4E97" w:rsidP="004E4E97">
                  <w:pPr>
                    <w:tabs>
                      <w:tab w:val="left" w:pos="171"/>
                    </w:tabs>
                    <w:spacing w:before="40" w:after="40"/>
                    <w:rPr>
                      <w:rFonts w:cs="Arial"/>
                      <w:szCs w:val="20"/>
                    </w:rPr>
                  </w:pPr>
                  <w:r w:rsidRPr="00B112D4">
                    <w:t xml:space="preserve">Draft Modification Report issued for consultation </w:t>
                  </w:r>
                </w:p>
              </w:tc>
              <w:tc>
                <w:tcPr>
                  <w:tcW w:w="2126" w:type="dxa"/>
                  <w:shd w:val="clear" w:color="auto" w:fill="auto"/>
                </w:tcPr>
                <w:p w14:paraId="211EB924" w14:textId="0C20C192" w:rsidR="004E4E97" w:rsidRPr="00CA74C4" w:rsidRDefault="00307204" w:rsidP="005A5B98">
                  <w:pPr>
                    <w:spacing w:before="40" w:after="40"/>
                    <w:rPr>
                      <w:rFonts w:cs="Arial"/>
                      <w:szCs w:val="20"/>
                    </w:rPr>
                  </w:pPr>
                  <w:r>
                    <w:rPr>
                      <w:rFonts w:cs="Arial"/>
                      <w:szCs w:val="20"/>
                    </w:rPr>
                    <w:t>19 July 2024</w:t>
                  </w:r>
                </w:p>
              </w:tc>
            </w:tr>
            <w:tr w:rsidR="004E4E97" w:rsidRPr="00CA74C4" w14:paraId="36B43B8F" w14:textId="77777777" w:rsidTr="004121CC">
              <w:tc>
                <w:tcPr>
                  <w:tcW w:w="5807" w:type="dxa"/>
                  <w:shd w:val="clear" w:color="auto" w:fill="auto"/>
                </w:tcPr>
                <w:p w14:paraId="5888A048" w14:textId="77777777" w:rsidR="004E4E97" w:rsidRPr="00CA74C4" w:rsidRDefault="004E4E97" w:rsidP="004E4E97">
                  <w:pPr>
                    <w:tabs>
                      <w:tab w:val="left" w:pos="171"/>
                    </w:tabs>
                    <w:spacing w:before="40" w:after="40"/>
                    <w:rPr>
                      <w:rFonts w:cs="Arial"/>
                      <w:szCs w:val="20"/>
                    </w:rPr>
                  </w:pPr>
                  <w:r w:rsidRPr="00B112D4">
                    <w:t xml:space="preserve">Consultation Close-out for representations </w:t>
                  </w:r>
                </w:p>
              </w:tc>
              <w:tc>
                <w:tcPr>
                  <w:tcW w:w="2126" w:type="dxa"/>
                  <w:shd w:val="clear" w:color="auto" w:fill="auto"/>
                </w:tcPr>
                <w:p w14:paraId="0C79C62C" w14:textId="03BA2F8E" w:rsidR="004E4E97" w:rsidRPr="00CA74C4" w:rsidRDefault="00307204" w:rsidP="005A5B98">
                  <w:pPr>
                    <w:spacing w:before="40" w:after="40"/>
                    <w:rPr>
                      <w:rFonts w:cs="Arial"/>
                      <w:szCs w:val="20"/>
                    </w:rPr>
                  </w:pPr>
                  <w:r>
                    <w:rPr>
                      <w:rFonts w:cs="Arial"/>
                      <w:szCs w:val="20"/>
                    </w:rPr>
                    <w:t>0</w:t>
                  </w:r>
                  <w:r w:rsidR="006C38C7">
                    <w:rPr>
                      <w:rFonts w:cs="Arial"/>
                      <w:szCs w:val="20"/>
                    </w:rPr>
                    <w:t>8</w:t>
                  </w:r>
                  <w:r>
                    <w:rPr>
                      <w:rFonts w:cs="Arial"/>
                      <w:szCs w:val="20"/>
                    </w:rPr>
                    <w:t xml:space="preserve"> August 2024</w:t>
                  </w:r>
                </w:p>
              </w:tc>
            </w:tr>
            <w:tr w:rsidR="004E4E97" w:rsidRPr="00CA74C4" w14:paraId="75315094" w14:textId="77777777" w:rsidTr="004121CC">
              <w:tc>
                <w:tcPr>
                  <w:tcW w:w="5807" w:type="dxa"/>
                  <w:shd w:val="clear" w:color="auto" w:fill="auto"/>
                </w:tcPr>
                <w:p w14:paraId="3B5DB1EB" w14:textId="77777777" w:rsidR="004E4E97" w:rsidRPr="00CA74C4" w:rsidRDefault="004E4E97" w:rsidP="004E4E97">
                  <w:pPr>
                    <w:tabs>
                      <w:tab w:val="left" w:pos="171"/>
                    </w:tabs>
                    <w:spacing w:before="40" w:after="40"/>
                    <w:rPr>
                      <w:rFonts w:cs="Arial"/>
                      <w:szCs w:val="20"/>
                    </w:rPr>
                  </w:pPr>
                  <w:r w:rsidRPr="00B112D4">
                    <w:t xml:space="preserve">Final Modification Report available for Panel </w:t>
                  </w:r>
                </w:p>
              </w:tc>
              <w:tc>
                <w:tcPr>
                  <w:tcW w:w="2126" w:type="dxa"/>
                  <w:shd w:val="clear" w:color="auto" w:fill="auto"/>
                </w:tcPr>
                <w:p w14:paraId="147F5D77" w14:textId="3F5447A1" w:rsidR="004E4E97" w:rsidRPr="00CA74C4" w:rsidRDefault="006C38C7" w:rsidP="005A5B98">
                  <w:pPr>
                    <w:spacing w:before="40" w:after="40"/>
                    <w:rPr>
                      <w:rFonts w:cs="Arial"/>
                      <w:szCs w:val="20"/>
                    </w:rPr>
                  </w:pPr>
                  <w:r>
                    <w:rPr>
                      <w:rFonts w:cs="Arial"/>
                      <w:szCs w:val="20"/>
                    </w:rPr>
                    <w:t>09</w:t>
                  </w:r>
                  <w:r w:rsidR="00307204">
                    <w:rPr>
                      <w:rFonts w:cs="Arial"/>
                      <w:szCs w:val="20"/>
                    </w:rPr>
                    <w:t xml:space="preserve"> August 2024</w:t>
                  </w:r>
                </w:p>
              </w:tc>
            </w:tr>
            <w:tr w:rsidR="004E4E97" w:rsidRPr="00CA74C4" w14:paraId="4AB2690A" w14:textId="77777777" w:rsidTr="004121CC">
              <w:tc>
                <w:tcPr>
                  <w:tcW w:w="5807" w:type="dxa"/>
                  <w:shd w:val="clear" w:color="auto" w:fill="auto"/>
                </w:tcPr>
                <w:p w14:paraId="7FED405D" w14:textId="548BC8B7" w:rsidR="004E4E97" w:rsidRPr="00CA74C4" w:rsidRDefault="004E4E97" w:rsidP="004E4E97">
                  <w:pPr>
                    <w:tabs>
                      <w:tab w:val="left" w:pos="171"/>
                    </w:tabs>
                    <w:spacing w:before="40" w:after="40"/>
                    <w:rPr>
                      <w:rFonts w:cs="Arial"/>
                      <w:szCs w:val="20"/>
                    </w:rPr>
                  </w:pPr>
                  <w:r w:rsidRPr="00B112D4">
                    <w:t xml:space="preserve">Modification Panel decision consideration </w:t>
                  </w:r>
                  <w:r w:rsidR="00A229FB">
                    <w:t>(at short notice)</w:t>
                  </w:r>
                </w:p>
              </w:tc>
              <w:tc>
                <w:tcPr>
                  <w:tcW w:w="2126" w:type="dxa"/>
                  <w:shd w:val="clear" w:color="auto" w:fill="auto"/>
                </w:tcPr>
                <w:p w14:paraId="4BCB20B4" w14:textId="06A72CA2" w:rsidR="004E4E97" w:rsidRPr="00CA74C4" w:rsidRDefault="00307204" w:rsidP="00BA2700">
                  <w:pPr>
                    <w:spacing w:before="40" w:after="40"/>
                    <w:rPr>
                      <w:rFonts w:cs="Arial"/>
                      <w:szCs w:val="20"/>
                    </w:rPr>
                  </w:pPr>
                  <w:r>
                    <w:rPr>
                      <w:rFonts w:cs="Arial"/>
                      <w:szCs w:val="20"/>
                    </w:rPr>
                    <w:t>1</w:t>
                  </w:r>
                  <w:r w:rsidR="00A229FB">
                    <w:rPr>
                      <w:rFonts w:cs="Arial"/>
                      <w:szCs w:val="20"/>
                    </w:rPr>
                    <w:t>3</w:t>
                  </w:r>
                  <w:r>
                    <w:rPr>
                      <w:rFonts w:cs="Arial"/>
                      <w:szCs w:val="20"/>
                    </w:rPr>
                    <w:t xml:space="preserve"> August 2024</w:t>
                  </w:r>
                </w:p>
              </w:tc>
            </w:tr>
            <w:tr w:rsidR="004E4E97" w:rsidRPr="00CA74C4" w14:paraId="32C5F82D" w14:textId="77777777" w:rsidTr="004121CC">
              <w:tc>
                <w:tcPr>
                  <w:tcW w:w="5807" w:type="dxa"/>
                  <w:shd w:val="clear" w:color="auto" w:fill="auto"/>
                </w:tcPr>
                <w:p w14:paraId="397481B2" w14:textId="77777777" w:rsidR="004E4E97" w:rsidRPr="00CA74C4" w:rsidRDefault="004E4E97" w:rsidP="004E4E97">
                  <w:pPr>
                    <w:tabs>
                      <w:tab w:val="left" w:pos="171"/>
                    </w:tabs>
                    <w:spacing w:before="40" w:after="40"/>
                    <w:rPr>
                      <w:rFonts w:cs="Arial"/>
                      <w:szCs w:val="20"/>
                    </w:rPr>
                  </w:pPr>
                  <w:r w:rsidRPr="00B112D4">
                    <w:t xml:space="preserve">Modification sent to Ofgem </w:t>
                  </w:r>
                </w:p>
              </w:tc>
              <w:tc>
                <w:tcPr>
                  <w:tcW w:w="2126" w:type="dxa"/>
                  <w:shd w:val="clear" w:color="auto" w:fill="auto"/>
                </w:tcPr>
                <w:p w14:paraId="45A05411" w14:textId="62027F9B" w:rsidR="004E4E97" w:rsidRPr="00CA74C4" w:rsidRDefault="00307204" w:rsidP="00BA2700">
                  <w:pPr>
                    <w:spacing w:before="40" w:after="40"/>
                    <w:rPr>
                      <w:rFonts w:cs="Arial"/>
                      <w:szCs w:val="20"/>
                    </w:rPr>
                  </w:pPr>
                  <w:r>
                    <w:rPr>
                      <w:rFonts w:cs="Arial"/>
                      <w:szCs w:val="20"/>
                    </w:rPr>
                    <w:t>15 August 2024</w:t>
                  </w:r>
                </w:p>
              </w:tc>
            </w:tr>
          </w:tbl>
          <w:p w14:paraId="6FCEB4AE" w14:textId="77777777" w:rsidR="008F48D5" w:rsidRPr="00CA74C4" w:rsidRDefault="008F48D5" w:rsidP="007E718E">
            <w:pPr>
              <w:pStyle w:val="BodyTextFirstIndent"/>
              <w:ind w:firstLine="0"/>
              <w:rPr>
                <w:rFonts w:cs="Arial"/>
              </w:rPr>
            </w:pPr>
          </w:p>
        </w:tc>
        <w:tc>
          <w:tcPr>
            <w:tcW w:w="2146" w:type="dxa"/>
            <w:gridSpan w:val="2"/>
            <w:tcBorders>
              <w:top w:val="single" w:sz="4" w:space="0" w:color="4A8958"/>
              <w:left w:val="single" w:sz="4" w:space="0" w:color="4A8958"/>
              <w:bottom w:val="single" w:sz="4" w:space="0" w:color="4A8958"/>
              <w:right w:val="single" w:sz="4" w:space="0" w:color="4A8958"/>
            </w:tcBorders>
            <w:shd w:val="clear" w:color="auto" w:fill="auto"/>
          </w:tcPr>
          <w:p w14:paraId="67F66B59" w14:textId="77777777" w:rsidR="00F10E14" w:rsidRPr="00CA74C4" w:rsidRDefault="003C3E68" w:rsidP="002D4AED">
            <w:pPr>
              <w:pStyle w:val="BodyText"/>
              <w:spacing w:before="60" w:after="60" w:line="240" w:lineRule="auto"/>
              <w:rPr>
                <w:rFonts w:cs="Arial"/>
                <w:szCs w:val="20"/>
              </w:rPr>
            </w:pPr>
            <w:r w:rsidRPr="00122D68">
              <w:rPr>
                <w:rFonts w:cs="Arial"/>
                <w:noProof/>
                <w:szCs w:val="20"/>
                <w:lang w:val="en-US" w:eastAsia="en-US"/>
              </w:rPr>
              <w:drawing>
                <wp:inline distT="0" distB="0" distL="0" distR="0" wp14:anchorId="072C11B8" wp14:editId="40B07F9C">
                  <wp:extent cx="281305" cy="281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Any questions?</w:t>
            </w:r>
          </w:p>
        </w:tc>
      </w:tr>
      <w:tr w:rsidR="00F10E14" w:rsidRPr="00CA74C4" w14:paraId="11C4C8B9" w14:textId="77777777" w:rsidTr="002C4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Look w:val="04A0" w:firstRow="1" w:lastRow="0" w:firstColumn="1" w:lastColumn="0" w:noHBand="0" w:noVBand="1"/>
        </w:tblPrEx>
        <w:trPr>
          <w:gridAfter w:val="1"/>
          <w:wAfter w:w="42" w:type="dxa"/>
          <w:trHeight w:val="615"/>
        </w:trPr>
        <w:tc>
          <w:tcPr>
            <w:tcW w:w="8017" w:type="dxa"/>
            <w:vMerge/>
            <w:tcBorders>
              <w:left w:val="single" w:sz="4" w:space="0" w:color="4A8958"/>
              <w:bottom w:val="single" w:sz="4" w:space="0" w:color="4A8958"/>
              <w:right w:val="single" w:sz="4" w:space="0" w:color="4A8958"/>
            </w:tcBorders>
            <w:shd w:val="clear" w:color="auto" w:fill="auto"/>
          </w:tcPr>
          <w:p w14:paraId="3C54B872" w14:textId="77777777" w:rsidR="00F10E14" w:rsidRPr="00CA74C4" w:rsidRDefault="00F10E14" w:rsidP="00A809BC">
            <w:pPr>
              <w:pStyle w:val="Contents01"/>
              <w:rPr>
                <w:noProof/>
              </w:rPr>
            </w:pPr>
          </w:p>
        </w:tc>
        <w:tc>
          <w:tcPr>
            <w:tcW w:w="2146" w:type="dxa"/>
            <w:gridSpan w:val="2"/>
            <w:tcBorders>
              <w:top w:val="single" w:sz="4" w:space="0" w:color="4A8958"/>
              <w:left w:val="single" w:sz="4" w:space="0" w:color="4A8958"/>
              <w:bottom w:val="single" w:sz="4" w:space="0" w:color="4A8958"/>
              <w:right w:val="single" w:sz="4" w:space="0" w:color="4A8958"/>
            </w:tcBorders>
            <w:shd w:val="clear" w:color="auto" w:fill="auto"/>
          </w:tcPr>
          <w:p w14:paraId="1934C3F5"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Contact:</w:t>
            </w:r>
          </w:p>
          <w:p w14:paraId="184E5FFA" w14:textId="77777777" w:rsidR="00F10E14" w:rsidRPr="00CA74C4" w:rsidRDefault="002D4AED" w:rsidP="002D4AED">
            <w:pPr>
              <w:pStyle w:val="BodyText"/>
              <w:spacing w:before="60" w:after="60" w:line="240" w:lineRule="auto"/>
              <w:rPr>
                <w:rFonts w:cs="Arial"/>
                <w:color w:val="008576"/>
                <w:szCs w:val="20"/>
              </w:rPr>
            </w:pPr>
            <w:r>
              <w:rPr>
                <w:rFonts w:cs="Arial"/>
                <w:b/>
                <w:color w:val="008576"/>
                <w:szCs w:val="20"/>
              </w:rPr>
              <w:t>Joint Office of Gas Transporters</w:t>
            </w:r>
          </w:p>
        </w:tc>
      </w:tr>
      <w:tr w:rsidR="00F10E14" w:rsidRPr="00CA74C4" w14:paraId="7326A84B" w14:textId="77777777" w:rsidTr="002C4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Look w:val="04A0" w:firstRow="1" w:lastRow="0" w:firstColumn="1" w:lastColumn="0" w:noHBand="0" w:noVBand="1"/>
        </w:tblPrEx>
        <w:trPr>
          <w:gridAfter w:val="1"/>
          <w:wAfter w:w="42" w:type="dxa"/>
          <w:trHeight w:val="615"/>
        </w:trPr>
        <w:tc>
          <w:tcPr>
            <w:tcW w:w="8017" w:type="dxa"/>
            <w:vMerge/>
            <w:tcBorders>
              <w:left w:val="single" w:sz="4" w:space="0" w:color="4A8958"/>
              <w:bottom w:val="single" w:sz="4" w:space="0" w:color="4A8958"/>
              <w:right w:val="single" w:sz="4" w:space="0" w:color="4A8958"/>
            </w:tcBorders>
            <w:shd w:val="clear" w:color="auto" w:fill="auto"/>
          </w:tcPr>
          <w:p w14:paraId="45551EF3" w14:textId="77777777" w:rsidR="00F10E14" w:rsidRPr="00CA74C4" w:rsidRDefault="00F10E14" w:rsidP="00A809BC">
            <w:pPr>
              <w:pStyle w:val="Contents01"/>
              <w:rPr>
                <w:noProof/>
              </w:rPr>
            </w:pPr>
          </w:p>
        </w:tc>
        <w:tc>
          <w:tcPr>
            <w:tcW w:w="2146" w:type="dxa"/>
            <w:gridSpan w:val="2"/>
            <w:tcBorders>
              <w:top w:val="single" w:sz="4" w:space="0" w:color="4A8958"/>
              <w:left w:val="single" w:sz="4" w:space="0" w:color="4A8958"/>
              <w:bottom w:val="single" w:sz="4" w:space="0" w:color="4A8958"/>
              <w:right w:val="single" w:sz="4" w:space="0" w:color="4A8958"/>
            </w:tcBorders>
            <w:shd w:val="clear" w:color="auto" w:fill="auto"/>
          </w:tcPr>
          <w:p w14:paraId="6D911D87" w14:textId="77777777"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lang w:val="en-US" w:eastAsia="en-US"/>
              </w:rPr>
              <w:drawing>
                <wp:inline distT="0" distB="0" distL="0" distR="0" wp14:anchorId="4E1C4D40" wp14:editId="2ECC7854">
                  <wp:extent cx="281305" cy="281305"/>
                  <wp:effectExtent l="0" t="0" r="0" b="0"/>
                  <wp:docPr id="3" name="Picture 3"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2D4AED">
              <w:rPr>
                <w:rFonts w:cs="Arial"/>
                <w:b/>
                <w:color w:val="008576"/>
                <w:szCs w:val="20"/>
                <w:lang w:val="en-US"/>
              </w:rPr>
              <w:t xml:space="preserve"> </w:t>
            </w:r>
            <w:hyperlink r:id="rId14" w:history="1">
              <w:r w:rsidR="002D4AED" w:rsidRPr="002D4AED">
                <w:rPr>
                  <w:rStyle w:val="Hyperlink"/>
                  <w:rFonts w:cs="Arial"/>
                  <w:b/>
                  <w:szCs w:val="20"/>
                  <w:lang w:val="en-US"/>
                </w:rPr>
                <w:t>enquiries@gasgovernance.co.uk</w:t>
              </w:r>
            </w:hyperlink>
          </w:p>
        </w:tc>
      </w:tr>
      <w:tr w:rsidR="00F10E14" w:rsidRPr="00CA74C4" w14:paraId="218C20DA" w14:textId="77777777" w:rsidTr="002C4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Look w:val="04A0" w:firstRow="1" w:lastRow="0" w:firstColumn="1" w:lastColumn="0" w:noHBand="0" w:noVBand="1"/>
        </w:tblPrEx>
        <w:trPr>
          <w:gridAfter w:val="1"/>
          <w:wAfter w:w="42" w:type="dxa"/>
          <w:trHeight w:val="615"/>
        </w:trPr>
        <w:tc>
          <w:tcPr>
            <w:tcW w:w="8017" w:type="dxa"/>
            <w:vMerge/>
            <w:tcBorders>
              <w:left w:val="single" w:sz="4" w:space="0" w:color="4A8958"/>
              <w:bottom w:val="single" w:sz="4" w:space="0" w:color="4A8958"/>
              <w:right w:val="single" w:sz="4" w:space="0" w:color="4A8958"/>
            </w:tcBorders>
            <w:shd w:val="clear" w:color="auto" w:fill="auto"/>
          </w:tcPr>
          <w:p w14:paraId="2D1346F3" w14:textId="77777777" w:rsidR="00F10E14" w:rsidRPr="00CA74C4" w:rsidRDefault="00F10E14" w:rsidP="00A809BC">
            <w:pPr>
              <w:pStyle w:val="Contents01"/>
              <w:rPr>
                <w:noProof/>
              </w:rPr>
            </w:pPr>
          </w:p>
        </w:tc>
        <w:tc>
          <w:tcPr>
            <w:tcW w:w="2146" w:type="dxa"/>
            <w:gridSpan w:val="2"/>
            <w:tcBorders>
              <w:top w:val="single" w:sz="4" w:space="0" w:color="4A8958"/>
              <w:left w:val="single" w:sz="4" w:space="0" w:color="4A8958"/>
              <w:bottom w:val="single" w:sz="4" w:space="0" w:color="4A8958"/>
              <w:right w:val="single" w:sz="4" w:space="0" w:color="4A8958"/>
            </w:tcBorders>
            <w:shd w:val="clear" w:color="auto" w:fill="auto"/>
          </w:tcPr>
          <w:p w14:paraId="57959BF0" w14:textId="77777777"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lang w:val="en-US" w:eastAsia="en-US"/>
              </w:rPr>
              <w:drawing>
                <wp:inline distT="0" distB="0" distL="0" distR="0" wp14:anchorId="7530ED74" wp14:editId="71126B28">
                  <wp:extent cx="281305" cy="281305"/>
                  <wp:effectExtent l="0" t="0" r="0" b="0"/>
                  <wp:docPr id="4" name="Picture 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9456EA">
              <w:rPr>
                <w:rFonts w:cs="Arial"/>
                <w:b/>
                <w:color w:val="008576"/>
                <w:szCs w:val="20"/>
              </w:rPr>
              <w:t>0121 288 2107</w:t>
            </w:r>
          </w:p>
        </w:tc>
      </w:tr>
      <w:tr w:rsidR="00F10E14" w:rsidRPr="00CA74C4" w14:paraId="7BC19F74" w14:textId="77777777" w:rsidTr="002C4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Look w:val="04A0" w:firstRow="1" w:lastRow="0" w:firstColumn="1" w:lastColumn="0" w:noHBand="0" w:noVBand="1"/>
        </w:tblPrEx>
        <w:trPr>
          <w:gridAfter w:val="1"/>
          <w:wAfter w:w="42" w:type="dxa"/>
          <w:trHeight w:val="615"/>
        </w:trPr>
        <w:tc>
          <w:tcPr>
            <w:tcW w:w="8017" w:type="dxa"/>
            <w:vMerge/>
            <w:tcBorders>
              <w:left w:val="single" w:sz="4" w:space="0" w:color="4A8958"/>
              <w:bottom w:val="single" w:sz="4" w:space="0" w:color="4A8958"/>
              <w:right w:val="single" w:sz="4" w:space="0" w:color="4A8958"/>
            </w:tcBorders>
            <w:shd w:val="clear" w:color="auto" w:fill="auto"/>
          </w:tcPr>
          <w:p w14:paraId="17D51CCC" w14:textId="77777777" w:rsidR="00F10E14" w:rsidRPr="00CA74C4" w:rsidRDefault="00F10E14" w:rsidP="00A809BC">
            <w:pPr>
              <w:pStyle w:val="Contents01"/>
              <w:rPr>
                <w:noProof/>
              </w:rPr>
            </w:pPr>
          </w:p>
        </w:tc>
        <w:tc>
          <w:tcPr>
            <w:tcW w:w="2146" w:type="dxa"/>
            <w:gridSpan w:val="2"/>
            <w:tcBorders>
              <w:top w:val="single" w:sz="4" w:space="0" w:color="4A8958"/>
              <w:left w:val="single" w:sz="4" w:space="0" w:color="4A8958"/>
              <w:bottom w:val="single" w:sz="4" w:space="0" w:color="4A8958"/>
              <w:right w:val="single" w:sz="4" w:space="0" w:color="4A8958"/>
            </w:tcBorders>
            <w:shd w:val="clear" w:color="auto" w:fill="auto"/>
          </w:tcPr>
          <w:p w14:paraId="65BE6A2A"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Proposer:</w:t>
            </w:r>
          </w:p>
          <w:p w14:paraId="59E68678" w14:textId="2EA766FC" w:rsidR="00F10E14" w:rsidRPr="00CA74C4" w:rsidRDefault="000F2512" w:rsidP="00632F18">
            <w:pPr>
              <w:spacing w:before="60" w:after="60" w:line="240" w:lineRule="auto"/>
              <w:rPr>
                <w:rFonts w:cs="Arial"/>
                <w:b/>
                <w:color w:val="008576"/>
                <w:szCs w:val="20"/>
              </w:rPr>
            </w:pPr>
            <w:r>
              <w:rPr>
                <w:rFonts w:cs="Arial"/>
                <w:b/>
                <w:color w:val="008576"/>
                <w:szCs w:val="20"/>
              </w:rPr>
              <w:t xml:space="preserve">Ricky </w:t>
            </w:r>
            <w:r w:rsidR="005A5B98">
              <w:rPr>
                <w:rFonts w:cs="Arial"/>
                <w:b/>
                <w:color w:val="008576"/>
                <w:szCs w:val="20"/>
              </w:rPr>
              <w:t>Hill</w:t>
            </w:r>
            <w:r w:rsidR="00632F18">
              <w:rPr>
                <w:rFonts w:cs="Arial"/>
                <w:b/>
                <w:color w:val="008576"/>
                <w:szCs w:val="20"/>
              </w:rPr>
              <w:t xml:space="preserve">, </w:t>
            </w:r>
            <w:r w:rsidR="004E4E97">
              <w:rPr>
                <w:rFonts w:cs="Arial"/>
                <w:b/>
                <w:color w:val="008576"/>
                <w:szCs w:val="20"/>
              </w:rPr>
              <w:t>Centrica</w:t>
            </w:r>
            <w:r w:rsidR="00672390">
              <w:rPr>
                <w:rFonts w:cs="Arial"/>
                <w:b/>
                <w:color w:val="008576"/>
                <w:szCs w:val="20"/>
              </w:rPr>
              <w:t xml:space="preserve"> </w:t>
            </w:r>
            <w:r w:rsidR="006074EC">
              <w:rPr>
                <w:rFonts w:cs="Arial"/>
                <w:b/>
                <w:color w:val="008576"/>
                <w:szCs w:val="20"/>
              </w:rPr>
              <w:t xml:space="preserve">Energy </w:t>
            </w:r>
            <w:r w:rsidR="00672390">
              <w:rPr>
                <w:rFonts w:cs="Arial"/>
                <w:b/>
                <w:color w:val="008576"/>
                <w:szCs w:val="20"/>
              </w:rPr>
              <w:t>Storage</w:t>
            </w:r>
            <w:r w:rsidR="00773463">
              <w:rPr>
                <w:rFonts w:cs="Arial"/>
                <w:b/>
                <w:color w:val="008576"/>
                <w:szCs w:val="20"/>
              </w:rPr>
              <w:t xml:space="preserve"> </w:t>
            </w:r>
            <w:r w:rsidR="007B21CC">
              <w:rPr>
                <w:rFonts w:cs="Arial"/>
                <w:b/>
                <w:color w:val="008576"/>
                <w:szCs w:val="20"/>
              </w:rPr>
              <w:t xml:space="preserve"> Limited</w:t>
            </w:r>
          </w:p>
        </w:tc>
      </w:tr>
      <w:tr w:rsidR="00F10E14" w:rsidRPr="00CA74C4" w14:paraId="499DB09A" w14:textId="77777777" w:rsidTr="002C4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Look w:val="04A0" w:firstRow="1" w:lastRow="0" w:firstColumn="1" w:lastColumn="0" w:noHBand="0" w:noVBand="1"/>
        </w:tblPrEx>
        <w:trPr>
          <w:gridAfter w:val="1"/>
          <w:wAfter w:w="42" w:type="dxa"/>
          <w:trHeight w:val="615"/>
        </w:trPr>
        <w:tc>
          <w:tcPr>
            <w:tcW w:w="8017" w:type="dxa"/>
            <w:vMerge/>
            <w:tcBorders>
              <w:left w:val="single" w:sz="4" w:space="0" w:color="4A8958"/>
              <w:bottom w:val="single" w:sz="4" w:space="0" w:color="4A8958"/>
              <w:right w:val="single" w:sz="4" w:space="0" w:color="4A8958"/>
            </w:tcBorders>
            <w:shd w:val="clear" w:color="auto" w:fill="auto"/>
          </w:tcPr>
          <w:p w14:paraId="4E0F1AA1" w14:textId="77777777" w:rsidR="00F10E14" w:rsidRPr="00CA74C4" w:rsidRDefault="00F10E14" w:rsidP="00A809BC">
            <w:pPr>
              <w:pStyle w:val="Contents01"/>
              <w:rPr>
                <w:noProof/>
              </w:rPr>
            </w:pPr>
          </w:p>
        </w:tc>
        <w:tc>
          <w:tcPr>
            <w:tcW w:w="2146" w:type="dxa"/>
            <w:gridSpan w:val="2"/>
            <w:tcBorders>
              <w:top w:val="single" w:sz="4" w:space="0" w:color="4A8958"/>
              <w:left w:val="single" w:sz="4" w:space="0" w:color="4A8958"/>
              <w:bottom w:val="single" w:sz="4" w:space="0" w:color="4A8958"/>
              <w:right w:val="single" w:sz="4" w:space="0" w:color="4A8958"/>
            </w:tcBorders>
            <w:shd w:val="clear" w:color="auto" w:fill="auto"/>
          </w:tcPr>
          <w:p w14:paraId="347D6523" w14:textId="5933770E" w:rsidR="00632F18" w:rsidRPr="00CA74C4" w:rsidRDefault="003C3E68" w:rsidP="00632F18">
            <w:pPr>
              <w:pStyle w:val="BodyText"/>
              <w:spacing w:before="60" w:after="60" w:line="240" w:lineRule="auto"/>
              <w:rPr>
                <w:rFonts w:cs="Arial"/>
                <w:b/>
                <w:color w:val="008576"/>
                <w:szCs w:val="20"/>
              </w:rPr>
            </w:pPr>
            <w:r w:rsidRPr="00122D68">
              <w:rPr>
                <w:rFonts w:cs="Arial"/>
                <w:b/>
                <w:noProof/>
                <w:color w:val="008576"/>
                <w:szCs w:val="20"/>
                <w:lang w:val="en-US" w:eastAsia="en-US"/>
              </w:rPr>
              <w:drawing>
                <wp:inline distT="0" distB="0" distL="0" distR="0" wp14:anchorId="6AA5CCA6" wp14:editId="75A8E487">
                  <wp:extent cx="281305" cy="281305"/>
                  <wp:effectExtent l="0" t="0" r="0" b="0"/>
                  <wp:docPr id="5" name="Picture 5"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hyperlink r:id="rId16" w:history="1">
              <w:r w:rsidR="00632F18" w:rsidRPr="00747E23">
                <w:rPr>
                  <w:rStyle w:val="Hyperlink"/>
                  <w:rFonts w:cs="Arial"/>
                  <w:b/>
                  <w:szCs w:val="20"/>
                </w:rPr>
                <w:t>Ricky.Hill@centrica.com</w:t>
              </w:r>
            </w:hyperlink>
          </w:p>
        </w:tc>
      </w:tr>
      <w:tr w:rsidR="00F10E14" w:rsidRPr="00CA74C4" w14:paraId="097EC7DB" w14:textId="77777777" w:rsidTr="002C4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Look w:val="04A0" w:firstRow="1" w:lastRow="0" w:firstColumn="1" w:lastColumn="0" w:noHBand="0" w:noVBand="1"/>
        </w:tblPrEx>
        <w:trPr>
          <w:gridAfter w:val="1"/>
          <w:wAfter w:w="42" w:type="dxa"/>
          <w:trHeight w:val="615"/>
        </w:trPr>
        <w:tc>
          <w:tcPr>
            <w:tcW w:w="8017" w:type="dxa"/>
            <w:vMerge/>
            <w:tcBorders>
              <w:left w:val="single" w:sz="4" w:space="0" w:color="4A8958"/>
              <w:bottom w:val="single" w:sz="4" w:space="0" w:color="4A8958"/>
              <w:right w:val="single" w:sz="4" w:space="0" w:color="4A8958"/>
            </w:tcBorders>
            <w:shd w:val="clear" w:color="auto" w:fill="auto"/>
          </w:tcPr>
          <w:p w14:paraId="418CE953" w14:textId="77777777" w:rsidR="00F10E14" w:rsidRPr="00CA74C4" w:rsidRDefault="00F10E14" w:rsidP="00A809BC">
            <w:pPr>
              <w:pStyle w:val="Contents01"/>
              <w:rPr>
                <w:noProof/>
              </w:rPr>
            </w:pPr>
          </w:p>
        </w:tc>
        <w:tc>
          <w:tcPr>
            <w:tcW w:w="2146" w:type="dxa"/>
            <w:gridSpan w:val="2"/>
            <w:tcBorders>
              <w:top w:val="single" w:sz="4" w:space="0" w:color="4A8958"/>
              <w:left w:val="single" w:sz="4" w:space="0" w:color="4A8958"/>
              <w:bottom w:val="single" w:sz="4" w:space="0" w:color="4A8958"/>
              <w:right w:val="single" w:sz="4" w:space="0" w:color="4A8958"/>
            </w:tcBorders>
            <w:shd w:val="clear" w:color="auto" w:fill="auto"/>
          </w:tcPr>
          <w:p w14:paraId="55DFE5C6" w14:textId="3390FEAF"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lang w:val="en-US" w:eastAsia="en-US"/>
              </w:rPr>
              <w:drawing>
                <wp:inline distT="0" distB="0" distL="0" distR="0" wp14:anchorId="6B540248" wp14:editId="10E86C16">
                  <wp:extent cx="281305" cy="281305"/>
                  <wp:effectExtent l="0" t="0" r="0" b="0"/>
                  <wp:docPr id="6" name="Picture 6"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r w:rsidR="005A5B98">
              <w:rPr>
                <w:rFonts w:cs="Arial"/>
                <w:b/>
                <w:color w:val="008576"/>
                <w:szCs w:val="20"/>
              </w:rPr>
              <w:t>0</w:t>
            </w:r>
            <w:r w:rsidR="005A5B98" w:rsidRPr="005A5B98">
              <w:rPr>
                <w:rFonts w:cs="Arial"/>
                <w:b/>
                <w:color w:val="008576"/>
                <w:szCs w:val="20"/>
              </w:rPr>
              <w:t>7789 579169</w:t>
            </w:r>
          </w:p>
        </w:tc>
      </w:tr>
      <w:tr w:rsidR="00F10E14" w:rsidRPr="00CA74C4" w14:paraId="76B098A8" w14:textId="77777777" w:rsidTr="002C4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Look w:val="04A0" w:firstRow="1" w:lastRow="0" w:firstColumn="1" w:lastColumn="0" w:noHBand="0" w:noVBand="1"/>
        </w:tblPrEx>
        <w:trPr>
          <w:gridAfter w:val="1"/>
          <w:wAfter w:w="42" w:type="dxa"/>
          <w:trHeight w:val="615"/>
        </w:trPr>
        <w:tc>
          <w:tcPr>
            <w:tcW w:w="8017" w:type="dxa"/>
            <w:vMerge/>
            <w:tcBorders>
              <w:left w:val="single" w:sz="4" w:space="0" w:color="4A8958"/>
              <w:bottom w:val="single" w:sz="4" w:space="0" w:color="4A8958"/>
              <w:right w:val="single" w:sz="4" w:space="0" w:color="4A8958"/>
            </w:tcBorders>
            <w:shd w:val="clear" w:color="auto" w:fill="auto"/>
          </w:tcPr>
          <w:p w14:paraId="5FC5D7C0" w14:textId="77777777" w:rsidR="00F10E14" w:rsidRPr="00CA74C4" w:rsidRDefault="00F10E14" w:rsidP="00A809BC">
            <w:pPr>
              <w:pStyle w:val="Contents01"/>
              <w:rPr>
                <w:noProof/>
              </w:rPr>
            </w:pPr>
          </w:p>
        </w:tc>
        <w:tc>
          <w:tcPr>
            <w:tcW w:w="2146" w:type="dxa"/>
            <w:gridSpan w:val="2"/>
            <w:tcBorders>
              <w:top w:val="single" w:sz="4" w:space="0" w:color="4A8958"/>
              <w:left w:val="single" w:sz="4" w:space="0" w:color="4A8958"/>
              <w:bottom w:val="single" w:sz="4" w:space="0" w:color="4A8958"/>
              <w:right w:val="single" w:sz="4" w:space="0" w:color="4A8958"/>
            </w:tcBorders>
            <w:shd w:val="clear" w:color="auto" w:fill="auto"/>
          </w:tcPr>
          <w:p w14:paraId="43F2CD9F" w14:textId="77777777" w:rsidR="00F10E14" w:rsidRPr="00CA74C4" w:rsidRDefault="002D4AED" w:rsidP="002D4AED">
            <w:pPr>
              <w:spacing w:before="60" w:after="60" w:line="240" w:lineRule="auto"/>
              <w:rPr>
                <w:rFonts w:cs="Arial"/>
                <w:color w:val="008576"/>
                <w:szCs w:val="20"/>
              </w:rPr>
            </w:pPr>
            <w:r>
              <w:rPr>
                <w:rFonts w:cs="Arial"/>
                <w:color w:val="008576"/>
                <w:szCs w:val="20"/>
              </w:rPr>
              <w:t>Transporter</w:t>
            </w:r>
            <w:r w:rsidR="00F10E14" w:rsidRPr="00CA74C4">
              <w:rPr>
                <w:rFonts w:cs="Arial"/>
                <w:color w:val="008576"/>
                <w:szCs w:val="20"/>
              </w:rPr>
              <w:t>:</w:t>
            </w:r>
          </w:p>
          <w:p w14:paraId="54C723AD" w14:textId="0F5B79E1" w:rsidR="00F10E14" w:rsidRPr="00CA74C4" w:rsidRDefault="004E4E97" w:rsidP="002D4AED">
            <w:pPr>
              <w:pStyle w:val="BodyText"/>
              <w:spacing w:before="60" w:after="60" w:line="240" w:lineRule="auto"/>
              <w:rPr>
                <w:rFonts w:cs="Arial"/>
                <w:color w:val="008576"/>
                <w:szCs w:val="20"/>
              </w:rPr>
            </w:pPr>
            <w:r>
              <w:rPr>
                <w:rFonts w:cs="Arial"/>
                <w:b/>
                <w:color w:val="008576"/>
                <w:szCs w:val="20"/>
              </w:rPr>
              <w:t xml:space="preserve">National </w:t>
            </w:r>
            <w:r w:rsidR="00C4388A" w:rsidRPr="00C4388A">
              <w:rPr>
                <w:rFonts w:cs="Arial"/>
                <w:b/>
                <w:color w:val="008576"/>
                <w:szCs w:val="20"/>
              </w:rPr>
              <w:t>Gas Transmission</w:t>
            </w:r>
          </w:p>
        </w:tc>
      </w:tr>
      <w:tr w:rsidR="00F10E14" w:rsidRPr="00CA74C4" w14:paraId="0537B8DB" w14:textId="77777777" w:rsidTr="002C4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Look w:val="04A0" w:firstRow="1" w:lastRow="0" w:firstColumn="1" w:lastColumn="0" w:noHBand="0" w:noVBand="1"/>
        </w:tblPrEx>
        <w:trPr>
          <w:gridAfter w:val="1"/>
          <w:wAfter w:w="42" w:type="dxa"/>
          <w:trHeight w:val="492"/>
        </w:trPr>
        <w:tc>
          <w:tcPr>
            <w:tcW w:w="8017" w:type="dxa"/>
            <w:vMerge/>
            <w:tcBorders>
              <w:left w:val="single" w:sz="4" w:space="0" w:color="4A8958"/>
              <w:bottom w:val="single" w:sz="4" w:space="0" w:color="4A8958"/>
              <w:right w:val="single" w:sz="4" w:space="0" w:color="4A8958"/>
            </w:tcBorders>
            <w:shd w:val="clear" w:color="auto" w:fill="auto"/>
          </w:tcPr>
          <w:p w14:paraId="6FDD6C0D" w14:textId="77777777" w:rsidR="00F10E14" w:rsidRPr="00CA74C4" w:rsidRDefault="00F10E14" w:rsidP="004A3386">
            <w:pPr>
              <w:pStyle w:val="BodyText"/>
              <w:rPr>
                <w:rFonts w:cs="Arial"/>
                <w:b/>
                <w:bCs/>
                <w:noProof/>
                <w:color w:val="00B274"/>
                <w:szCs w:val="32"/>
              </w:rPr>
            </w:pPr>
          </w:p>
        </w:tc>
        <w:tc>
          <w:tcPr>
            <w:tcW w:w="2146" w:type="dxa"/>
            <w:gridSpan w:val="2"/>
            <w:tcBorders>
              <w:top w:val="single" w:sz="4" w:space="0" w:color="4A8958"/>
              <w:left w:val="single" w:sz="4" w:space="0" w:color="4A8958"/>
              <w:bottom w:val="single" w:sz="4" w:space="0" w:color="4A8958"/>
              <w:right w:val="single" w:sz="4" w:space="0" w:color="4A8958"/>
            </w:tcBorders>
            <w:shd w:val="clear" w:color="auto" w:fill="auto"/>
          </w:tcPr>
          <w:p w14:paraId="1C8714DA" w14:textId="361BD54A" w:rsidR="002626D7" w:rsidRPr="00CA74C4" w:rsidRDefault="003C3E68" w:rsidP="002626D7">
            <w:pPr>
              <w:pStyle w:val="BodyText"/>
              <w:spacing w:before="60" w:after="60"/>
              <w:rPr>
                <w:rFonts w:cs="Arial"/>
                <w:b/>
                <w:color w:val="008576"/>
                <w:szCs w:val="20"/>
              </w:rPr>
            </w:pPr>
            <w:r w:rsidRPr="00122D68">
              <w:rPr>
                <w:rFonts w:cs="Arial"/>
                <w:b/>
                <w:noProof/>
                <w:color w:val="008576"/>
                <w:szCs w:val="20"/>
                <w:lang w:val="en-US" w:eastAsia="en-US"/>
              </w:rPr>
              <w:drawing>
                <wp:inline distT="0" distB="0" distL="0" distR="0" wp14:anchorId="3F873912" wp14:editId="41A54067">
                  <wp:extent cx="281305" cy="281305"/>
                  <wp:effectExtent l="0" t="0" r="0" b="0"/>
                  <wp:docPr id="7" name="Picture 7"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hyperlink r:id="rId17" w:history="1">
              <w:r w:rsidR="00E12738" w:rsidRPr="002626D7">
                <w:rPr>
                  <w:rStyle w:val="Hyperlink"/>
                  <w:rFonts w:cs="Arial"/>
                  <w:b/>
                  <w:szCs w:val="20"/>
                </w:rPr>
                <w:t>Malcolm.Montgomery@nationalgas.com</w:t>
              </w:r>
            </w:hyperlink>
          </w:p>
        </w:tc>
      </w:tr>
      <w:tr w:rsidR="00F10E14" w:rsidRPr="00CA74C4" w14:paraId="5B5A84FA" w14:textId="77777777" w:rsidTr="002C4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Look w:val="04A0" w:firstRow="1" w:lastRow="0" w:firstColumn="1" w:lastColumn="0" w:noHBand="0" w:noVBand="1"/>
        </w:tblPrEx>
        <w:trPr>
          <w:gridAfter w:val="1"/>
          <w:wAfter w:w="42" w:type="dxa"/>
          <w:trHeight w:val="492"/>
        </w:trPr>
        <w:tc>
          <w:tcPr>
            <w:tcW w:w="8017" w:type="dxa"/>
            <w:vMerge/>
            <w:tcBorders>
              <w:left w:val="single" w:sz="4" w:space="0" w:color="4A8958"/>
              <w:bottom w:val="single" w:sz="4" w:space="0" w:color="4A8958"/>
              <w:right w:val="single" w:sz="4" w:space="0" w:color="4A8958"/>
            </w:tcBorders>
            <w:shd w:val="clear" w:color="auto" w:fill="auto"/>
          </w:tcPr>
          <w:p w14:paraId="45BB4BE0" w14:textId="77777777" w:rsidR="00F10E14" w:rsidRPr="00CA74C4" w:rsidRDefault="00F10E14" w:rsidP="004A3386">
            <w:pPr>
              <w:pStyle w:val="BodyText"/>
              <w:rPr>
                <w:rFonts w:cs="Arial"/>
                <w:b/>
                <w:bCs/>
                <w:noProof/>
                <w:color w:val="00B274"/>
                <w:szCs w:val="32"/>
              </w:rPr>
            </w:pPr>
          </w:p>
        </w:tc>
        <w:tc>
          <w:tcPr>
            <w:tcW w:w="2146" w:type="dxa"/>
            <w:gridSpan w:val="2"/>
            <w:tcBorders>
              <w:top w:val="single" w:sz="4" w:space="0" w:color="4A8958"/>
              <w:left w:val="single" w:sz="4" w:space="0" w:color="4A8958"/>
              <w:bottom w:val="single" w:sz="4" w:space="0" w:color="4A8958"/>
              <w:right w:val="single" w:sz="4" w:space="0" w:color="4A8958"/>
            </w:tcBorders>
            <w:shd w:val="clear" w:color="auto" w:fill="auto"/>
          </w:tcPr>
          <w:p w14:paraId="3D5AB18F" w14:textId="64D24E6C" w:rsidR="00F10E14" w:rsidRPr="00CA74C4" w:rsidRDefault="003C3E68" w:rsidP="002D4AED">
            <w:pPr>
              <w:pStyle w:val="BodyText"/>
              <w:spacing w:before="60" w:after="60"/>
              <w:rPr>
                <w:rFonts w:cs="Arial"/>
                <w:b/>
                <w:noProof/>
                <w:color w:val="008576"/>
                <w:szCs w:val="20"/>
                <w:lang w:val="en-US" w:eastAsia="en-US"/>
              </w:rPr>
            </w:pPr>
            <w:r w:rsidRPr="00122D68">
              <w:rPr>
                <w:rFonts w:cs="Arial"/>
                <w:b/>
                <w:noProof/>
                <w:color w:val="008576"/>
                <w:szCs w:val="20"/>
                <w:lang w:val="en-US" w:eastAsia="en-US"/>
              </w:rPr>
              <w:drawing>
                <wp:inline distT="0" distB="0" distL="0" distR="0" wp14:anchorId="7BA49997" wp14:editId="74A51E74">
                  <wp:extent cx="281305" cy="281305"/>
                  <wp:effectExtent l="0" t="0" r="0" b="0"/>
                  <wp:docPr id="8" name="Picture 8"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r w:rsidR="002626D7" w:rsidRPr="002626D7">
              <w:rPr>
                <w:rFonts w:cs="Arial"/>
                <w:b/>
                <w:color w:val="008576"/>
                <w:szCs w:val="20"/>
              </w:rPr>
              <w:t>07970 114460</w:t>
            </w:r>
          </w:p>
        </w:tc>
      </w:tr>
      <w:tr w:rsidR="005B0B30" w:rsidRPr="00CA74C4" w14:paraId="1ED38AC2" w14:textId="77777777" w:rsidTr="002C4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Look w:val="04A0" w:firstRow="1" w:lastRow="0" w:firstColumn="1" w:lastColumn="0" w:noHBand="0" w:noVBand="1"/>
        </w:tblPrEx>
        <w:trPr>
          <w:gridAfter w:val="1"/>
          <w:wAfter w:w="42" w:type="dxa"/>
          <w:trHeight w:val="493"/>
        </w:trPr>
        <w:tc>
          <w:tcPr>
            <w:tcW w:w="8017" w:type="dxa"/>
            <w:vMerge/>
            <w:tcBorders>
              <w:left w:val="single" w:sz="4" w:space="0" w:color="4A8958"/>
              <w:bottom w:val="single" w:sz="4" w:space="0" w:color="4A8958"/>
              <w:right w:val="single" w:sz="4" w:space="0" w:color="4A8958"/>
            </w:tcBorders>
            <w:shd w:val="clear" w:color="auto" w:fill="auto"/>
          </w:tcPr>
          <w:p w14:paraId="3AAC5658" w14:textId="77777777" w:rsidR="005B0B30" w:rsidRPr="00CA74C4" w:rsidRDefault="005B0B30" w:rsidP="004A3386">
            <w:pPr>
              <w:pStyle w:val="BodyText"/>
              <w:rPr>
                <w:rFonts w:cs="Arial"/>
                <w:b/>
                <w:bCs/>
                <w:noProof/>
                <w:color w:val="00B274"/>
                <w:szCs w:val="32"/>
              </w:rPr>
            </w:pPr>
          </w:p>
        </w:tc>
        <w:tc>
          <w:tcPr>
            <w:tcW w:w="2146" w:type="dxa"/>
            <w:gridSpan w:val="2"/>
            <w:tcBorders>
              <w:top w:val="single" w:sz="4" w:space="0" w:color="4A8958"/>
              <w:left w:val="single" w:sz="4" w:space="0" w:color="4A8958"/>
              <w:bottom w:val="single" w:sz="4" w:space="0" w:color="4A8958"/>
              <w:right w:val="single" w:sz="4" w:space="0" w:color="4A8958"/>
            </w:tcBorders>
            <w:shd w:val="clear" w:color="auto" w:fill="auto"/>
          </w:tcPr>
          <w:p w14:paraId="00793A8D" w14:textId="77777777" w:rsidR="005B0B30" w:rsidRPr="00CA74C4" w:rsidRDefault="002D4AED" w:rsidP="002D4AED">
            <w:pPr>
              <w:spacing w:before="60" w:after="60" w:line="240" w:lineRule="auto"/>
              <w:rPr>
                <w:rFonts w:cs="Arial"/>
                <w:color w:val="008576"/>
                <w:szCs w:val="20"/>
              </w:rPr>
            </w:pPr>
            <w:r>
              <w:rPr>
                <w:rFonts w:cs="Arial"/>
                <w:color w:val="008576"/>
                <w:szCs w:val="20"/>
              </w:rPr>
              <w:t>Systems Provider:</w:t>
            </w:r>
          </w:p>
          <w:p w14:paraId="45C7D8C3" w14:textId="77777777" w:rsidR="005B0B30" w:rsidRPr="00CA74C4" w:rsidRDefault="002D4AED" w:rsidP="002D4AED">
            <w:pPr>
              <w:pStyle w:val="BodyText"/>
              <w:spacing w:before="60" w:after="60" w:line="240" w:lineRule="auto"/>
              <w:rPr>
                <w:rFonts w:cs="Arial"/>
                <w:color w:val="008576"/>
                <w:szCs w:val="20"/>
              </w:rPr>
            </w:pPr>
            <w:r>
              <w:rPr>
                <w:rFonts w:cs="Arial"/>
                <w:b/>
                <w:color w:val="008576"/>
                <w:szCs w:val="20"/>
              </w:rPr>
              <w:t>Xoserve</w:t>
            </w:r>
          </w:p>
        </w:tc>
      </w:tr>
      <w:tr w:rsidR="005B0B30" w:rsidRPr="00CA74C4" w14:paraId="15727A7A" w14:textId="77777777" w:rsidTr="002C4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Look w:val="04A0" w:firstRow="1" w:lastRow="0" w:firstColumn="1" w:lastColumn="0" w:noHBand="0" w:noVBand="1"/>
        </w:tblPrEx>
        <w:trPr>
          <w:gridAfter w:val="1"/>
          <w:wAfter w:w="42" w:type="dxa"/>
          <w:trHeight w:val="492"/>
        </w:trPr>
        <w:tc>
          <w:tcPr>
            <w:tcW w:w="8017" w:type="dxa"/>
            <w:vMerge/>
            <w:tcBorders>
              <w:left w:val="single" w:sz="4" w:space="0" w:color="4A8958"/>
              <w:bottom w:val="single" w:sz="4" w:space="0" w:color="4A8958"/>
              <w:right w:val="single" w:sz="4" w:space="0" w:color="4A8958"/>
            </w:tcBorders>
            <w:shd w:val="clear" w:color="auto" w:fill="auto"/>
          </w:tcPr>
          <w:p w14:paraId="347EF238" w14:textId="77777777" w:rsidR="005B0B30" w:rsidRPr="00CA74C4" w:rsidRDefault="005B0B30" w:rsidP="004A3386">
            <w:pPr>
              <w:pStyle w:val="BodyText"/>
              <w:rPr>
                <w:rFonts w:cs="Arial"/>
                <w:b/>
                <w:bCs/>
                <w:noProof/>
                <w:color w:val="00B274"/>
                <w:szCs w:val="32"/>
              </w:rPr>
            </w:pPr>
          </w:p>
        </w:tc>
        <w:tc>
          <w:tcPr>
            <w:tcW w:w="2146" w:type="dxa"/>
            <w:gridSpan w:val="2"/>
            <w:tcBorders>
              <w:top w:val="single" w:sz="4" w:space="0" w:color="4A8958"/>
              <w:left w:val="single" w:sz="4" w:space="0" w:color="4A8958"/>
              <w:bottom w:val="single" w:sz="4" w:space="0" w:color="4A8958"/>
              <w:right w:val="single" w:sz="4" w:space="0" w:color="4A8958"/>
            </w:tcBorders>
            <w:shd w:val="clear" w:color="auto" w:fill="auto"/>
          </w:tcPr>
          <w:p w14:paraId="051F1B99" w14:textId="77777777" w:rsidR="005B0B30" w:rsidRPr="00CA74C4" w:rsidRDefault="003C3E68" w:rsidP="00CB5E73">
            <w:pPr>
              <w:pStyle w:val="BodyText"/>
              <w:spacing w:before="60" w:after="60"/>
              <w:rPr>
                <w:rFonts w:cs="Arial"/>
                <w:b/>
                <w:color w:val="008576"/>
                <w:szCs w:val="20"/>
              </w:rPr>
            </w:pPr>
            <w:r w:rsidRPr="00122D68">
              <w:rPr>
                <w:rFonts w:cs="Arial"/>
                <w:b/>
                <w:noProof/>
                <w:color w:val="008576"/>
                <w:szCs w:val="20"/>
                <w:lang w:val="en-US" w:eastAsia="en-US"/>
              </w:rPr>
              <w:drawing>
                <wp:inline distT="0" distB="0" distL="0" distR="0" wp14:anchorId="7D8E37DB" wp14:editId="5401C62B">
                  <wp:extent cx="281305" cy="281305"/>
                  <wp:effectExtent l="0" t="0" r="0" b="0"/>
                  <wp:docPr id="9" name="Picture 9"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5B0B30" w:rsidRPr="00CA74C4">
              <w:rPr>
                <w:rFonts w:cs="Arial"/>
                <w:b/>
                <w:color w:val="008576"/>
                <w:szCs w:val="20"/>
              </w:rPr>
              <w:t xml:space="preserve"> </w:t>
            </w:r>
            <w:hyperlink r:id="rId18" w:history="1">
              <w:r w:rsidR="00CB5E73" w:rsidRPr="00CB5E73">
                <w:rPr>
                  <w:rStyle w:val="Hyperlink"/>
                  <w:rFonts w:cs="Arial"/>
                  <w:b/>
                  <w:szCs w:val="20"/>
                </w:rPr>
                <w:t>UKLink@xoserve.com</w:t>
              </w:r>
            </w:hyperlink>
          </w:p>
        </w:tc>
      </w:tr>
      <w:tr w:rsidR="002D4AED" w:rsidRPr="00CA74C4" w14:paraId="0B53EAC3" w14:textId="77777777" w:rsidTr="002C4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Look w:val="04A0" w:firstRow="1" w:lastRow="0" w:firstColumn="1" w:lastColumn="0" w:noHBand="0" w:noVBand="1"/>
        </w:tblPrEx>
        <w:trPr>
          <w:gridAfter w:val="1"/>
          <w:wAfter w:w="42" w:type="dxa"/>
          <w:trHeight w:val="628"/>
        </w:trPr>
        <w:tc>
          <w:tcPr>
            <w:tcW w:w="8017" w:type="dxa"/>
            <w:vMerge/>
            <w:tcBorders>
              <w:left w:val="single" w:sz="4" w:space="0" w:color="4A8958"/>
              <w:bottom w:val="single" w:sz="4" w:space="0" w:color="4A8958"/>
              <w:right w:val="single" w:sz="4" w:space="0" w:color="4A8958"/>
            </w:tcBorders>
            <w:shd w:val="clear" w:color="auto" w:fill="auto"/>
          </w:tcPr>
          <w:p w14:paraId="63D14F25" w14:textId="77777777" w:rsidR="002D4AED" w:rsidRPr="00CA74C4" w:rsidRDefault="002D4AED" w:rsidP="004A3386">
            <w:pPr>
              <w:pStyle w:val="BodyText"/>
              <w:rPr>
                <w:rFonts w:cs="Arial"/>
                <w:b/>
                <w:bCs/>
                <w:noProof/>
                <w:color w:val="00B274"/>
                <w:szCs w:val="32"/>
              </w:rPr>
            </w:pPr>
          </w:p>
        </w:tc>
        <w:tc>
          <w:tcPr>
            <w:tcW w:w="2146" w:type="dxa"/>
            <w:gridSpan w:val="2"/>
            <w:tcBorders>
              <w:top w:val="single" w:sz="4" w:space="0" w:color="4A8958"/>
              <w:left w:val="single" w:sz="4" w:space="0" w:color="4A8958"/>
              <w:bottom w:val="single" w:sz="4" w:space="0" w:color="4A8958"/>
              <w:right w:val="single" w:sz="4" w:space="0" w:color="4A8958"/>
            </w:tcBorders>
            <w:shd w:val="clear" w:color="auto" w:fill="auto"/>
          </w:tcPr>
          <w:p w14:paraId="6FD61A73" w14:textId="77777777" w:rsidR="002D4AED" w:rsidRPr="00CA74C4" w:rsidRDefault="002D4AED" w:rsidP="002D4AED">
            <w:pPr>
              <w:spacing w:before="60" w:after="60" w:line="240" w:lineRule="auto"/>
              <w:rPr>
                <w:rFonts w:cs="Arial"/>
                <w:color w:val="008576"/>
                <w:szCs w:val="20"/>
              </w:rPr>
            </w:pPr>
            <w:r w:rsidRPr="00CA74C4">
              <w:rPr>
                <w:rFonts w:cs="Arial"/>
                <w:color w:val="008576"/>
                <w:szCs w:val="20"/>
              </w:rPr>
              <w:t>Other:</w:t>
            </w:r>
          </w:p>
          <w:p w14:paraId="388CC44F" w14:textId="7D871101" w:rsidR="005A5B98" w:rsidRPr="00CA74C4" w:rsidRDefault="005A5B98" w:rsidP="00632F18">
            <w:pPr>
              <w:pStyle w:val="BodyText"/>
              <w:spacing w:before="60" w:after="60"/>
              <w:rPr>
                <w:rFonts w:cs="Arial"/>
                <w:b/>
                <w:noProof/>
                <w:color w:val="008576"/>
                <w:szCs w:val="20"/>
                <w:lang w:val="en-US" w:eastAsia="en-US"/>
              </w:rPr>
            </w:pPr>
            <w:r>
              <w:rPr>
                <w:rFonts w:cs="Arial"/>
                <w:b/>
                <w:color w:val="008576"/>
                <w:szCs w:val="20"/>
              </w:rPr>
              <w:t>Nick Wye, Waters Wye Associates</w:t>
            </w:r>
          </w:p>
        </w:tc>
      </w:tr>
      <w:tr w:rsidR="002D4AED" w:rsidRPr="00CA74C4" w14:paraId="00D88321" w14:textId="77777777" w:rsidTr="002C4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Look w:val="04A0" w:firstRow="1" w:lastRow="0" w:firstColumn="1" w:lastColumn="0" w:noHBand="0" w:noVBand="1"/>
        </w:tblPrEx>
        <w:trPr>
          <w:gridAfter w:val="1"/>
          <w:wAfter w:w="42" w:type="dxa"/>
          <w:trHeight w:val="540"/>
        </w:trPr>
        <w:tc>
          <w:tcPr>
            <w:tcW w:w="8017" w:type="dxa"/>
            <w:vMerge/>
            <w:tcBorders>
              <w:left w:val="single" w:sz="4" w:space="0" w:color="4A8958"/>
              <w:bottom w:val="single" w:sz="4" w:space="0" w:color="4A8958"/>
              <w:right w:val="single" w:sz="4" w:space="0" w:color="4A8958"/>
            </w:tcBorders>
            <w:shd w:val="clear" w:color="auto" w:fill="auto"/>
          </w:tcPr>
          <w:p w14:paraId="2D61E912" w14:textId="77777777" w:rsidR="002D4AED" w:rsidRPr="00CA74C4" w:rsidRDefault="002D4AED" w:rsidP="004A3386">
            <w:pPr>
              <w:pStyle w:val="BodyText"/>
              <w:spacing w:line="240" w:lineRule="auto"/>
              <w:rPr>
                <w:rFonts w:cs="Arial"/>
                <w:szCs w:val="20"/>
              </w:rPr>
            </w:pPr>
          </w:p>
        </w:tc>
        <w:tc>
          <w:tcPr>
            <w:tcW w:w="2146" w:type="dxa"/>
            <w:gridSpan w:val="2"/>
            <w:tcBorders>
              <w:top w:val="single" w:sz="4" w:space="0" w:color="4A8958"/>
              <w:left w:val="single" w:sz="4" w:space="0" w:color="4A8958"/>
              <w:bottom w:val="single" w:sz="4" w:space="0" w:color="4A8958"/>
              <w:right w:val="single" w:sz="4" w:space="0" w:color="4A8958"/>
            </w:tcBorders>
            <w:shd w:val="clear" w:color="auto" w:fill="auto"/>
          </w:tcPr>
          <w:p w14:paraId="20373427" w14:textId="4FB631DF" w:rsidR="00632F18" w:rsidRPr="00CA74C4" w:rsidRDefault="003C3E68" w:rsidP="00632F18">
            <w:pPr>
              <w:pStyle w:val="BodyText"/>
              <w:spacing w:before="60" w:after="60" w:line="240" w:lineRule="auto"/>
              <w:rPr>
                <w:rFonts w:cs="Arial"/>
                <w:color w:val="008576"/>
                <w:szCs w:val="20"/>
              </w:rPr>
            </w:pPr>
            <w:r w:rsidRPr="00122D68">
              <w:rPr>
                <w:rFonts w:cs="Arial"/>
                <w:b/>
                <w:noProof/>
                <w:color w:val="008576"/>
                <w:szCs w:val="20"/>
                <w:lang w:val="en-US" w:eastAsia="en-US"/>
              </w:rPr>
              <w:drawing>
                <wp:inline distT="0" distB="0" distL="0" distR="0" wp14:anchorId="631C31F7" wp14:editId="4BB5C279">
                  <wp:extent cx="281305" cy="281305"/>
                  <wp:effectExtent l="0" t="0" r="0" b="0"/>
                  <wp:docPr id="10" name="Picture 10"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CA74C4">
              <w:rPr>
                <w:rFonts w:cs="Arial"/>
                <w:b/>
                <w:color w:val="008576"/>
                <w:szCs w:val="20"/>
              </w:rPr>
              <w:t xml:space="preserve"> </w:t>
            </w:r>
            <w:hyperlink r:id="rId19" w:history="1">
              <w:r w:rsidR="00632F18" w:rsidRPr="00747E23">
                <w:rPr>
                  <w:rStyle w:val="Hyperlink"/>
                  <w:rFonts w:cs="Arial"/>
                  <w:b/>
                  <w:szCs w:val="20"/>
                </w:rPr>
                <w:t>nick@waterswye.co.uk</w:t>
              </w:r>
            </w:hyperlink>
          </w:p>
        </w:tc>
      </w:tr>
      <w:tr w:rsidR="00632F18" w:rsidRPr="00CA74C4" w14:paraId="0C20D20C" w14:textId="77777777" w:rsidTr="00AA0B5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Look w:val="04A0" w:firstRow="1" w:lastRow="0" w:firstColumn="1" w:lastColumn="0" w:noHBand="0" w:noVBand="1"/>
        </w:tblPrEx>
        <w:trPr>
          <w:gridAfter w:val="1"/>
          <w:wAfter w:w="42" w:type="dxa"/>
          <w:trHeight w:val="1155"/>
        </w:trPr>
        <w:tc>
          <w:tcPr>
            <w:tcW w:w="8017" w:type="dxa"/>
            <w:vMerge/>
            <w:tcBorders>
              <w:left w:val="single" w:sz="4" w:space="0" w:color="4A8958"/>
              <w:bottom w:val="single" w:sz="4" w:space="0" w:color="4A8958"/>
              <w:right w:val="single" w:sz="4" w:space="0" w:color="4A8958"/>
            </w:tcBorders>
            <w:shd w:val="clear" w:color="auto" w:fill="auto"/>
          </w:tcPr>
          <w:p w14:paraId="0D2B3CFE" w14:textId="77777777" w:rsidR="00632F18" w:rsidRPr="00CA74C4" w:rsidRDefault="00632F18" w:rsidP="004A3386">
            <w:pPr>
              <w:pStyle w:val="BodyText"/>
              <w:spacing w:line="240" w:lineRule="auto"/>
              <w:rPr>
                <w:rFonts w:cs="Arial"/>
                <w:szCs w:val="20"/>
              </w:rPr>
            </w:pPr>
          </w:p>
        </w:tc>
        <w:tc>
          <w:tcPr>
            <w:tcW w:w="2146" w:type="dxa"/>
            <w:gridSpan w:val="2"/>
            <w:tcBorders>
              <w:top w:val="single" w:sz="4" w:space="0" w:color="4A8958"/>
              <w:left w:val="single" w:sz="4" w:space="0" w:color="4A8958"/>
              <w:right w:val="single" w:sz="4" w:space="0" w:color="4A8958"/>
            </w:tcBorders>
            <w:shd w:val="clear" w:color="auto" w:fill="auto"/>
          </w:tcPr>
          <w:p w14:paraId="4ECF91FF" w14:textId="19A5A3B2" w:rsidR="00632F18" w:rsidRPr="00CA74C4" w:rsidRDefault="00632F18" w:rsidP="005A5B98">
            <w:pPr>
              <w:pStyle w:val="BodyText"/>
              <w:spacing w:before="60" w:after="60"/>
              <w:rPr>
                <w:rFonts w:cs="Arial"/>
                <w:b/>
                <w:color w:val="008576"/>
                <w:szCs w:val="20"/>
              </w:rPr>
            </w:pPr>
            <w:r w:rsidRPr="00122D68">
              <w:rPr>
                <w:rFonts w:cs="Arial"/>
                <w:b/>
                <w:noProof/>
                <w:color w:val="008576"/>
                <w:szCs w:val="20"/>
                <w:lang w:val="en-US" w:eastAsia="en-US"/>
              </w:rPr>
              <w:drawing>
                <wp:inline distT="0" distB="0" distL="0" distR="0" wp14:anchorId="16F26B75" wp14:editId="6D1136A0">
                  <wp:extent cx="281305" cy="281305"/>
                  <wp:effectExtent l="0" t="0" r="0" b="0"/>
                  <wp:docPr id="11" name="Picture 11"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Pr="00CA74C4">
              <w:rPr>
                <w:rFonts w:cs="Arial"/>
                <w:b/>
                <w:color w:val="008576"/>
                <w:szCs w:val="20"/>
              </w:rPr>
              <w:t xml:space="preserve"> </w:t>
            </w:r>
            <w:r>
              <w:rPr>
                <w:rFonts w:cs="Arial"/>
                <w:b/>
                <w:color w:val="008576"/>
                <w:szCs w:val="20"/>
              </w:rPr>
              <w:t>07900 055144</w:t>
            </w:r>
          </w:p>
        </w:tc>
      </w:tr>
    </w:tbl>
    <w:p w14:paraId="0DFF6F32" w14:textId="7FD3C475" w:rsidR="00EE5AFB" w:rsidRDefault="00936D97">
      <w:pPr>
        <w:rPr>
          <w:rFonts w:cs="Arial"/>
        </w:rPr>
      </w:pPr>
      <w:r>
        <w:rPr>
          <w:noProof/>
          <w:lang w:val="en-US" w:eastAsia="en-US"/>
        </w:rPr>
        <mc:AlternateContent>
          <mc:Choice Requires="wps">
            <w:drawing>
              <wp:anchor distT="0" distB="0" distL="114300" distR="114300" simplePos="0" relativeHeight="251634176" behindDoc="0" locked="0" layoutInCell="1" allowOverlap="1" wp14:anchorId="48699122" wp14:editId="0F36E097">
                <wp:simplePos x="0" y="0"/>
                <wp:positionH relativeFrom="column">
                  <wp:posOffset>-132715</wp:posOffset>
                </wp:positionH>
                <wp:positionV relativeFrom="paragraph">
                  <wp:posOffset>20955</wp:posOffset>
                </wp:positionV>
                <wp:extent cx="6449695" cy="1485900"/>
                <wp:effectExtent l="0" t="0" r="19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4969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4F75A" w14:textId="77777777" w:rsidR="005521A7" w:rsidRPr="00591431" w:rsidRDefault="005521A7" w:rsidP="004E4E97">
                            <w:pPr>
                              <w:pStyle w:val="BodyText"/>
                              <w:tabs>
                                <w:tab w:val="left" w:pos="9639"/>
                              </w:tabs>
                              <w:spacing w:after="60" w:line="240" w:lineRule="auto"/>
                              <w:ind w:right="-54"/>
                              <w:rPr>
                                <w:rFonts w:cs="Arial"/>
                                <w:i/>
                                <w:color w:val="00B27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48699122" id="_x0000_t202" coordsize="21600,21600" o:spt="202" path="m,l,21600r21600,l21600,xe">
                <v:stroke joinstyle="miter"/>
                <v:path gradientshapeok="t" o:connecttype="rect"/>
              </v:shapetype>
              <v:shape id="Text Box 13" o:spid="_x0000_s1026" type="#_x0000_t202" style="position:absolute;margin-left:-10.45pt;margin-top:1.65pt;width:507.85pt;height:11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" filled="f" stroked="f">
                <v:path arrowok="t"/>
                <v:textbox>
                  <w:txbxContent>
                    <w:p w14:paraId="0E94F75A" w14:textId="77777777" w:rsidR="005521A7" w:rsidRPr="00591431" w:rsidRDefault="005521A7" w:rsidP="004E4E97">
                      <w:pPr>
                        <w:pStyle w:val="BodyText"/>
                        <w:tabs>
                          <w:tab w:val="left" w:pos="9639"/>
                        </w:tabs>
                        <w:spacing w:after="60" w:line="240" w:lineRule="auto"/>
                        <w:ind w:right="-54"/>
                        <w:rPr>
                          <w:rFonts w:cs="Arial"/>
                          <w:i/>
                          <w:color w:val="00B274"/>
                          <w:szCs w:val="20"/>
                        </w:rPr>
                      </w:pPr>
                    </w:p>
                  </w:txbxContent>
                </v:textbox>
              </v:shape>
            </w:pict>
          </mc:Fallback>
        </mc:AlternateContent>
      </w:r>
    </w:p>
    <w:p w14:paraId="1B5996DA" w14:textId="77777777" w:rsidR="00143041" w:rsidRPr="00CA74C4" w:rsidRDefault="004C6117" w:rsidP="00761C07">
      <w:pPr>
        <w:pStyle w:val="Heading02"/>
      </w:pPr>
      <w:bookmarkStart w:id="0" w:name="_Toc188527263"/>
      <w:bookmarkStart w:id="1" w:name="_Toc169090690"/>
      <w:r w:rsidRPr="00CA74C4">
        <w:lastRenderedPageBreak/>
        <w:t>Summary</w:t>
      </w:r>
      <w:bookmarkEnd w:id="0"/>
      <w:bookmarkEnd w:id="1"/>
    </w:p>
    <w:p w14:paraId="56FCD9D3" w14:textId="77777777" w:rsidR="004C6117" w:rsidRPr="00CB5849" w:rsidRDefault="004C6117" w:rsidP="00CB5849">
      <w:pPr>
        <w:pStyle w:val="Heading4"/>
        <w:keepLines w:val="0"/>
        <w:numPr>
          <w:ilvl w:val="0"/>
          <w:numId w:val="0"/>
        </w:numPr>
        <w:spacing w:before="240"/>
        <w:rPr>
          <w:rFonts w:ascii="Arial" w:eastAsia="Times New Roman" w:hAnsi="Arial" w:cs="Arial"/>
          <w:i w:val="0"/>
          <w:iCs w:val="0"/>
          <w:color w:val="008576"/>
          <w:sz w:val="24"/>
          <w:szCs w:val="28"/>
        </w:rPr>
      </w:pPr>
      <w:r w:rsidRPr="00CB5849">
        <w:rPr>
          <w:rFonts w:ascii="Arial" w:eastAsia="Times New Roman" w:hAnsi="Arial" w:cs="Arial"/>
          <w:i w:val="0"/>
          <w:iCs w:val="0"/>
          <w:color w:val="008576"/>
          <w:sz w:val="24"/>
          <w:szCs w:val="28"/>
        </w:rPr>
        <w:t>What</w:t>
      </w:r>
    </w:p>
    <w:p w14:paraId="03BF31F4" w14:textId="46745658" w:rsidR="00D97641" w:rsidRDefault="00A840D6" w:rsidP="00936D97">
      <w:pPr>
        <w:jc w:val="both"/>
        <w:rPr>
          <w:rFonts w:cs="Arial"/>
        </w:rPr>
      </w:pPr>
      <w:r>
        <w:rPr>
          <w:rFonts w:cs="Arial"/>
        </w:rPr>
        <w:t>A</w:t>
      </w:r>
      <w:r w:rsidR="005F22A8">
        <w:rPr>
          <w:rFonts w:cs="Arial"/>
        </w:rPr>
        <w:t>s a result of the</w:t>
      </w:r>
      <w:r w:rsidR="005F22A8" w:rsidRPr="005F22A8">
        <w:t xml:space="preserve"> </w:t>
      </w:r>
      <w:r w:rsidR="005F22A8">
        <w:t xml:space="preserve">removal of the Rough sub-terminal from the </w:t>
      </w:r>
      <w:r w:rsidR="005F22A8" w:rsidRPr="005F22A8">
        <w:rPr>
          <w:rFonts w:cs="Arial"/>
        </w:rPr>
        <w:t xml:space="preserve">Easington ASEP </w:t>
      </w:r>
      <w:r w:rsidR="005F22A8">
        <w:rPr>
          <w:rFonts w:cs="Arial"/>
        </w:rPr>
        <w:t xml:space="preserve">and the establishment of a new Rough Storage ASEP in August 2022 </w:t>
      </w:r>
      <w:r w:rsidR="00941323">
        <w:rPr>
          <w:rFonts w:cs="Arial"/>
        </w:rPr>
        <w:t xml:space="preserve">Centrica </w:t>
      </w:r>
      <w:r w:rsidR="0028655D">
        <w:rPr>
          <w:rFonts w:cs="Arial"/>
        </w:rPr>
        <w:t xml:space="preserve">Energy </w:t>
      </w:r>
      <w:r w:rsidR="00941323">
        <w:rPr>
          <w:rFonts w:cs="Arial"/>
        </w:rPr>
        <w:t>Storage Limited (</w:t>
      </w:r>
      <w:r w:rsidR="008B50FB">
        <w:rPr>
          <w:rFonts w:cs="Arial"/>
        </w:rPr>
        <w:t>CESL</w:t>
      </w:r>
      <w:r w:rsidR="00F72144">
        <w:rPr>
          <w:rFonts w:cs="Arial"/>
        </w:rPr>
        <w:t>)</w:t>
      </w:r>
      <w:r w:rsidR="005F22A8">
        <w:rPr>
          <w:rFonts w:cs="Arial"/>
        </w:rPr>
        <w:t xml:space="preserve"> lost the ability to use NTS Entry Capacity which it holds at Easington </w:t>
      </w:r>
      <w:r w:rsidR="00BD7115">
        <w:rPr>
          <w:rFonts w:cs="Arial"/>
        </w:rPr>
        <w:t>ASEP, which</w:t>
      </w:r>
      <w:r w:rsidR="00645C6D">
        <w:rPr>
          <w:rFonts w:cs="Arial"/>
        </w:rPr>
        <w:t xml:space="preserve"> was primarily purchased </w:t>
      </w:r>
      <w:r w:rsidR="005F22A8">
        <w:rPr>
          <w:rFonts w:cs="Arial"/>
        </w:rPr>
        <w:t>to support withdrawals of gas from Rough</w:t>
      </w:r>
      <w:r w:rsidR="00645C6D">
        <w:rPr>
          <w:rFonts w:cs="Arial"/>
        </w:rPr>
        <w:t>, for that purpose</w:t>
      </w:r>
      <w:r w:rsidR="005F22A8">
        <w:rPr>
          <w:rFonts w:cs="Arial"/>
        </w:rPr>
        <w:t xml:space="preserve">.  </w:t>
      </w:r>
      <w:r w:rsidR="002370BD">
        <w:rPr>
          <w:rFonts w:cs="Arial"/>
        </w:rPr>
        <w:t xml:space="preserve">Urgent </w:t>
      </w:r>
      <w:r w:rsidR="005F22A8" w:rsidRPr="005F22A8">
        <w:rPr>
          <w:rFonts w:cs="Arial"/>
        </w:rPr>
        <w:t>Modification Proposal UNC</w:t>
      </w:r>
      <w:r w:rsidR="003614E2">
        <w:rPr>
          <w:rFonts w:cs="Arial"/>
        </w:rPr>
        <w:t xml:space="preserve"> 0</w:t>
      </w:r>
      <w:r w:rsidR="005F22A8" w:rsidRPr="005F22A8">
        <w:rPr>
          <w:rFonts w:cs="Arial"/>
        </w:rPr>
        <w:t>817</w:t>
      </w:r>
      <w:r w:rsidR="00A115CD">
        <w:rPr>
          <w:rStyle w:val="FootnoteReference"/>
          <w:rFonts w:cs="Arial"/>
        </w:rPr>
        <w:footnoteReference w:id="2"/>
      </w:r>
      <w:r w:rsidR="008B50FB">
        <w:rPr>
          <w:rFonts w:cs="Arial"/>
        </w:rPr>
        <w:t xml:space="preserve"> </w:t>
      </w:r>
      <w:r w:rsidR="00F4509A" w:rsidRPr="00BD7115">
        <w:rPr>
          <w:rFonts w:cs="Arial"/>
          <w:i/>
          <w:iCs/>
        </w:rPr>
        <w:t>- Treatment of Existing Capacity Holding at Easington on creation of the new Rough Storage ASEP</w:t>
      </w:r>
      <w:r w:rsidR="00F4509A">
        <w:rPr>
          <w:rFonts w:cs="Arial"/>
        </w:rPr>
        <w:t xml:space="preserve">, </w:t>
      </w:r>
      <w:r w:rsidR="005F22A8">
        <w:rPr>
          <w:rFonts w:cs="Arial"/>
        </w:rPr>
        <w:t>was implemented on an urgent basis to facilitate the resumption of storage activities at Rough</w:t>
      </w:r>
      <w:r w:rsidR="00645C6D">
        <w:rPr>
          <w:rFonts w:cs="Arial"/>
        </w:rPr>
        <w:t xml:space="preserve"> in response to the crisis in the gas market precipitated by the invasion of Ukraine.</w:t>
      </w:r>
      <w:r w:rsidR="00061CF2">
        <w:rPr>
          <w:rFonts w:cs="Arial"/>
        </w:rPr>
        <w:t xml:space="preserve"> These a</w:t>
      </w:r>
      <w:r w:rsidR="00FB33E0">
        <w:rPr>
          <w:rFonts w:cs="Arial"/>
        </w:rPr>
        <w:t xml:space="preserve">rrangements expired </w:t>
      </w:r>
      <w:r w:rsidR="00D21734">
        <w:rPr>
          <w:rFonts w:cs="Arial"/>
        </w:rPr>
        <w:t xml:space="preserve">on 31 March 2023. </w:t>
      </w:r>
      <w:proofErr w:type="gramStart"/>
      <w:r w:rsidR="00D21734">
        <w:rPr>
          <w:rFonts w:cs="Arial"/>
        </w:rPr>
        <w:t>Subsequent to</w:t>
      </w:r>
      <w:proofErr w:type="gramEnd"/>
      <w:r w:rsidR="00D21734">
        <w:rPr>
          <w:rFonts w:cs="Arial"/>
        </w:rPr>
        <w:t xml:space="preserve"> this Modification, Modification Proposal</w:t>
      </w:r>
      <w:r w:rsidR="005F2DA8">
        <w:rPr>
          <w:rFonts w:cs="Arial"/>
        </w:rPr>
        <w:t xml:space="preserve"> </w:t>
      </w:r>
      <w:r w:rsidR="004B6187">
        <w:rPr>
          <w:rFonts w:cs="Arial"/>
        </w:rPr>
        <w:t>UNC</w:t>
      </w:r>
      <w:r w:rsidR="003614E2">
        <w:rPr>
          <w:rFonts w:cs="Arial"/>
        </w:rPr>
        <w:t xml:space="preserve"> 0</w:t>
      </w:r>
      <w:r w:rsidR="004B6187">
        <w:rPr>
          <w:rFonts w:cs="Arial"/>
        </w:rPr>
        <w:t>846</w:t>
      </w:r>
      <w:r w:rsidR="00A115CD">
        <w:rPr>
          <w:rStyle w:val="FootnoteReference"/>
          <w:rFonts w:cs="Arial"/>
        </w:rPr>
        <w:footnoteReference w:id="3"/>
      </w:r>
      <w:r w:rsidR="004B6187">
        <w:rPr>
          <w:rFonts w:cs="Arial"/>
        </w:rPr>
        <w:t xml:space="preserve"> </w:t>
      </w:r>
      <w:r w:rsidR="00593B35" w:rsidRPr="00BD7115">
        <w:rPr>
          <w:rFonts w:cs="Arial"/>
          <w:i/>
          <w:iCs/>
        </w:rPr>
        <w:t>- Use of Entry Capacity Holdings at Easington at the Rough Storage ASEP in Winter 2023/2024</w:t>
      </w:r>
      <w:r w:rsidR="0033366C">
        <w:rPr>
          <w:rFonts w:cs="Arial"/>
        </w:rPr>
        <w:t xml:space="preserve">, </w:t>
      </w:r>
      <w:r w:rsidR="004B6187">
        <w:rPr>
          <w:rFonts w:cs="Arial"/>
        </w:rPr>
        <w:t>was implemented, replicating the arrangements set out in Modification Proposa</w:t>
      </w:r>
      <w:r w:rsidR="00221099">
        <w:rPr>
          <w:rFonts w:cs="Arial"/>
        </w:rPr>
        <w:t>l</w:t>
      </w:r>
      <w:r w:rsidR="004B6187">
        <w:rPr>
          <w:rFonts w:cs="Arial"/>
        </w:rPr>
        <w:t xml:space="preserve"> UNC</w:t>
      </w:r>
      <w:r w:rsidR="003614E2">
        <w:rPr>
          <w:rFonts w:cs="Arial"/>
        </w:rPr>
        <w:t xml:space="preserve"> 0</w:t>
      </w:r>
      <w:r w:rsidR="00221099">
        <w:rPr>
          <w:rFonts w:cs="Arial"/>
        </w:rPr>
        <w:t>817</w:t>
      </w:r>
      <w:r w:rsidR="004342A7">
        <w:rPr>
          <w:rFonts w:cs="Arial"/>
        </w:rPr>
        <w:t xml:space="preserve">, </w:t>
      </w:r>
      <w:r w:rsidR="00EA36FE">
        <w:rPr>
          <w:rFonts w:cs="Arial"/>
        </w:rPr>
        <w:t>albeit expanding the arrangements to all Users,</w:t>
      </w:r>
      <w:r w:rsidR="00221099">
        <w:rPr>
          <w:rFonts w:cs="Arial"/>
        </w:rPr>
        <w:t xml:space="preserve"> for the</w:t>
      </w:r>
      <w:r w:rsidR="00A42B81">
        <w:rPr>
          <w:rFonts w:cs="Arial"/>
        </w:rPr>
        <w:t xml:space="preserve"> winter</w:t>
      </w:r>
      <w:r w:rsidR="00221099">
        <w:rPr>
          <w:rFonts w:cs="Arial"/>
        </w:rPr>
        <w:t xml:space="preserve"> period </w:t>
      </w:r>
      <w:r w:rsidR="00A42B81">
        <w:rPr>
          <w:rFonts w:cs="Arial"/>
        </w:rPr>
        <w:t xml:space="preserve">of </w:t>
      </w:r>
      <w:r w:rsidR="00EF0377">
        <w:rPr>
          <w:rFonts w:cs="Arial"/>
        </w:rPr>
        <w:t>2023/24, expiring on 31 March 2024.</w:t>
      </w:r>
      <w:r w:rsidR="00645C6D">
        <w:rPr>
          <w:rFonts w:cs="Arial"/>
        </w:rPr>
        <w:t xml:space="preserve"> Consequently, a new solution is required to avoid a repeat of the same problem</w:t>
      </w:r>
      <w:r w:rsidR="001A2047">
        <w:rPr>
          <w:rFonts w:cs="Arial"/>
        </w:rPr>
        <w:t xml:space="preserve"> for winter 2024/25.</w:t>
      </w:r>
    </w:p>
    <w:p w14:paraId="73291413" w14:textId="77777777" w:rsidR="004C6117" w:rsidRPr="00CA74C4" w:rsidRDefault="004C6117" w:rsidP="00936D97">
      <w:pPr>
        <w:pStyle w:val="Heading4"/>
        <w:keepLines w:val="0"/>
        <w:numPr>
          <w:ilvl w:val="0"/>
          <w:numId w:val="0"/>
        </w:numPr>
        <w:spacing w:before="240"/>
        <w:jc w:val="both"/>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Why</w:t>
      </w:r>
    </w:p>
    <w:p w14:paraId="06F81BDB" w14:textId="18A04FE8" w:rsidR="00FE70FA" w:rsidRDefault="00BA08D0" w:rsidP="00697F01">
      <w:pPr>
        <w:jc w:val="both"/>
        <w:rPr>
          <w:rFonts w:cs="Arial"/>
        </w:rPr>
      </w:pPr>
      <w:r>
        <w:rPr>
          <w:rFonts w:cs="Arial"/>
        </w:rPr>
        <w:t xml:space="preserve">If </w:t>
      </w:r>
      <w:r w:rsidR="00880E1A">
        <w:rPr>
          <w:rFonts w:cs="Arial"/>
        </w:rPr>
        <w:t xml:space="preserve">the </w:t>
      </w:r>
      <w:r w:rsidR="003B064C">
        <w:rPr>
          <w:rFonts w:cs="Arial"/>
        </w:rPr>
        <w:t xml:space="preserve">proposed </w:t>
      </w:r>
      <w:r w:rsidR="0033366C">
        <w:rPr>
          <w:rFonts w:cs="Arial"/>
        </w:rPr>
        <w:t>M</w:t>
      </w:r>
      <w:r w:rsidR="003B064C">
        <w:rPr>
          <w:rFonts w:cs="Arial"/>
        </w:rPr>
        <w:t xml:space="preserve">odification </w:t>
      </w:r>
      <w:r w:rsidR="00880E1A">
        <w:rPr>
          <w:rFonts w:cs="Arial"/>
        </w:rPr>
        <w:t>is not made</w:t>
      </w:r>
      <w:r w:rsidR="00FE70FA">
        <w:rPr>
          <w:rFonts w:cs="Arial"/>
        </w:rPr>
        <w:t xml:space="preserve">, </w:t>
      </w:r>
      <w:r w:rsidR="008B50FB">
        <w:rPr>
          <w:rFonts w:cs="Arial"/>
        </w:rPr>
        <w:t>CESL</w:t>
      </w:r>
      <w:r w:rsidR="00FE70FA">
        <w:rPr>
          <w:rFonts w:cs="Arial"/>
        </w:rPr>
        <w:t xml:space="preserve"> w</w:t>
      </w:r>
      <w:r w:rsidR="003B1F7E">
        <w:rPr>
          <w:rFonts w:cs="Arial"/>
        </w:rPr>
        <w:t>ill</w:t>
      </w:r>
      <w:r w:rsidR="00FE70FA">
        <w:rPr>
          <w:rFonts w:cs="Arial"/>
        </w:rPr>
        <w:t xml:space="preserve"> </w:t>
      </w:r>
      <w:r w:rsidR="00880E1A">
        <w:rPr>
          <w:rFonts w:cs="Arial"/>
        </w:rPr>
        <w:t xml:space="preserve">lose its ability to use </w:t>
      </w:r>
      <w:r w:rsidR="00697F01">
        <w:rPr>
          <w:rFonts w:cs="Arial"/>
        </w:rPr>
        <w:t xml:space="preserve">its </w:t>
      </w:r>
      <w:r w:rsidR="00BB1DDE">
        <w:rPr>
          <w:rFonts w:cs="Arial"/>
        </w:rPr>
        <w:t>long-term</w:t>
      </w:r>
      <w:r w:rsidR="00FE70FA">
        <w:rPr>
          <w:rFonts w:cs="Arial"/>
        </w:rPr>
        <w:t xml:space="preserve"> capacity </w:t>
      </w:r>
      <w:r w:rsidR="00697F01">
        <w:rPr>
          <w:rFonts w:cs="Arial"/>
        </w:rPr>
        <w:t xml:space="preserve">holding </w:t>
      </w:r>
      <w:r w:rsidR="00880E1A" w:rsidRPr="00880E1A">
        <w:rPr>
          <w:rFonts w:cs="Arial"/>
        </w:rPr>
        <w:t>at the Easington ASEP</w:t>
      </w:r>
      <w:r w:rsidR="00697F01">
        <w:rPr>
          <w:rFonts w:cs="Arial"/>
        </w:rPr>
        <w:t xml:space="preserve"> for the primary purpose for which it was purchased, </w:t>
      </w:r>
      <w:proofErr w:type="gramStart"/>
      <w:r w:rsidR="00697F01">
        <w:rPr>
          <w:rFonts w:cs="Arial"/>
        </w:rPr>
        <w:t>namely</w:t>
      </w:r>
      <w:proofErr w:type="gramEnd"/>
      <w:r w:rsidR="00697F01">
        <w:rPr>
          <w:rFonts w:cs="Arial"/>
        </w:rPr>
        <w:t xml:space="preserve"> </w:t>
      </w:r>
      <w:r w:rsidR="00FE70FA">
        <w:rPr>
          <w:rFonts w:cs="Arial"/>
        </w:rPr>
        <w:t>to support its operations at Rough</w:t>
      </w:r>
      <w:r w:rsidR="00697F01">
        <w:rPr>
          <w:rFonts w:cs="Arial"/>
        </w:rPr>
        <w:t>, with no realistic prospects of using that capacity for any other purpose. As a result</w:t>
      </w:r>
      <w:r w:rsidR="00877F87">
        <w:rPr>
          <w:rFonts w:cs="Arial"/>
        </w:rPr>
        <w:t>,</w:t>
      </w:r>
      <w:r w:rsidR="00697F01">
        <w:rPr>
          <w:rFonts w:cs="Arial"/>
        </w:rPr>
        <w:t xml:space="preserve"> </w:t>
      </w:r>
      <w:r w:rsidR="008B50FB">
        <w:rPr>
          <w:rFonts w:cs="Arial"/>
        </w:rPr>
        <w:t>CESL</w:t>
      </w:r>
      <w:r w:rsidR="000E326B">
        <w:rPr>
          <w:rFonts w:cs="Arial"/>
        </w:rPr>
        <w:t xml:space="preserve"> </w:t>
      </w:r>
      <w:r w:rsidR="00697F01">
        <w:rPr>
          <w:rFonts w:cs="Arial"/>
        </w:rPr>
        <w:t>would have to incur the additional cost of purchasing new capacity at Rough on a short</w:t>
      </w:r>
      <w:r w:rsidR="00877F87">
        <w:rPr>
          <w:rFonts w:cs="Arial"/>
        </w:rPr>
        <w:t>-</w:t>
      </w:r>
      <w:r w:rsidR="00697F01">
        <w:rPr>
          <w:rFonts w:cs="Arial"/>
        </w:rPr>
        <w:t>term basis, to support any withdrawal of gas from the facility in the coming W</w:t>
      </w:r>
      <w:r w:rsidR="00C066B2">
        <w:rPr>
          <w:rFonts w:cs="Arial"/>
        </w:rPr>
        <w:t>i</w:t>
      </w:r>
      <w:r w:rsidR="00697F01">
        <w:rPr>
          <w:rFonts w:cs="Arial"/>
        </w:rPr>
        <w:t xml:space="preserve">nter. </w:t>
      </w:r>
      <w:r w:rsidR="00FE70FA">
        <w:rPr>
          <w:rFonts w:cs="Arial"/>
        </w:rPr>
        <w:t>The extension of the capacity redesignation mechanism</w:t>
      </w:r>
      <w:r w:rsidR="0070774A">
        <w:rPr>
          <w:rFonts w:cs="Arial"/>
        </w:rPr>
        <w:t>,</w:t>
      </w:r>
      <w:r w:rsidR="00FE70FA">
        <w:rPr>
          <w:rFonts w:cs="Arial"/>
        </w:rPr>
        <w:t xml:space="preserve"> until the end of </w:t>
      </w:r>
      <w:r w:rsidR="00EA2437">
        <w:rPr>
          <w:rFonts w:cs="Arial"/>
        </w:rPr>
        <w:t>Winter</w:t>
      </w:r>
      <w:r w:rsidR="00FE70FA">
        <w:rPr>
          <w:rFonts w:cs="Arial"/>
        </w:rPr>
        <w:t xml:space="preserve"> 20</w:t>
      </w:r>
      <w:r w:rsidR="00880E1A">
        <w:rPr>
          <w:rFonts w:cs="Arial"/>
        </w:rPr>
        <w:t>2</w:t>
      </w:r>
      <w:r w:rsidR="003D6BD4">
        <w:rPr>
          <w:rFonts w:cs="Arial"/>
        </w:rPr>
        <w:t>4</w:t>
      </w:r>
      <w:r w:rsidR="00880E1A">
        <w:rPr>
          <w:rFonts w:cs="Arial"/>
        </w:rPr>
        <w:t>/</w:t>
      </w:r>
      <w:r w:rsidR="00FE70FA">
        <w:rPr>
          <w:rFonts w:cs="Arial"/>
        </w:rPr>
        <w:t>2</w:t>
      </w:r>
      <w:r w:rsidR="003D6BD4">
        <w:rPr>
          <w:rFonts w:cs="Arial"/>
        </w:rPr>
        <w:t>5</w:t>
      </w:r>
      <w:r w:rsidR="0070774A">
        <w:rPr>
          <w:rFonts w:cs="Arial"/>
        </w:rPr>
        <w:t>,</w:t>
      </w:r>
      <w:r w:rsidR="00FE70FA">
        <w:rPr>
          <w:rFonts w:cs="Arial"/>
        </w:rPr>
        <w:t xml:space="preserve"> will </w:t>
      </w:r>
      <w:r w:rsidR="00697F01">
        <w:rPr>
          <w:rFonts w:cs="Arial"/>
        </w:rPr>
        <w:t xml:space="preserve">avoid these inefficiencies and give </w:t>
      </w:r>
      <w:r w:rsidR="008B50FB">
        <w:rPr>
          <w:rFonts w:cs="Arial"/>
        </w:rPr>
        <w:t>CESL</w:t>
      </w:r>
      <w:r w:rsidR="00FE70FA">
        <w:rPr>
          <w:rFonts w:cs="Arial"/>
        </w:rPr>
        <w:t xml:space="preserve"> </w:t>
      </w:r>
      <w:r w:rsidR="00697F01">
        <w:rPr>
          <w:rFonts w:cs="Arial"/>
        </w:rPr>
        <w:t>greater confidence that it can utilise the full available capacity of the Rough storage facility without being saddled with unnecessary additional costs, enabling it to exploit the full potential of Rough</w:t>
      </w:r>
      <w:r w:rsidR="00EA2437">
        <w:rPr>
          <w:rFonts w:cs="Arial"/>
        </w:rPr>
        <w:t xml:space="preserve"> </w:t>
      </w:r>
      <w:r w:rsidR="00697F01">
        <w:rPr>
          <w:rFonts w:cs="Arial"/>
        </w:rPr>
        <w:t xml:space="preserve">over the coming Winter </w:t>
      </w:r>
      <w:r w:rsidR="00EA2437">
        <w:rPr>
          <w:rFonts w:cs="Arial"/>
        </w:rPr>
        <w:t>to support GB supply security.</w:t>
      </w:r>
      <w:r w:rsidR="00FE70FA">
        <w:rPr>
          <w:rFonts w:cs="Arial"/>
        </w:rPr>
        <w:t xml:space="preserve"> </w:t>
      </w:r>
    </w:p>
    <w:p w14:paraId="59C75638" w14:textId="799BA430" w:rsidR="00CA6E30" w:rsidRDefault="00CA6E30" w:rsidP="00697F01">
      <w:pPr>
        <w:jc w:val="both"/>
        <w:rPr>
          <w:rFonts w:cs="Arial"/>
        </w:rPr>
      </w:pPr>
      <w:r>
        <w:rPr>
          <w:rFonts w:cs="Arial"/>
        </w:rPr>
        <w:t>In line Modification Pr</w:t>
      </w:r>
      <w:r w:rsidR="00F3261C">
        <w:rPr>
          <w:rFonts w:cs="Arial"/>
        </w:rPr>
        <w:t xml:space="preserve">oposal UNC846, it is intended that the solution </w:t>
      </w:r>
      <w:r w:rsidR="001E680A">
        <w:rPr>
          <w:rFonts w:cs="Arial"/>
        </w:rPr>
        <w:t>can be applied by all Users at the Easington ASEP</w:t>
      </w:r>
      <w:r w:rsidR="00AC32DE">
        <w:rPr>
          <w:rFonts w:cs="Arial"/>
        </w:rPr>
        <w:t xml:space="preserve"> where capacity in the Rough storage facility is acquired by </w:t>
      </w:r>
      <w:r w:rsidR="003B2FAB">
        <w:rPr>
          <w:rFonts w:cs="Arial"/>
        </w:rPr>
        <w:t xml:space="preserve">any User. This is consistent with the </w:t>
      </w:r>
      <w:r w:rsidR="0089619B">
        <w:rPr>
          <w:rFonts w:cs="Arial"/>
        </w:rPr>
        <w:t xml:space="preserve">expectation that </w:t>
      </w:r>
      <w:r w:rsidR="008B50FB">
        <w:rPr>
          <w:rFonts w:cs="Arial"/>
        </w:rPr>
        <w:t>CESL</w:t>
      </w:r>
      <w:r w:rsidR="0089619B">
        <w:rPr>
          <w:rFonts w:cs="Arial"/>
        </w:rPr>
        <w:t xml:space="preserve"> makes unused capacity within the facility available to third parties.</w:t>
      </w:r>
    </w:p>
    <w:p w14:paraId="424F9394" w14:textId="675A23D7" w:rsidR="00211D85" w:rsidRDefault="00211D85" w:rsidP="00697F01">
      <w:pPr>
        <w:jc w:val="both"/>
        <w:rPr>
          <w:rFonts w:cs="Arial"/>
        </w:rPr>
      </w:pPr>
      <w:r>
        <w:rPr>
          <w:rFonts w:cs="Arial"/>
        </w:rPr>
        <w:t xml:space="preserve">With no end in sight for the hostilities in Ukraine, sanctions against Russian gas are likely to remain in place, leaving the European and hence the UK gas market vulnerable to external shocks. Accordingly, in the interests of UK gas consumers, </w:t>
      </w:r>
      <w:r w:rsidR="0002527E">
        <w:rPr>
          <w:rFonts w:cs="Arial"/>
        </w:rPr>
        <w:t xml:space="preserve">every effort should be made to maximise </w:t>
      </w:r>
      <w:r w:rsidR="00BD7115">
        <w:rPr>
          <w:rFonts w:cs="Arial"/>
        </w:rPr>
        <w:t>security</w:t>
      </w:r>
      <w:r w:rsidR="0002527E">
        <w:rPr>
          <w:rFonts w:cs="Arial"/>
        </w:rPr>
        <w:t xml:space="preserve"> of supply, including by rectifying the appropriation of User’s rights to NTS Entry Capacity at </w:t>
      </w:r>
      <w:r w:rsidR="00B515C7">
        <w:rPr>
          <w:rFonts w:cs="Arial"/>
        </w:rPr>
        <w:t xml:space="preserve">the </w:t>
      </w:r>
      <w:r w:rsidR="0002527E">
        <w:rPr>
          <w:rFonts w:cs="Arial"/>
        </w:rPr>
        <w:t xml:space="preserve">locations </w:t>
      </w:r>
      <w:r w:rsidR="00B515C7">
        <w:rPr>
          <w:rFonts w:cs="Arial"/>
        </w:rPr>
        <w:t>for which it was originally acquired.</w:t>
      </w:r>
    </w:p>
    <w:p w14:paraId="4DEF4AB6" w14:textId="081DD3AA" w:rsidR="000666B0" w:rsidRDefault="005873E7" w:rsidP="005873E7">
      <w:pPr>
        <w:jc w:val="both"/>
        <w:rPr>
          <w:rFonts w:cs="Arial"/>
        </w:rPr>
      </w:pPr>
      <w:r>
        <w:rPr>
          <w:rFonts w:cs="Arial"/>
        </w:rPr>
        <w:t xml:space="preserve">It should be noted that the disaggregation of the Easington ASEP was not caused by any change in operational requirements; it was a pragmatic response to the resumption of storage operations at Rough, in order to facilitate compliance with new capacity </w:t>
      </w:r>
      <w:proofErr w:type="gramStart"/>
      <w:r>
        <w:rPr>
          <w:rFonts w:cs="Arial"/>
        </w:rPr>
        <w:t>charging</w:t>
      </w:r>
      <w:proofErr w:type="gramEnd"/>
      <w:r>
        <w:rPr>
          <w:rFonts w:cs="Arial"/>
        </w:rPr>
        <w:t xml:space="preserve"> principles introduced under the EU Tariff Code</w:t>
      </w:r>
      <w:r>
        <w:rPr>
          <w:rStyle w:val="FootnoteReference"/>
          <w:rFonts w:cs="Arial"/>
        </w:rPr>
        <w:footnoteReference w:id="4"/>
      </w:r>
      <w:r>
        <w:rPr>
          <w:rFonts w:cs="Arial"/>
        </w:rPr>
        <w:t>.</w:t>
      </w:r>
      <w:r w:rsidR="00044FE1">
        <w:rPr>
          <w:rFonts w:cs="Arial"/>
        </w:rPr>
        <w:t xml:space="preserve"> </w:t>
      </w:r>
      <w:r>
        <w:rPr>
          <w:rFonts w:cs="Arial"/>
        </w:rPr>
        <w:t xml:space="preserve">This </w:t>
      </w:r>
      <w:r w:rsidR="00CA3333">
        <w:rPr>
          <w:rFonts w:cs="Arial"/>
        </w:rPr>
        <w:t>M</w:t>
      </w:r>
      <w:r>
        <w:rPr>
          <w:rFonts w:cs="Arial"/>
        </w:rPr>
        <w:t>odification addresses one of the shortcomings in that solution</w:t>
      </w:r>
      <w:r w:rsidR="00595E7B" w:rsidRPr="00595E7B">
        <w:rPr>
          <w:rFonts w:cs="Arial"/>
        </w:rPr>
        <w:t xml:space="preserve">, as it applies to </w:t>
      </w:r>
      <w:r w:rsidR="00595E7B">
        <w:rPr>
          <w:rFonts w:cs="Arial"/>
        </w:rPr>
        <w:t>c</w:t>
      </w:r>
      <w:r w:rsidR="00595E7B" w:rsidRPr="00595E7B">
        <w:rPr>
          <w:rFonts w:cs="Arial"/>
        </w:rPr>
        <w:t>apacity booked before the disaggregation of Easington ASEP</w:t>
      </w:r>
      <w:r>
        <w:rPr>
          <w:rFonts w:cs="Arial"/>
        </w:rPr>
        <w:t>, pending decisions on the long-term future of the Rough facility</w:t>
      </w:r>
      <w:r w:rsidR="009D3D9D">
        <w:rPr>
          <w:rFonts w:cs="Arial"/>
        </w:rPr>
        <w:t>.</w:t>
      </w:r>
    </w:p>
    <w:p w14:paraId="04532500" w14:textId="7275233E" w:rsidR="00D8541C" w:rsidRDefault="005873E7" w:rsidP="006F7D7E">
      <w:pPr>
        <w:jc w:val="both"/>
        <w:rPr>
          <w:rFonts w:cs="Arial"/>
        </w:rPr>
      </w:pPr>
      <w:r w:rsidRPr="007EE700">
        <w:rPr>
          <w:rFonts w:cs="Arial"/>
        </w:rPr>
        <w:t xml:space="preserve">Since the implementation of UNC </w:t>
      </w:r>
      <w:r w:rsidR="003614E2" w:rsidRPr="007EE700">
        <w:rPr>
          <w:rFonts w:cs="Arial"/>
        </w:rPr>
        <w:t>0</w:t>
      </w:r>
      <w:r w:rsidRPr="007EE700">
        <w:rPr>
          <w:rFonts w:cs="Arial"/>
        </w:rPr>
        <w:t xml:space="preserve">817 </w:t>
      </w:r>
      <w:r w:rsidR="008A4252" w:rsidRPr="007EE700">
        <w:rPr>
          <w:rFonts w:cs="Arial"/>
        </w:rPr>
        <w:t>and UNC</w:t>
      </w:r>
      <w:r w:rsidR="004F103F" w:rsidRPr="007EE700">
        <w:rPr>
          <w:rFonts w:cs="Arial"/>
        </w:rPr>
        <w:t xml:space="preserve"> </w:t>
      </w:r>
      <w:r w:rsidR="003614E2" w:rsidRPr="00BD7115">
        <w:rPr>
          <w:rFonts w:cs="Arial"/>
        </w:rPr>
        <w:t>0</w:t>
      </w:r>
      <w:r w:rsidR="008A4252" w:rsidRPr="00BD7115">
        <w:rPr>
          <w:rFonts w:cs="Arial"/>
        </w:rPr>
        <w:t>84</w:t>
      </w:r>
      <w:r w:rsidR="00E777F9" w:rsidRPr="00BD7115">
        <w:rPr>
          <w:rFonts w:cs="Arial"/>
        </w:rPr>
        <w:t>6</w:t>
      </w:r>
      <w:r w:rsidR="00141245" w:rsidRPr="007EE700">
        <w:rPr>
          <w:rFonts w:cs="Arial"/>
        </w:rPr>
        <w:t>,</w:t>
      </w:r>
      <w:r w:rsidRPr="007EE700">
        <w:rPr>
          <w:rFonts w:cs="Arial"/>
        </w:rPr>
        <w:t xml:space="preserve"> </w:t>
      </w:r>
      <w:r w:rsidR="008B50FB" w:rsidRPr="007EE700">
        <w:rPr>
          <w:rFonts w:cs="Arial"/>
        </w:rPr>
        <w:t>CESL</w:t>
      </w:r>
      <w:r w:rsidR="00402861" w:rsidRPr="007EE700">
        <w:rPr>
          <w:rFonts w:cs="Arial"/>
        </w:rPr>
        <w:t xml:space="preserve"> </w:t>
      </w:r>
      <w:r w:rsidRPr="007EE700">
        <w:rPr>
          <w:rFonts w:cs="Arial"/>
        </w:rPr>
        <w:t xml:space="preserve">has been engaging with National Gas Transmission (NGT) </w:t>
      </w:r>
      <w:r w:rsidR="00B54D71" w:rsidRPr="007EE700">
        <w:rPr>
          <w:rFonts w:cs="Arial"/>
        </w:rPr>
        <w:t xml:space="preserve">and Ofgem </w:t>
      </w:r>
      <w:r w:rsidRPr="007EE700">
        <w:rPr>
          <w:rFonts w:cs="Arial"/>
        </w:rPr>
        <w:t xml:space="preserve">to put in place a more enduring solution. The most appropriate long-term solution, in the Proposer’s view, would be for the Easington baseline capacity specified in NGT’s licence to be </w:t>
      </w:r>
      <w:r w:rsidRPr="007EE700">
        <w:rPr>
          <w:rFonts w:cs="Arial"/>
        </w:rPr>
        <w:lastRenderedPageBreak/>
        <w:t xml:space="preserve">allocated between the Easington and Rough ASEPs, in line with the precedent set on the disaggregation of the Bacton ASEP </w:t>
      </w:r>
      <w:proofErr w:type="gramStart"/>
      <w:r w:rsidRPr="007EE700">
        <w:rPr>
          <w:rFonts w:cs="Arial"/>
        </w:rPr>
        <w:t>in order to</w:t>
      </w:r>
      <w:proofErr w:type="gramEnd"/>
      <w:r w:rsidRPr="007EE700">
        <w:rPr>
          <w:rFonts w:cs="Arial"/>
        </w:rPr>
        <w:t xml:space="preserve"> comply with new EU rules on capacity allocation. </w:t>
      </w:r>
      <w:r w:rsidR="00B54D71" w:rsidRPr="007EE700">
        <w:rPr>
          <w:rFonts w:cs="Arial"/>
        </w:rPr>
        <w:t>At th</w:t>
      </w:r>
      <w:r w:rsidR="00EA6AEC" w:rsidRPr="007EE700">
        <w:rPr>
          <w:rFonts w:cs="Arial"/>
        </w:rPr>
        <w:t xml:space="preserve">is time little progress has been made in advancing this solution meaning </w:t>
      </w:r>
      <w:r w:rsidR="000524F8" w:rsidRPr="007EE700">
        <w:rPr>
          <w:rFonts w:cs="Arial"/>
        </w:rPr>
        <w:t xml:space="preserve">that the Modification Proposal is needed to ensure access to </w:t>
      </w:r>
      <w:r w:rsidR="004539F0" w:rsidRPr="007EE700">
        <w:rPr>
          <w:rFonts w:cs="Arial"/>
        </w:rPr>
        <w:t>long-term capacity holdings maintained at the Easington ASEP.</w:t>
      </w:r>
      <w:r w:rsidRPr="007EE700">
        <w:rPr>
          <w:rFonts w:cs="Arial"/>
        </w:rPr>
        <w:t xml:space="preserve"> </w:t>
      </w:r>
    </w:p>
    <w:p w14:paraId="712DB33F" w14:textId="77777777" w:rsidR="004C6117" w:rsidRPr="00CA74C4" w:rsidRDefault="004C6117" w:rsidP="00936D97">
      <w:pPr>
        <w:pStyle w:val="Heading4"/>
        <w:keepLines w:val="0"/>
        <w:numPr>
          <w:ilvl w:val="0"/>
          <w:numId w:val="0"/>
        </w:numPr>
        <w:spacing w:before="240"/>
        <w:jc w:val="both"/>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How</w:t>
      </w:r>
    </w:p>
    <w:p w14:paraId="49121096" w14:textId="61723F76" w:rsidR="00D94B07" w:rsidRPr="00353885" w:rsidRDefault="005A7A64" w:rsidP="00C809A6">
      <w:pPr>
        <w:jc w:val="both"/>
      </w:pPr>
      <w:r w:rsidRPr="007EE700">
        <w:rPr>
          <w:rFonts w:cs="Arial"/>
        </w:rPr>
        <w:t>I</w:t>
      </w:r>
      <w:r w:rsidR="00AB4598" w:rsidRPr="007EE700">
        <w:rPr>
          <w:rFonts w:cs="Arial"/>
        </w:rPr>
        <w:t>n</w:t>
      </w:r>
      <w:r w:rsidR="003C62E6" w:rsidRPr="007EE700">
        <w:rPr>
          <w:rFonts w:cs="Arial"/>
        </w:rPr>
        <w:t xml:space="preserve"> respect of </w:t>
      </w:r>
      <w:r w:rsidR="00AB4598" w:rsidRPr="007EE700">
        <w:rPr>
          <w:rFonts w:cs="Arial"/>
        </w:rPr>
        <w:t>the period from</w:t>
      </w:r>
      <w:r w:rsidR="00674356" w:rsidRPr="007EE700">
        <w:rPr>
          <w:rFonts w:cs="Arial"/>
        </w:rPr>
        <w:t xml:space="preserve"> 0</w:t>
      </w:r>
      <w:r w:rsidR="00AB4598" w:rsidRPr="007EE700">
        <w:rPr>
          <w:rFonts w:cs="Arial"/>
        </w:rPr>
        <w:t>1 October 202</w:t>
      </w:r>
      <w:r w:rsidR="004539F0" w:rsidRPr="007EE700">
        <w:rPr>
          <w:rFonts w:cs="Arial"/>
        </w:rPr>
        <w:t>4</w:t>
      </w:r>
      <w:r w:rsidR="00AB4598" w:rsidRPr="007EE700">
        <w:rPr>
          <w:rFonts w:cs="Arial"/>
        </w:rPr>
        <w:t xml:space="preserve"> to 3</w:t>
      </w:r>
      <w:r w:rsidR="00166B50" w:rsidRPr="007EE700">
        <w:rPr>
          <w:rFonts w:cs="Arial"/>
        </w:rPr>
        <w:t>1</w:t>
      </w:r>
      <w:r w:rsidR="00EA2437" w:rsidRPr="007EE700">
        <w:rPr>
          <w:rFonts w:cs="Arial"/>
        </w:rPr>
        <w:t xml:space="preserve"> March</w:t>
      </w:r>
      <w:r w:rsidR="00D41D15" w:rsidRPr="007EE700">
        <w:rPr>
          <w:rFonts w:cs="Arial"/>
        </w:rPr>
        <w:t xml:space="preserve"> </w:t>
      </w:r>
      <w:r w:rsidR="00AB4598" w:rsidRPr="007EE700">
        <w:rPr>
          <w:rFonts w:cs="Arial"/>
        </w:rPr>
        <w:t>202</w:t>
      </w:r>
      <w:r w:rsidR="004539F0" w:rsidRPr="007EE700">
        <w:rPr>
          <w:rFonts w:cs="Arial"/>
        </w:rPr>
        <w:t>5</w:t>
      </w:r>
      <w:r w:rsidR="00AB4598" w:rsidRPr="007EE700">
        <w:rPr>
          <w:rFonts w:cs="Arial"/>
        </w:rPr>
        <w:t xml:space="preserve">, </w:t>
      </w:r>
      <w:r w:rsidR="003522B5" w:rsidRPr="007EE700">
        <w:rPr>
          <w:rFonts w:cs="Arial"/>
        </w:rPr>
        <w:t xml:space="preserve">any User </w:t>
      </w:r>
      <w:r w:rsidRPr="007EE700">
        <w:rPr>
          <w:rFonts w:cs="Arial"/>
        </w:rPr>
        <w:t xml:space="preserve">will </w:t>
      </w:r>
      <w:r w:rsidR="00A17BC1" w:rsidRPr="007EE700">
        <w:rPr>
          <w:rFonts w:cs="Arial"/>
        </w:rPr>
        <w:t xml:space="preserve">be able to nominate </w:t>
      </w:r>
      <w:proofErr w:type="gramStart"/>
      <w:r w:rsidR="003C62E6" w:rsidRPr="007EE700">
        <w:rPr>
          <w:rFonts w:cs="Arial"/>
        </w:rPr>
        <w:t>on a monthly basis</w:t>
      </w:r>
      <w:proofErr w:type="gramEnd"/>
      <w:r w:rsidR="000E4A04" w:rsidRPr="007EE700">
        <w:rPr>
          <w:rFonts w:cs="Arial"/>
        </w:rPr>
        <w:t>,</w:t>
      </w:r>
      <w:r w:rsidR="003C62E6" w:rsidRPr="007EE700">
        <w:rPr>
          <w:rFonts w:cs="Arial"/>
        </w:rPr>
        <w:t xml:space="preserve"> </w:t>
      </w:r>
      <w:r w:rsidR="00A17BC1" w:rsidRPr="007EE700">
        <w:rPr>
          <w:rFonts w:cs="Arial"/>
        </w:rPr>
        <w:t>amount</w:t>
      </w:r>
      <w:r w:rsidR="000F7566" w:rsidRPr="007EE700">
        <w:rPr>
          <w:rFonts w:cs="Arial"/>
        </w:rPr>
        <w:t>s</w:t>
      </w:r>
      <w:r w:rsidR="00A17BC1" w:rsidRPr="007EE700">
        <w:rPr>
          <w:rFonts w:cs="Arial"/>
        </w:rPr>
        <w:t xml:space="preserve"> of</w:t>
      </w:r>
      <w:r w:rsidR="009D3D9D" w:rsidRPr="007EE700">
        <w:rPr>
          <w:rFonts w:cs="Arial"/>
        </w:rPr>
        <w:t xml:space="preserve"> NTS Entry Capacity which that User holds at the Easington ASEP and which it had acquired prior to </w:t>
      </w:r>
      <w:r w:rsidR="00674356" w:rsidRPr="007EE700">
        <w:rPr>
          <w:rFonts w:cs="Arial"/>
        </w:rPr>
        <w:t>0</w:t>
      </w:r>
      <w:r w:rsidR="009D3D9D" w:rsidRPr="007EE700">
        <w:rPr>
          <w:rFonts w:cs="Arial"/>
        </w:rPr>
        <w:t xml:space="preserve">4 August 2022 (the Easington Disaggregation Date) </w:t>
      </w:r>
      <w:r w:rsidR="00A17BC1" w:rsidRPr="007EE700">
        <w:rPr>
          <w:rFonts w:cs="Arial"/>
        </w:rPr>
        <w:t>for use at the Rough Storage ASEP</w:t>
      </w:r>
      <w:r w:rsidR="000F7566" w:rsidRPr="007EE700">
        <w:rPr>
          <w:rFonts w:cs="Arial"/>
        </w:rPr>
        <w:t xml:space="preserve"> in the following month</w:t>
      </w:r>
      <w:r w:rsidR="00A17BC1" w:rsidRPr="007EE700">
        <w:rPr>
          <w:rFonts w:cs="Arial"/>
        </w:rPr>
        <w:t>.</w:t>
      </w:r>
      <w:r w:rsidR="00F17AB0" w:rsidRPr="007EE700">
        <w:rPr>
          <w:rFonts w:cs="Arial"/>
        </w:rPr>
        <w:t xml:space="preserve"> </w:t>
      </w:r>
      <w:r w:rsidR="006B5C85" w:rsidRPr="007EE700">
        <w:rPr>
          <w:rFonts w:cs="Arial"/>
        </w:rPr>
        <w:t xml:space="preserve">As no such Capacity was sold </w:t>
      </w:r>
      <w:r w:rsidR="0070453A" w:rsidRPr="007EE700">
        <w:rPr>
          <w:rFonts w:cs="Arial"/>
        </w:rPr>
        <w:t xml:space="preserve">(for this period) </w:t>
      </w:r>
      <w:r w:rsidR="006B5C85" w:rsidRPr="007EE700">
        <w:rPr>
          <w:rFonts w:cs="Arial"/>
        </w:rPr>
        <w:t>by NGT between the Tariff Regulation Effective Date (</w:t>
      </w:r>
      <w:r w:rsidR="00674356" w:rsidRPr="007EE700">
        <w:rPr>
          <w:rFonts w:cs="Arial"/>
        </w:rPr>
        <w:t>0</w:t>
      </w:r>
      <w:r w:rsidR="006B5C85" w:rsidRPr="007EE700">
        <w:rPr>
          <w:rFonts w:cs="Arial"/>
        </w:rPr>
        <w:t>6 April 2017) and the Easington Disaggregation Date, to avoid unnecessary complications</w:t>
      </w:r>
      <w:r w:rsidR="00FE10C0" w:rsidRPr="007EE700">
        <w:rPr>
          <w:rFonts w:cs="Arial"/>
        </w:rPr>
        <w:t>,</w:t>
      </w:r>
      <w:r w:rsidR="006B5C85" w:rsidRPr="007EE700">
        <w:rPr>
          <w:rFonts w:cs="Arial"/>
        </w:rPr>
        <w:t xml:space="preserve"> the Code </w:t>
      </w:r>
      <w:r w:rsidR="00FE10C0" w:rsidRPr="007EE700">
        <w:rPr>
          <w:rFonts w:cs="Arial"/>
        </w:rPr>
        <w:t xml:space="preserve">should only </w:t>
      </w:r>
      <w:r w:rsidR="006B5C85" w:rsidRPr="007EE700">
        <w:rPr>
          <w:rFonts w:cs="Arial"/>
        </w:rPr>
        <w:t xml:space="preserve">be modified </w:t>
      </w:r>
      <w:proofErr w:type="gramStart"/>
      <w:r w:rsidR="006B5C85" w:rsidRPr="007EE700">
        <w:rPr>
          <w:rFonts w:cs="Arial"/>
        </w:rPr>
        <w:t>so as to</w:t>
      </w:r>
      <w:proofErr w:type="gramEnd"/>
      <w:r w:rsidR="006B5C85" w:rsidRPr="007EE700">
        <w:rPr>
          <w:rFonts w:cs="Arial"/>
        </w:rPr>
        <w:t xml:space="preserve"> provide the redesignation facility to </w:t>
      </w:r>
      <w:r w:rsidR="00FE10C0" w:rsidRPr="007EE700">
        <w:rPr>
          <w:rFonts w:cs="Arial"/>
        </w:rPr>
        <w:t>C</w:t>
      </w:r>
      <w:r w:rsidR="006B5C85" w:rsidRPr="007EE700">
        <w:rPr>
          <w:rFonts w:cs="Arial"/>
        </w:rPr>
        <w:t>apacity that was acquired prior to the Tariff Regulation Effective Date.</w:t>
      </w:r>
    </w:p>
    <w:p w14:paraId="7EBA1FFC" w14:textId="1BFF008C" w:rsidR="00802120" w:rsidRDefault="00D94B07" w:rsidP="00936D97">
      <w:pPr>
        <w:jc w:val="both"/>
        <w:rPr>
          <w:rFonts w:cs="Arial"/>
        </w:rPr>
      </w:pPr>
      <w:r>
        <w:rPr>
          <w:rFonts w:cs="Arial"/>
        </w:rPr>
        <w:t xml:space="preserve">The effect of this adjustment will be that </w:t>
      </w:r>
      <w:r w:rsidR="008B50FB">
        <w:rPr>
          <w:rFonts w:cs="Arial"/>
        </w:rPr>
        <w:t>CESL</w:t>
      </w:r>
      <w:r>
        <w:rPr>
          <w:rFonts w:cs="Arial"/>
        </w:rPr>
        <w:t xml:space="preserve"> </w:t>
      </w:r>
      <w:r w:rsidR="0070250B">
        <w:rPr>
          <w:rFonts w:cs="Arial"/>
        </w:rPr>
        <w:t xml:space="preserve">and potentially other Users will be </w:t>
      </w:r>
      <w:r>
        <w:rPr>
          <w:rFonts w:cs="Arial"/>
        </w:rPr>
        <w:t xml:space="preserve">able to utilise NTS Entry Capacity </w:t>
      </w:r>
      <w:r w:rsidR="0070250B">
        <w:rPr>
          <w:rFonts w:cs="Arial"/>
        </w:rPr>
        <w:t xml:space="preserve">they </w:t>
      </w:r>
      <w:r>
        <w:rPr>
          <w:rFonts w:cs="Arial"/>
        </w:rPr>
        <w:t xml:space="preserve">hold at </w:t>
      </w:r>
      <w:r w:rsidR="000D6401">
        <w:rPr>
          <w:rFonts w:cs="Arial"/>
        </w:rPr>
        <w:t xml:space="preserve">the </w:t>
      </w:r>
      <w:r w:rsidRPr="00D94B07">
        <w:rPr>
          <w:rFonts w:cs="Arial"/>
        </w:rPr>
        <w:t>Easington ASEP</w:t>
      </w:r>
      <w:r>
        <w:rPr>
          <w:rFonts w:cs="Arial"/>
        </w:rPr>
        <w:t xml:space="preserve"> </w:t>
      </w:r>
      <w:r w:rsidR="00AB4598">
        <w:rPr>
          <w:rFonts w:cs="Arial"/>
        </w:rPr>
        <w:t>in respect of Winter 202</w:t>
      </w:r>
      <w:r w:rsidR="005E028C">
        <w:rPr>
          <w:rFonts w:cs="Arial"/>
        </w:rPr>
        <w:t>4</w:t>
      </w:r>
      <w:r w:rsidR="00AB4598">
        <w:rPr>
          <w:rFonts w:cs="Arial"/>
        </w:rPr>
        <w:t>/2</w:t>
      </w:r>
      <w:r w:rsidR="005E028C">
        <w:rPr>
          <w:rFonts w:cs="Arial"/>
        </w:rPr>
        <w:t>5</w:t>
      </w:r>
      <w:r w:rsidR="00AB4598">
        <w:rPr>
          <w:rFonts w:cs="Arial"/>
        </w:rPr>
        <w:t xml:space="preserve"> </w:t>
      </w:r>
      <w:r>
        <w:rPr>
          <w:rFonts w:cs="Arial"/>
        </w:rPr>
        <w:t xml:space="preserve">to support withdrawals of gas from the Rough Storage ASEP </w:t>
      </w:r>
      <w:r w:rsidR="00FA6572">
        <w:rPr>
          <w:rFonts w:cs="Arial"/>
        </w:rPr>
        <w:t xml:space="preserve">(being </w:t>
      </w:r>
      <w:r w:rsidR="0070250B">
        <w:rPr>
          <w:rFonts w:cs="Arial"/>
        </w:rPr>
        <w:t xml:space="preserve">in </w:t>
      </w:r>
      <w:r w:rsidR="008B50FB">
        <w:rPr>
          <w:rFonts w:cs="Arial"/>
        </w:rPr>
        <w:t>CESL</w:t>
      </w:r>
      <w:r w:rsidR="0070250B">
        <w:rPr>
          <w:rFonts w:cs="Arial"/>
        </w:rPr>
        <w:t xml:space="preserve">’s case </w:t>
      </w:r>
      <w:r w:rsidR="00FA6572">
        <w:rPr>
          <w:rFonts w:cs="Arial"/>
        </w:rPr>
        <w:t xml:space="preserve">the purpose for which it was </w:t>
      </w:r>
      <w:r w:rsidR="000D6401">
        <w:rPr>
          <w:rFonts w:cs="Arial"/>
        </w:rPr>
        <w:t xml:space="preserve">primarily </w:t>
      </w:r>
      <w:r w:rsidR="00FA6572">
        <w:rPr>
          <w:rFonts w:cs="Arial"/>
        </w:rPr>
        <w:t xml:space="preserve">acquired) </w:t>
      </w:r>
      <w:r w:rsidR="00062865">
        <w:rPr>
          <w:rFonts w:cs="Arial"/>
        </w:rPr>
        <w:t xml:space="preserve">instead of </w:t>
      </w:r>
      <w:r w:rsidR="005F4E3C">
        <w:rPr>
          <w:rFonts w:cs="Arial"/>
        </w:rPr>
        <w:t xml:space="preserve">being </w:t>
      </w:r>
      <w:r w:rsidR="00C066B2">
        <w:rPr>
          <w:rFonts w:cs="Arial"/>
        </w:rPr>
        <w:t>forced to incur further costs in order to acquire new NT</w:t>
      </w:r>
      <w:r w:rsidR="007965D8">
        <w:rPr>
          <w:rFonts w:cs="Arial"/>
        </w:rPr>
        <w:t>S</w:t>
      </w:r>
      <w:r w:rsidR="00C066B2">
        <w:rPr>
          <w:rFonts w:cs="Arial"/>
        </w:rPr>
        <w:t xml:space="preserve"> Entry </w:t>
      </w:r>
      <w:r w:rsidR="000D6401">
        <w:rPr>
          <w:rFonts w:cs="Arial"/>
        </w:rPr>
        <w:t>C</w:t>
      </w:r>
      <w:r w:rsidR="00C066B2">
        <w:rPr>
          <w:rFonts w:cs="Arial"/>
        </w:rPr>
        <w:t xml:space="preserve">apacity and being </w:t>
      </w:r>
      <w:r w:rsidR="005F4E3C">
        <w:rPr>
          <w:rFonts w:cs="Arial"/>
        </w:rPr>
        <w:t>exposed to the risk of reliance on short</w:t>
      </w:r>
      <w:r w:rsidR="00877F87">
        <w:rPr>
          <w:rFonts w:cs="Arial"/>
        </w:rPr>
        <w:t>-</w:t>
      </w:r>
      <w:r w:rsidR="005F4E3C">
        <w:rPr>
          <w:rFonts w:cs="Arial"/>
        </w:rPr>
        <w:t>term capacity release by NGT which may not be forthcoming</w:t>
      </w:r>
      <w:r>
        <w:rPr>
          <w:rFonts w:cs="Arial"/>
        </w:rPr>
        <w:t>.</w:t>
      </w:r>
      <w:r w:rsidR="00FA6572">
        <w:rPr>
          <w:rFonts w:cs="Arial"/>
        </w:rPr>
        <w:t xml:space="preserve"> </w:t>
      </w:r>
      <w:r w:rsidR="00595E7B" w:rsidRPr="00595E7B">
        <w:rPr>
          <w:rFonts w:cs="Arial"/>
        </w:rPr>
        <w:t xml:space="preserve">The adjustment of a User’s Available System Capacity at the Easington and Rough ASEPs shall </w:t>
      </w:r>
      <w:r w:rsidR="002F3AB8">
        <w:rPr>
          <w:rFonts w:cs="Arial"/>
        </w:rPr>
        <w:t xml:space="preserve">have </w:t>
      </w:r>
      <w:r w:rsidR="00595E7B" w:rsidRPr="00595E7B">
        <w:rPr>
          <w:rFonts w:cs="Arial"/>
        </w:rPr>
        <w:t>no impact on the amount of the User’s Capacity Charges in respect of the redesignated capacity.</w:t>
      </w:r>
      <w:r w:rsidR="00802120">
        <w:rPr>
          <w:rFonts w:cs="Arial"/>
        </w:rPr>
        <w:t xml:space="preserve"> </w:t>
      </w:r>
    </w:p>
    <w:p w14:paraId="597CCD06" w14:textId="102CED77" w:rsidR="00030277" w:rsidRDefault="00676DA6" w:rsidP="00936D97">
      <w:pPr>
        <w:jc w:val="both"/>
        <w:rPr>
          <w:rFonts w:cs="Arial"/>
        </w:rPr>
      </w:pPr>
      <w:r>
        <w:rPr>
          <w:rFonts w:cs="Arial"/>
        </w:rPr>
        <w:t>Th</w:t>
      </w:r>
      <w:r w:rsidR="003C62E6">
        <w:rPr>
          <w:rFonts w:cs="Arial"/>
        </w:rPr>
        <w:t xml:space="preserve">is </w:t>
      </w:r>
      <w:r>
        <w:rPr>
          <w:rFonts w:cs="Arial"/>
        </w:rPr>
        <w:t xml:space="preserve">interim solution </w:t>
      </w:r>
      <w:r w:rsidR="001B6620">
        <w:rPr>
          <w:rFonts w:cs="Arial"/>
        </w:rPr>
        <w:t>relies on</w:t>
      </w:r>
      <w:r>
        <w:rPr>
          <w:rFonts w:cs="Arial"/>
        </w:rPr>
        <w:t xml:space="preserve"> existing system functionality</w:t>
      </w:r>
      <w:r w:rsidR="005B2B19">
        <w:rPr>
          <w:rFonts w:cs="Arial"/>
        </w:rPr>
        <w:t xml:space="preserve">, utilised in connection with the </w:t>
      </w:r>
      <w:r w:rsidR="001B6620">
        <w:rPr>
          <w:rFonts w:cs="Arial"/>
        </w:rPr>
        <w:t xml:space="preserve">redesignation </w:t>
      </w:r>
      <w:r w:rsidR="005A7A64">
        <w:rPr>
          <w:rFonts w:cs="Arial"/>
        </w:rPr>
        <w:t xml:space="preserve">of </w:t>
      </w:r>
      <w:r w:rsidR="001B6620">
        <w:rPr>
          <w:rFonts w:cs="Arial"/>
        </w:rPr>
        <w:t xml:space="preserve">Easington ASEP </w:t>
      </w:r>
      <w:r w:rsidR="005B2B19">
        <w:rPr>
          <w:rFonts w:cs="Arial"/>
        </w:rPr>
        <w:t xml:space="preserve">NTS Entry </w:t>
      </w:r>
      <w:r w:rsidR="001B6620">
        <w:rPr>
          <w:rFonts w:cs="Arial"/>
        </w:rPr>
        <w:t>C</w:t>
      </w:r>
      <w:r w:rsidR="005B2B19">
        <w:rPr>
          <w:rFonts w:cs="Arial"/>
        </w:rPr>
        <w:t xml:space="preserve">apacity </w:t>
      </w:r>
      <w:r w:rsidR="001B6620">
        <w:rPr>
          <w:rFonts w:cs="Arial"/>
        </w:rPr>
        <w:t xml:space="preserve">to Rough pursuant to Modification Proposal </w:t>
      </w:r>
      <w:r w:rsidR="006F310D">
        <w:rPr>
          <w:rFonts w:cs="Arial"/>
        </w:rPr>
        <w:t>UNC</w:t>
      </w:r>
      <w:r w:rsidR="005A7A64">
        <w:rPr>
          <w:rFonts w:cs="Arial"/>
        </w:rPr>
        <w:t xml:space="preserve">817 </w:t>
      </w:r>
      <w:r w:rsidR="001B6620">
        <w:rPr>
          <w:rFonts w:cs="Arial"/>
        </w:rPr>
        <w:t>in Winter 2022/23</w:t>
      </w:r>
      <w:r w:rsidR="00410750">
        <w:rPr>
          <w:rFonts w:cs="Arial"/>
        </w:rPr>
        <w:t>,</w:t>
      </w:r>
      <w:r w:rsidR="007D5A19">
        <w:rPr>
          <w:rFonts w:cs="Arial"/>
        </w:rPr>
        <w:t xml:space="preserve"> </w:t>
      </w:r>
      <w:r w:rsidR="008B50FB">
        <w:rPr>
          <w:rFonts w:cs="Arial"/>
        </w:rPr>
        <w:t>and Modification</w:t>
      </w:r>
      <w:r w:rsidR="007D5A19">
        <w:rPr>
          <w:rFonts w:cs="Arial"/>
        </w:rPr>
        <w:t xml:space="preserve"> Proposal UNC846 in Winter 2023/24 </w:t>
      </w:r>
      <w:r w:rsidR="00410750">
        <w:rPr>
          <w:rFonts w:cs="Arial"/>
        </w:rPr>
        <w:t>though the invitation to nominate Capacity for redesignation would be extended to all Users that h</w:t>
      </w:r>
      <w:r w:rsidR="00B36981">
        <w:rPr>
          <w:rFonts w:cs="Arial"/>
        </w:rPr>
        <w:t>ol</w:t>
      </w:r>
      <w:r w:rsidR="00410750">
        <w:rPr>
          <w:rFonts w:cs="Arial"/>
        </w:rPr>
        <w:t>d NTS Entry Capacity at the Easington ASEP for Winter 202</w:t>
      </w:r>
      <w:r w:rsidR="005E028C">
        <w:rPr>
          <w:rFonts w:cs="Arial"/>
        </w:rPr>
        <w:t>4</w:t>
      </w:r>
      <w:r w:rsidR="00410750">
        <w:rPr>
          <w:rFonts w:cs="Arial"/>
        </w:rPr>
        <w:t>/2</w:t>
      </w:r>
      <w:r w:rsidR="005E028C">
        <w:rPr>
          <w:rFonts w:cs="Arial"/>
        </w:rPr>
        <w:t>5</w:t>
      </w:r>
      <w:r w:rsidR="00B36981">
        <w:rPr>
          <w:rFonts w:cs="Arial"/>
        </w:rPr>
        <w:t xml:space="preserve"> which was acquired before </w:t>
      </w:r>
      <w:r w:rsidR="006B5C85">
        <w:rPr>
          <w:rFonts w:cs="Arial"/>
        </w:rPr>
        <w:t xml:space="preserve">the </w:t>
      </w:r>
      <w:r w:rsidR="006B5C85" w:rsidRPr="006B5C85">
        <w:rPr>
          <w:rFonts w:cs="Arial"/>
        </w:rPr>
        <w:t>Tariff Regulation Effective Date</w:t>
      </w:r>
      <w:r w:rsidR="001B6620">
        <w:rPr>
          <w:rFonts w:cs="Arial"/>
        </w:rPr>
        <w:t>.</w:t>
      </w:r>
      <w:r w:rsidR="00B96436" w:rsidRPr="00B96436">
        <w:t xml:space="preserve"> </w:t>
      </w:r>
    </w:p>
    <w:p w14:paraId="23D25378" w14:textId="5E0C9DBA" w:rsidR="005B2B19" w:rsidRDefault="005B2B19" w:rsidP="00936D97">
      <w:pPr>
        <w:jc w:val="both"/>
        <w:rPr>
          <w:rFonts w:cs="Arial"/>
        </w:rPr>
      </w:pPr>
      <w:r>
        <w:rPr>
          <w:rFonts w:cs="Arial"/>
        </w:rPr>
        <w:t>For the avoidance of doubt, it is not proposed that any surrender, transfer or new auction of capacity will take place</w:t>
      </w:r>
      <w:r w:rsidR="009D6859">
        <w:rPr>
          <w:rFonts w:cs="Arial"/>
        </w:rPr>
        <w:t xml:space="preserve">, just the reclassification of Capacity </w:t>
      </w:r>
      <w:r w:rsidR="00410750">
        <w:rPr>
          <w:rFonts w:cs="Arial"/>
        </w:rPr>
        <w:t xml:space="preserve">held </w:t>
      </w:r>
      <w:r w:rsidR="009D6859">
        <w:rPr>
          <w:rFonts w:cs="Arial"/>
        </w:rPr>
        <w:t>at the Easington ASEP</w:t>
      </w:r>
      <w:r>
        <w:rPr>
          <w:rFonts w:cs="Arial"/>
        </w:rPr>
        <w:t xml:space="preserve">.  </w:t>
      </w:r>
      <w:r w:rsidR="00071625">
        <w:rPr>
          <w:rFonts w:cs="Arial"/>
        </w:rPr>
        <w:t xml:space="preserve">The Modification will have no impact on the level of </w:t>
      </w:r>
      <w:r w:rsidR="00410750">
        <w:rPr>
          <w:rFonts w:cs="Arial"/>
        </w:rPr>
        <w:t>C</w:t>
      </w:r>
      <w:r w:rsidR="00071625">
        <w:rPr>
          <w:rFonts w:cs="Arial"/>
        </w:rPr>
        <w:t xml:space="preserve">apacity available to other shippers at the Easington ASEP. </w:t>
      </w:r>
      <w:r>
        <w:rPr>
          <w:rFonts w:cs="Arial"/>
        </w:rPr>
        <w:t xml:space="preserve">This proposal provides an interim pragmatic solution to apply for the period </w:t>
      </w:r>
      <w:r w:rsidR="000B668E">
        <w:rPr>
          <w:rFonts w:cs="Arial"/>
        </w:rPr>
        <w:t xml:space="preserve">from </w:t>
      </w:r>
      <w:r w:rsidR="00354D43">
        <w:rPr>
          <w:rFonts w:cs="Arial"/>
        </w:rPr>
        <w:t>0</w:t>
      </w:r>
      <w:r w:rsidR="000B668E">
        <w:rPr>
          <w:rFonts w:cs="Arial"/>
        </w:rPr>
        <w:t>1 October 202</w:t>
      </w:r>
      <w:r w:rsidR="005E028C">
        <w:rPr>
          <w:rFonts w:cs="Arial"/>
        </w:rPr>
        <w:t>4</w:t>
      </w:r>
      <w:r w:rsidR="000B668E">
        <w:rPr>
          <w:rFonts w:cs="Arial"/>
        </w:rPr>
        <w:t xml:space="preserve"> </w:t>
      </w:r>
      <w:r>
        <w:rPr>
          <w:rFonts w:cs="Arial"/>
        </w:rPr>
        <w:t>until 3</w:t>
      </w:r>
      <w:r w:rsidR="00EA2437">
        <w:rPr>
          <w:rFonts w:cs="Arial"/>
        </w:rPr>
        <w:t>1 March</w:t>
      </w:r>
      <w:r w:rsidR="00996402">
        <w:rPr>
          <w:rFonts w:cs="Arial"/>
        </w:rPr>
        <w:t xml:space="preserve"> </w:t>
      </w:r>
      <w:r w:rsidR="005A7A64">
        <w:rPr>
          <w:rFonts w:cs="Arial"/>
        </w:rPr>
        <w:t>202</w:t>
      </w:r>
      <w:r w:rsidR="005E028C">
        <w:rPr>
          <w:rFonts w:cs="Arial"/>
        </w:rPr>
        <w:t>5</w:t>
      </w:r>
      <w:r w:rsidR="005A7A64">
        <w:rPr>
          <w:rFonts w:cs="Arial"/>
        </w:rPr>
        <w:t xml:space="preserve"> </w:t>
      </w:r>
      <w:r>
        <w:rPr>
          <w:rFonts w:cs="Arial"/>
        </w:rPr>
        <w:t>only</w:t>
      </w:r>
      <w:r w:rsidR="00D62367">
        <w:rPr>
          <w:rFonts w:cs="Arial"/>
        </w:rPr>
        <w:t>, designed to minimise the system changes required for implementation</w:t>
      </w:r>
      <w:r w:rsidR="005F4E3C">
        <w:rPr>
          <w:rFonts w:cs="Arial"/>
        </w:rPr>
        <w:t>,</w:t>
      </w:r>
      <w:r w:rsidR="00D62367">
        <w:rPr>
          <w:rFonts w:cs="Arial"/>
        </w:rPr>
        <w:t xml:space="preserve"> </w:t>
      </w:r>
      <w:r w:rsidR="003C62E6">
        <w:rPr>
          <w:rFonts w:cs="Arial"/>
        </w:rPr>
        <w:t>given that it there is no commitment at present for continued use of Rough as a storage facility after</w:t>
      </w:r>
      <w:r w:rsidR="005A7A64">
        <w:rPr>
          <w:rFonts w:cs="Arial"/>
        </w:rPr>
        <w:t xml:space="preserve"> that date</w:t>
      </w:r>
      <w:r>
        <w:rPr>
          <w:rFonts w:cs="Arial"/>
        </w:rPr>
        <w:t xml:space="preserve">. </w:t>
      </w:r>
    </w:p>
    <w:p w14:paraId="5CCF0634" w14:textId="77777777" w:rsidR="00E6212D" w:rsidRPr="00CA74C4" w:rsidRDefault="00E6212D" w:rsidP="00761C07">
      <w:pPr>
        <w:pStyle w:val="Heading02"/>
      </w:pPr>
      <w:bookmarkStart w:id="2" w:name="_Toc169090691"/>
      <w:r w:rsidRPr="00CA74C4">
        <w:t>Governance</w:t>
      </w:r>
      <w:bookmarkEnd w:id="2"/>
    </w:p>
    <w:p w14:paraId="79E4D7AB" w14:textId="77777777" w:rsidR="004F0009" w:rsidRDefault="004F0009" w:rsidP="00936D97">
      <w:pPr>
        <w:pStyle w:val="Heading4"/>
        <w:keepLines w:val="0"/>
        <w:numPr>
          <w:ilvl w:val="0"/>
          <w:numId w:val="0"/>
        </w:numPr>
        <w:spacing w:before="240"/>
        <w:ind w:left="90" w:hanging="90"/>
        <w:jc w:val="both"/>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 xml:space="preserve">Justification for </w:t>
      </w:r>
      <w:r>
        <w:rPr>
          <w:rFonts w:ascii="Arial" w:eastAsia="Times New Roman" w:hAnsi="Arial" w:cs="Arial"/>
          <w:i w:val="0"/>
          <w:iCs w:val="0"/>
          <w:color w:val="008576"/>
          <w:sz w:val="24"/>
          <w:szCs w:val="28"/>
        </w:rPr>
        <w:t>Authority Direct</w:t>
      </w:r>
      <w:r w:rsidR="003906B1">
        <w:rPr>
          <w:rFonts w:ascii="Arial" w:eastAsia="Times New Roman" w:hAnsi="Arial" w:cs="Arial"/>
          <w:i w:val="0"/>
          <w:iCs w:val="0"/>
          <w:color w:val="008576"/>
          <w:sz w:val="24"/>
          <w:szCs w:val="28"/>
        </w:rPr>
        <w:t>ion</w:t>
      </w:r>
    </w:p>
    <w:p w14:paraId="5B32B733" w14:textId="3A92AB4D" w:rsidR="004F0009" w:rsidRPr="004F0009" w:rsidRDefault="004F0009">
      <w:pPr>
        <w:jc w:val="both"/>
      </w:pPr>
      <w:r>
        <w:t xml:space="preserve">The Modification is recommended to be sent to the Authority for direction as it will have a material impact on security of supply and competition in the gas shipping sector. Implementation of this </w:t>
      </w:r>
      <w:r w:rsidR="004E053C">
        <w:t>M</w:t>
      </w:r>
      <w:r>
        <w:t xml:space="preserve">odification will permit </w:t>
      </w:r>
      <w:r w:rsidR="008B50FB">
        <w:t>CESL</w:t>
      </w:r>
      <w:r w:rsidR="005E028C">
        <w:t xml:space="preserve">, </w:t>
      </w:r>
      <w:r>
        <w:t xml:space="preserve">to access Entry Capacity at the Rough </w:t>
      </w:r>
      <w:r w:rsidR="003E0916">
        <w:t xml:space="preserve">Storage NTS </w:t>
      </w:r>
      <w:r>
        <w:t>Entry Point</w:t>
      </w:r>
      <w:r w:rsidR="00561385">
        <w:t xml:space="preserve"> which</w:t>
      </w:r>
      <w:r>
        <w:t xml:space="preserve"> had </w:t>
      </w:r>
      <w:r w:rsidR="00561385">
        <w:t xml:space="preserve">been </w:t>
      </w:r>
      <w:r>
        <w:t xml:space="preserve">previously acquired at the Easington ASEP for the purpose of underpinning Rough Storage withdrawals. This will strengthen GB security of supply </w:t>
      </w:r>
      <w:r w:rsidR="005F4E3C">
        <w:t xml:space="preserve">and contribute to a more efficient system, by providing </w:t>
      </w:r>
      <w:r w:rsidR="008B50FB">
        <w:t>CESL</w:t>
      </w:r>
      <w:r w:rsidR="005F4E3C">
        <w:t xml:space="preserve"> with sufficient assurance that it will be able to withdraw gas from Rough when required, providing it with the commercial justification required to embark upon on injection programme over the Summer.  </w:t>
      </w:r>
      <w:r w:rsidR="40028B94">
        <w:t>If</w:t>
      </w:r>
      <w:r>
        <w:t xml:space="preserve"> this </w:t>
      </w:r>
      <w:r w:rsidR="00674356">
        <w:t>M</w:t>
      </w:r>
      <w:r>
        <w:t xml:space="preserve">odification </w:t>
      </w:r>
      <w:r w:rsidR="59349B6F">
        <w:t xml:space="preserve">is </w:t>
      </w:r>
      <w:r>
        <w:t>not implemented, it w</w:t>
      </w:r>
      <w:r w:rsidR="12AF1B79">
        <w:t>ill</w:t>
      </w:r>
      <w:r>
        <w:t xml:space="preserve"> result in </w:t>
      </w:r>
      <w:r w:rsidR="003E0916">
        <w:t xml:space="preserve">inefficiency and additional unnecessary </w:t>
      </w:r>
      <w:r>
        <w:t xml:space="preserve">costs being incurred by </w:t>
      </w:r>
      <w:r w:rsidR="008B50FB">
        <w:t>CESL</w:t>
      </w:r>
      <w:r w:rsidR="00D17ED8">
        <w:t xml:space="preserve">, </w:t>
      </w:r>
      <w:r w:rsidR="00A137C2">
        <w:t xml:space="preserve">or </w:t>
      </w:r>
      <w:r w:rsidR="00D17ED8">
        <w:t xml:space="preserve">other </w:t>
      </w:r>
      <w:r>
        <w:t>User</w:t>
      </w:r>
      <w:r w:rsidR="00D17ED8">
        <w:t xml:space="preserve">s, </w:t>
      </w:r>
      <w:proofErr w:type="gramStart"/>
      <w:r w:rsidR="00D17ED8">
        <w:t>in the event that</w:t>
      </w:r>
      <w:proofErr w:type="gramEnd"/>
      <w:r w:rsidR="00D17ED8">
        <w:t xml:space="preserve"> </w:t>
      </w:r>
      <w:r w:rsidR="008B50FB">
        <w:t>CESL</w:t>
      </w:r>
      <w:r w:rsidR="00D17ED8">
        <w:t xml:space="preserve"> decides not to use the full capacity in the Rough facility and decides to offer storage rights to third parties</w:t>
      </w:r>
      <w:r>
        <w:t>.</w:t>
      </w:r>
    </w:p>
    <w:p w14:paraId="43AB17F0" w14:textId="77777777" w:rsidR="00B37860" w:rsidRPr="00CA74C4" w:rsidRDefault="00B37860" w:rsidP="00B37860">
      <w:pPr>
        <w:pStyle w:val="Heading4"/>
        <w:keepLines w:val="0"/>
        <w:numPr>
          <w:ilvl w:val="0"/>
          <w:numId w:val="0"/>
        </w:numPr>
        <w:spacing w:before="240"/>
        <w:rPr>
          <w:rFonts w:ascii="Arial" w:eastAsia="Times New Roman" w:hAnsi="Arial" w:cs="Arial"/>
          <w:b w:val="0"/>
          <w:iCs w:val="0"/>
          <w:color w:val="FF0000"/>
          <w:szCs w:val="20"/>
        </w:rPr>
      </w:pPr>
      <w:bookmarkStart w:id="3" w:name="_Hlk30581701"/>
      <w:r w:rsidRPr="00CA74C4">
        <w:rPr>
          <w:rFonts w:ascii="Arial" w:eastAsia="Times New Roman" w:hAnsi="Arial" w:cs="Arial"/>
          <w:i w:val="0"/>
          <w:iCs w:val="0"/>
          <w:color w:val="008576"/>
          <w:sz w:val="24"/>
        </w:rPr>
        <w:lastRenderedPageBreak/>
        <w:t>Requested Next Steps</w:t>
      </w:r>
    </w:p>
    <w:p w14:paraId="21CCB654" w14:textId="113A87D9" w:rsidR="00C271C9" w:rsidRPr="00C271C9" w:rsidRDefault="00C271C9" w:rsidP="00672274">
      <w:pPr>
        <w:pStyle w:val="BodyText3"/>
        <w:ind w:right="113"/>
        <w:rPr>
          <w:sz w:val="20"/>
          <w:szCs w:val="20"/>
        </w:rPr>
      </w:pPr>
      <w:r>
        <w:rPr>
          <w:sz w:val="20"/>
          <w:szCs w:val="20"/>
        </w:rPr>
        <w:t>T</w:t>
      </w:r>
      <w:r w:rsidRPr="00C271C9">
        <w:rPr>
          <w:sz w:val="20"/>
          <w:szCs w:val="20"/>
        </w:rPr>
        <w:t xml:space="preserve">his Modification </w:t>
      </w:r>
      <w:r>
        <w:rPr>
          <w:sz w:val="20"/>
          <w:szCs w:val="20"/>
        </w:rPr>
        <w:t xml:space="preserve">Proposal </w:t>
      </w:r>
      <w:r w:rsidRPr="00C271C9">
        <w:rPr>
          <w:sz w:val="20"/>
          <w:szCs w:val="20"/>
        </w:rPr>
        <w:t>should</w:t>
      </w:r>
      <w:r w:rsidR="00672274">
        <w:rPr>
          <w:sz w:val="20"/>
          <w:szCs w:val="20"/>
        </w:rPr>
        <w:t xml:space="preserve"> </w:t>
      </w:r>
      <w:r w:rsidRPr="00C271C9">
        <w:rPr>
          <w:sz w:val="20"/>
          <w:szCs w:val="20"/>
        </w:rPr>
        <w:t>be considered a material change and not subject to Self-Governance;</w:t>
      </w:r>
    </w:p>
    <w:p w14:paraId="4FCC74C7" w14:textId="77777777" w:rsidR="00672274" w:rsidRPr="008D54E0" w:rsidRDefault="00672274" w:rsidP="00672274">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Workgroup’s Assessment</w:t>
      </w:r>
    </w:p>
    <w:p w14:paraId="71A8DA2B" w14:textId="77777777" w:rsidR="00672274" w:rsidRPr="00E005FD" w:rsidRDefault="00672274" w:rsidP="00672274">
      <w:pPr>
        <w:keepNext/>
        <w:outlineLvl w:val="3"/>
        <w:rPr>
          <w:i/>
          <w:noProof/>
          <w:color w:val="00B274"/>
        </w:rPr>
      </w:pPr>
      <w:r>
        <w:rPr>
          <w:i/>
          <w:noProof/>
          <w:color w:val="00B274"/>
        </w:rPr>
        <w:t xml:space="preserve">Workgroup’s </w:t>
      </w:r>
      <w:r w:rsidRPr="00E005FD">
        <w:rPr>
          <w:i/>
          <w:noProof/>
          <w:color w:val="00B274"/>
        </w:rPr>
        <w:t>Assessment of Governance and whether the Modification meets/continues to meet the Self-Governance criteria</w:t>
      </w:r>
      <w:r>
        <w:rPr>
          <w:i/>
          <w:noProof/>
          <w:color w:val="00B274"/>
        </w:rPr>
        <w:t>.</w:t>
      </w:r>
    </w:p>
    <w:p w14:paraId="75C6A8B1" w14:textId="77777777" w:rsidR="00672274" w:rsidRPr="008D54E0" w:rsidRDefault="00672274" w:rsidP="00672274">
      <w:pPr>
        <w:rPr>
          <w:rFonts w:cs="Arial"/>
        </w:rPr>
      </w:pPr>
      <w:r w:rsidRPr="008D54E0">
        <w:rPr>
          <w:rFonts w:cs="Arial"/>
        </w:rPr>
        <w:t>Insert text here</w:t>
      </w:r>
      <w:r>
        <w:rPr>
          <w:rFonts w:cs="Arial"/>
        </w:rPr>
        <w:t>.</w:t>
      </w:r>
    </w:p>
    <w:p w14:paraId="6D6F5D2A" w14:textId="6A199D80" w:rsidR="004C6117" w:rsidRPr="00CA74C4" w:rsidRDefault="004C6117" w:rsidP="00761C07">
      <w:pPr>
        <w:pStyle w:val="Heading02"/>
      </w:pPr>
      <w:bookmarkStart w:id="4" w:name="_Toc169090692"/>
      <w:bookmarkEnd w:id="3"/>
      <w:r w:rsidRPr="00CA74C4">
        <w:t>Why Change?</w:t>
      </w:r>
      <w:bookmarkEnd w:id="4"/>
    </w:p>
    <w:p w14:paraId="0D151841" w14:textId="61E2506C" w:rsidR="00763A16" w:rsidRDefault="000715C2" w:rsidP="00535A56">
      <w:pPr>
        <w:jc w:val="both"/>
        <w:rPr>
          <w:rFonts w:cs="Arial"/>
        </w:rPr>
      </w:pPr>
      <w:r w:rsidRPr="000715C2">
        <w:rPr>
          <w:rFonts w:cs="Arial"/>
        </w:rPr>
        <w:t>In July 2022</w:t>
      </w:r>
      <w:r w:rsidR="00763A16">
        <w:rPr>
          <w:rFonts w:cs="Arial"/>
        </w:rPr>
        <w:t>,</w:t>
      </w:r>
      <w:r w:rsidRPr="000715C2">
        <w:rPr>
          <w:rFonts w:cs="Arial"/>
        </w:rPr>
        <w:t xml:space="preserve"> </w:t>
      </w:r>
      <w:proofErr w:type="gramStart"/>
      <w:r w:rsidR="00763A16">
        <w:rPr>
          <w:rFonts w:cs="Arial"/>
        </w:rPr>
        <w:t>i</w:t>
      </w:r>
      <w:r w:rsidR="00B80F64">
        <w:rPr>
          <w:rFonts w:cs="Arial"/>
        </w:rPr>
        <w:t>n light of</w:t>
      </w:r>
      <w:proofErr w:type="gramEnd"/>
      <w:r w:rsidR="00B80F64">
        <w:rPr>
          <w:rFonts w:cs="Arial"/>
        </w:rPr>
        <w:t xml:space="preserve"> the continuing gas disruption to the gas market associated with the conflict in Ukraine,</w:t>
      </w:r>
      <w:r w:rsidRPr="000715C2">
        <w:t xml:space="preserve"> </w:t>
      </w:r>
      <w:r w:rsidR="008B50FB">
        <w:rPr>
          <w:rFonts w:cs="Arial"/>
        </w:rPr>
        <w:t>CESL</w:t>
      </w:r>
      <w:r w:rsidR="00763A16">
        <w:rPr>
          <w:rFonts w:cs="Arial"/>
        </w:rPr>
        <w:t xml:space="preserve"> obtained </w:t>
      </w:r>
      <w:r w:rsidR="00763A16" w:rsidRPr="00763A16">
        <w:rPr>
          <w:rFonts w:cs="Arial"/>
        </w:rPr>
        <w:t>a gas storage licence for the Rough facility enabling it to resume gas storage activities at the facility.</w:t>
      </w:r>
      <w:r w:rsidR="00763A16" w:rsidRPr="00763A16">
        <w:t xml:space="preserve"> </w:t>
      </w:r>
      <w:r w:rsidR="00763A16">
        <w:t>In August 2022 t</w:t>
      </w:r>
      <w:r w:rsidR="00763A16" w:rsidRPr="00763A16">
        <w:rPr>
          <w:rFonts w:cs="Arial"/>
        </w:rPr>
        <w:t xml:space="preserve">he Authority granted </w:t>
      </w:r>
      <w:r w:rsidR="008B50FB">
        <w:rPr>
          <w:rFonts w:cs="Arial"/>
        </w:rPr>
        <w:t>CESL</w:t>
      </w:r>
      <w:r w:rsidR="00763A16" w:rsidRPr="00763A16">
        <w:rPr>
          <w:rFonts w:cs="Arial"/>
        </w:rPr>
        <w:t xml:space="preserve"> an exemption from negotiated third party access obligations for the period up until 30 June 2024</w:t>
      </w:r>
      <w:r w:rsidR="005E028C">
        <w:rPr>
          <w:rFonts w:cs="Arial"/>
        </w:rPr>
        <w:t xml:space="preserve">. Ofgem directed the exemption was to be extended until </w:t>
      </w:r>
      <w:r w:rsidR="00674356">
        <w:rPr>
          <w:rFonts w:cs="Arial"/>
        </w:rPr>
        <w:t>0</w:t>
      </w:r>
      <w:r w:rsidR="005E028C">
        <w:rPr>
          <w:rFonts w:cs="Arial"/>
        </w:rPr>
        <w:t>1 April 2030</w:t>
      </w:r>
      <w:r w:rsidR="009E777D">
        <w:rPr>
          <w:rFonts w:cs="Arial"/>
        </w:rPr>
        <w:t xml:space="preserve"> in its decision published on 27 June 2023.</w:t>
      </w:r>
    </w:p>
    <w:p w14:paraId="0D00D151" w14:textId="13DF966C" w:rsidR="005F4E3C" w:rsidRDefault="00763A16" w:rsidP="00535A56">
      <w:pPr>
        <w:jc w:val="both"/>
        <w:rPr>
          <w:rFonts w:cs="Arial"/>
        </w:rPr>
      </w:pPr>
      <w:r w:rsidRPr="00763A16">
        <w:rPr>
          <w:rFonts w:cs="Arial"/>
        </w:rPr>
        <w:t>In order to comply with the charging reforms that had been introduced with respect to gas storage with the implementation of Modification Proposal UNC 0678A</w:t>
      </w:r>
      <w:r w:rsidR="00FC0935">
        <w:rPr>
          <w:rFonts w:cs="Arial"/>
        </w:rPr>
        <w:t xml:space="preserve"> </w:t>
      </w:r>
      <w:r w:rsidR="00FC0935" w:rsidRPr="00BD7115">
        <w:rPr>
          <w:rFonts w:cs="Arial"/>
          <w:i/>
          <w:iCs/>
        </w:rPr>
        <w:t>- Amendments to Gas Transmission Charging Regime (Postage Stamp)</w:t>
      </w:r>
      <w:r w:rsidR="00FC0935">
        <w:rPr>
          <w:rFonts w:cs="Arial"/>
        </w:rPr>
        <w:t>,</w:t>
      </w:r>
      <w:r w:rsidRPr="00763A16">
        <w:rPr>
          <w:rFonts w:cs="Arial"/>
        </w:rPr>
        <w:t xml:space="preserve"> in October 2020, NGT disaggregated the Rough sub-terminal, or Storage Connection Point, from the Easington Aggregate System Entry Point (ASEP) </w:t>
      </w:r>
      <w:r w:rsidR="005F4E3C" w:rsidRPr="005F4E3C">
        <w:rPr>
          <w:rFonts w:cs="Arial"/>
        </w:rPr>
        <w:t>on the re-establishment of Rough as a licen</w:t>
      </w:r>
      <w:r w:rsidR="00EA2437">
        <w:rPr>
          <w:rFonts w:cs="Arial"/>
        </w:rPr>
        <w:t>s</w:t>
      </w:r>
      <w:r w:rsidR="005F4E3C" w:rsidRPr="005F4E3C">
        <w:rPr>
          <w:rFonts w:cs="Arial"/>
        </w:rPr>
        <w:t xml:space="preserve">ed gas storage facility </w:t>
      </w:r>
      <w:r w:rsidRPr="00763A16">
        <w:rPr>
          <w:rFonts w:cs="Arial"/>
        </w:rPr>
        <w:t xml:space="preserve">and established the Rough sub-terminal as a </w:t>
      </w:r>
      <w:r w:rsidR="005F4E3C">
        <w:rPr>
          <w:rFonts w:cs="Arial"/>
        </w:rPr>
        <w:t xml:space="preserve">separate </w:t>
      </w:r>
      <w:r w:rsidRPr="00763A16">
        <w:rPr>
          <w:rFonts w:cs="Arial"/>
        </w:rPr>
        <w:t xml:space="preserve">new Rough ASEP. </w:t>
      </w:r>
      <w:r>
        <w:rPr>
          <w:rFonts w:cs="Arial"/>
        </w:rPr>
        <w:t xml:space="preserve"> </w:t>
      </w:r>
      <w:r w:rsidR="005F4E3C">
        <w:rPr>
          <w:rFonts w:cs="Arial"/>
        </w:rPr>
        <w:t xml:space="preserve">However, </w:t>
      </w:r>
      <w:r w:rsidR="0058370E">
        <w:rPr>
          <w:rFonts w:cs="Arial"/>
        </w:rPr>
        <w:t xml:space="preserve">the </w:t>
      </w:r>
      <w:r w:rsidR="004C4CC5">
        <w:rPr>
          <w:rFonts w:cs="Arial"/>
        </w:rPr>
        <w:t xml:space="preserve">Rough </w:t>
      </w:r>
      <w:r w:rsidR="0058370E">
        <w:rPr>
          <w:rFonts w:cs="Arial"/>
        </w:rPr>
        <w:t>ASEP has not been allocated any baseline capacity.</w:t>
      </w:r>
      <w:r w:rsidR="005F4E3C">
        <w:rPr>
          <w:rFonts w:cs="Arial"/>
        </w:rPr>
        <w:t xml:space="preserve"> </w:t>
      </w:r>
    </w:p>
    <w:p w14:paraId="0928134E" w14:textId="259D6660" w:rsidR="00763A16" w:rsidRDefault="00763A16" w:rsidP="00535A56">
      <w:pPr>
        <w:jc w:val="both"/>
        <w:rPr>
          <w:rFonts w:cs="Arial"/>
        </w:rPr>
      </w:pPr>
      <w:r w:rsidRPr="00763A16">
        <w:rPr>
          <w:rFonts w:cs="Arial"/>
        </w:rPr>
        <w:t xml:space="preserve">As a result, </w:t>
      </w:r>
      <w:r w:rsidR="008B50FB">
        <w:rPr>
          <w:rFonts w:cs="Arial"/>
        </w:rPr>
        <w:t>CESL</w:t>
      </w:r>
      <w:r w:rsidR="0058370E">
        <w:rPr>
          <w:rFonts w:cs="Arial"/>
        </w:rPr>
        <w:t xml:space="preserve"> lost the right to use capacity it held at the Easington ASEP to support withdrawals from Rough, nor did it have any certainty that it would be able to acquire new capacity at the Rough ASEP for such purposes</w:t>
      </w:r>
      <w:r w:rsidR="005F1846">
        <w:rPr>
          <w:rFonts w:cs="Arial"/>
        </w:rPr>
        <w:t>.</w:t>
      </w:r>
      <w:r w:rsidR="0058370E">
        <w:rPr>
          <w:rFonts w:cs="Arial"/>
        </w:rPr>
        <w:t xml:space="preserve">  </w:t>
      </w:r>
      <w:r w:rsidRPr="00763A16">
        <w:rPr>
          <w:rFonts w:cs="Arial"/>
        </w:rPr>
        <w:t xml:space="preserve">Modification Proposal </w:t>
      </w:r>
      <w:r w:rsidR="006F310D">
        <w:rPr>
          <w:rFonts w:cs="Arial"/>
        </w:rPr>
        <w:t>UNC</w:t>
      </w:r>
      <w:r w:rsidR="003614E2">
        <w:rPr>
          <w:rFonts w:cs="Arial"/>
        </w:rPr>
        <w:t xml:space="preserve"> 0</w:t>
      </w:r>
      <w:r w:rsidRPr="00763A16">
        <w:rPr>
          <w:rFonts w:cs="Arial"/>
        </w:rPr>
        <w:t xml:space="preserve">817 was implemented on an urgent basis as a temporary solution to the problem for Winter 2022/23, by allowing </w:t>
      </w:r>
      <w:r w:rsidR="008B50FB">
        <w:rPr>
          <w:rFonts w:cs="Arial"/>
        </w:rPr>
        <w:t>CESL</w:t>
      </w:r>
      <w:r w:rsidRPr="00763A16">
        <w:rPr>
          <w:rFonts w:cs="Arial"/>
        </w:rPr>
        <w:t xml:space="preserve">, the only shipper that holds storage capacity at Rough, to redesignate an amount of the Entry Capacity held by </w:t>
      </w:r>
      <w:r w:rsidR="008B50FB">
        <w:rPr>
          <w:rFonts w:cs="Arial"/>
        </w:rPr>
        <w:t>CESL</w:t>
      </w:r>
      <w:r w:rsidRPr="00763A16">
        <w:rPr>
          <w:rFonts w:cs="Arial"/>
        </w:rPr>
        <w:t xml:space="preserve"> at the Easington ASEP as Entry Capacity in respect of the Rough ASEP </w:t>
      </w:r>
      <w:proofErr w:type="gramStart"/>
      <w:r w:rsidRPr="00763A16">
        <w:rPr>
          <w:rFonts w:cs="Arial"/>
        </w:rPr>
        <w:t>on a monthly basis</w:t>
      </w:r>
      <w:proofErr w:type="gramEnd"/>
      <w:r w:rsidRPr="00763A16">
        <w:rPr>
          <w:rFonts w:cs="Arial"/>
        </w:rPr>
        <w:t xml:space="preserve"> over the Winter of 2022/23</w:t>
      </w:r>
      <w:r w:rsidR="00A1053C">
        <w:rPr>
          <w:rFonts w:cs="Arial"/>
        </w:rPr>
        <w:t xml:space="preserve"> (the redesignation mechanism)</w:t>
      </w:r>
      <w:r w:rsidRPr="00763A16">
        <w:rPr>
          <w:rFonts w:cs="Arial"/>
        </w:rPr>
        <w:t>.</w:t>
      </w:r>
      <w:r w:rsidR="007716B1">
        <w:rPr>
          <w:rFonts w:cs="Arial"/>
        </w:rPr>
        <w:t xml:space="preserve"> </w:t>
      </w:r>
      <w:r w:rsidR="00A1053C">
        <w:rPr>
          <w:rFonts w:cs="Arial"/>
        </w:rPr>
        <w:t>This interim solution was put in place for the period to the end of March this year and has no</w:t>
      </w:r>
      <w:r w:rsidR="00A25B5F">
        <w:rPr>
          <w:rFonts w:cs="Arial"/>
        </w:rPr>
        <w:t>w</w:t>
      </w:r>
      <w:r w:rsidR="00A1053C">
        <w:rPr>
          <w:rFonts w:cs="Arial"/>
        </w:rPr>
        <w:t xml:space="preserve"> expired.  </w:t>
      </w:r>
      <w:proofErr w:type="gramStart"/>
      <w:r w:rsidR="0066788B">
        <w:rPr>
          <w:rFonts w:cs="Arial"/>
        </w:rPr>
        <w:t>Subsequent to</w:t>
      </w:r>
      <w:proofErr w:type="gramEnd"/>
      <w:r w:rsidR="0066788B">
        <w:rPr>
          <w:rFonts w:cs="Arial"/>
        </w:rPr>
        <w:t xml:space="preserve"> this </w:t>
      </w:r>
      <w:r w:rsidR="008B50FB">
        <w:rPr>
          <w:rFonts w:cs="Arial"/>
        </w:rPr>
        <w:t>CESL</w:t>
      </w:r>
      <w:r w:rsidR="0066788B">
        <w:rPr>
          <w:rFonts w:cs="Arial"/>
        </w:rPr>
        <w:t xml:space="preserve"> raised Modification Proposal UNC 0846 which proposed to extend the arrangements implemented via Modification Proposal UNC 0817 for the period Winter 2023/24.  The Modification Proposal was implemented on 25 September 2023. </w:t>
      </w:r>
    </w:p>
    <w:p w14:paraId="00C99A77" w14:textId="232CC9C7" w:rsidR="00A1053C" w:rsidRDefault="007716B1" w:rsidP="00535A56">
      <w:pPr>
        <w:jc w:val="both"/>
        <w:rPr>
          <w:rFonts w:cs="Arial"/>
        </w:rPr>
      </w:pPr>
      <w:r>
        <w:rPr>
          <w:rFonts w:cs="Arial"/>
        </w:rPr>
        <w:t xml:space="preserve">The </w:t>
      </w:r>
      <w:r w:rsidR="00763A16">
        <w:rPr>
          <w:rFonts w:cs="Arial"/>
        </w:rPr>
        <w:t xml:space="preserve">hostilities in Ukraine and </w:t>
      </w:r>
      <w:r w:rsidR="00A1053C">
        <w:rPr>
          <w:rFonts w:cs="Arial"/>
        </w:rPr>
        <w:t xml:space="preserve">the potential for </w:t>
      </w:r>
      <w:r w:rsidR="00763A16">
        <w:rPr>
          <w:rFonts w:cs="Arial"/>
        </w:rPr>
        <w:t>instability in the gas market</w:t>
      </w:r>
      <w:r w:rsidR="00A1053C">
        <w:rPr>
          <w:rFonts w:cs="Arial"/>
        </w:rPr>
        <w:t xml:space="preserve"> are </w:t>
      </w:r>
      <w:r>
        <w:rPr>
          <w:rFonts w:cs="Arial"/>
        </w:rPr>
        <w:t>show</w:t>
      </w:r>
      <w:r w:rsidR="00A1053C">
        <w:rPr>
          <w:rFonts w:cs="Arial"/>
        </w:rPr>
        <w:t>ing</w:t>
      </w:r>
      <w:r>
        <w:rPr>
          <w:rFonts w:cs="Arial"/>
        </w:rPr>
        <w:t xml:space="preserve"> no sign of abatement</w:t>
      </w:r>
      <w:r w:rsidR="00A1053C">
        <w:rPr>
          <w:rFonts w:cs="Arial"/>
        </w:rPr>
        <w:t xml:space="preserve">. </w:t>
      </w:r>
      <w:r>
        <w:rPr>
          <w:rFonts w:cs="Arial"/>
        </w:rPr>
        <w:t xml:space="preserve"> </w:t>
      </w:r>
      <w:r w:rsidR="008B50FB">
        <w:rPr>
          <w:rFonts w:cs="Arial"/>
        </w:rPr>
        <w:t>CESL</w:t>
      </w:r>
      <w:r w:rsidR="00763A16">
        <w:rPr>
          <w:rFonts w:cs="Arial"/>
        </w:rPr>
        <w:t xml:space="preserve"> </w:t>
      </w:r>
      <w:r w:rsidR="00A25B5F">
        <w:rPr>
          <w:rFonts w:cs="Arial"/>
        </w:rPr>
        <w:t>i</w:t>
      </w:r>
      <w:r w:rsidR="004E7CD7">
        <w:rPr>
          <w:rFonts w:cs="Arial"/>
        </w:rPr>
        <w:t>ntends to</w:t>
      </w:r>
      <w:r w:rsidR="00763A16">
        <w:rPr>
          <w:rFonts w:cs="Arial"/>
        </w:rPr>
        <w:t xml:space="preserve"> operat</w:t>
      </w:r>
      <w:r w:rsidR="004E7CD7">
        <w:rPr>
          <w:rFonts w:cs="Arial"/>
        </w:rPr>
        <w:t>e</w:t>
      </w:r>
      <w:r w:rsidR="00763A16">
        <w:rPr>
          <w:rFonts w:cs="Arial"/>
        </w:rPr>
        <w:t xml:space="preserve"> Rough as a </w:t>
      </w:r>
      <w:r w:rsidR="00AC571A">
        <w:rPr>
          <w:rFonts w:cs="Arial"/>
        </w:rPr>
        <w:t xml:space="preserve">gas </w:t>
      </w:r>
      <w:r w:rsidR="00763A16">
        <w:rPr>
          <w:rFonts w:cs="Arial"/>
        </w:rPr>
        <w:t>storage facility over Winter 202</w:t>
      </w:r>
      <w:r w:rsidR="0066788B">
        <w:rPr>
          <w:rFonts w:cs="Arial"/>
        </w:rPr>
        <w:t>4</w:t>
      </w:r>
      <w:r w:rsidR="00763A16">
        <w:rPr>
          <w:rFonts w:cs="Arial"/>
        </w:rPr>
        <w:t>/2</w:t>
      </w:r>
      <w:r w:rsidR="0066788B">
        <w:rPr>
          <w:rFonts w:cs="Arial"/>
        </w:rPr>
        <w:t>5</w:t>
      </w:r>
      <w:r w:rsidR="00A1053C">
        <w:rPr>
          <w:rFonts w:cs="Arial"/>
        </w:rPr>
        <w:t xml:space="preserve">, subject to </w:t>
      </w:r>
      <w:r w:rsidR="008B50FB">
        <w:rPr>
          <w:rFonts w:cs="Arial"/>
        </w:rPr>
        <w:t>CESL</w:t>
      </w:r>
      <w:r w:rsidR="00A1053C">
        <w:rPr>
          <w:rFonts w:cs="Arial"/>
        </w:rPr>
        <w:t xml:space="preserve"> being able to find a way of </w:t>
      </w:r>
      <w:r w:rsidR="00AC571A">
        <w:rPr>
          <w:rFonts w:cs="Arial"/>
        </w:rPr>
        <w:t xml:space="preserve">acquiring </w:t>
      </w:r>
      <w:r w:rsidR="00A1053C">
        <w:rPr>
          <w:rFonts w:cs="Arial"/>
        </w:rPr>
        <w:t xml:space="preserve">capacity </w:t>
      </w:r>
      <w:r w:rsidR="00AC571A">
        <w:rPr>
          <w:rFonts w:cs="Arial"/>
        </w:rPr>
        <w:t xml:space="preserve">at Rough that gives </w:t>
      </w:r>
      <w:r w:rsidR="008B50FB">
        <w:rPr>
          <w:rFonts w:cs="Arial"/>
        </w:rPr>
        <w:t>CESL</w:t>
      </w:r>
      <w:r w:rsidR="00AC571A">
        <w:rPr>
          <w:rFonts w:cs="Arial"/>
        </w:rPr>
        <w:t xml:space="preserve"> the level of operational certainty required for storage withdrawals.  </w:t>
      </w:r>
      <w:r w:rsidR="00A1053C">
        <w:rPr>
          <w:rFonts w:cs="Arial"/>
        </w:rPr>
        <w:t xml:space="preserve">Although solutions have been identified which theoretically </w:t>
      </w:r>
      <w:r w:rsidR="00AC571A">
        <w:rPr>
          <w:rFonts w:cs="Arial"/>
        </w:rPr>
        <w:t>m</w:t>
      </w:r>
      <w:r w:rsidR="00A1053C">
        <w:rPr>
          <w:rFonts w:cs="Arial"/>
        </w:rPr>
        <w:t xml:space="preserve">ight offer an alternative to a reinstatement of the </w:t>
      </w:r>
      <w:r w:rsidR="00A1053C" w:rsidRPr="00A1053C">
        <w:rPr>
          <w:rFonts w:cs="Arial"/>
        </w:rPr>
        <w:t>redesignation mechanism</w:t>
      </w:r>
      <w:r w:rsidR="00AC571A">
        <w:rPr>
          <w:rFonts w:cs="Arial"/>
        </w:rPr>
        <w:t xml:space="preserve">, albeit with </w:t>
      </w:r>
      <w:r w:rsidR="008B50FB">
        <w:rPr>
          <w:rFonts w:cs="Arial"/>
        </w:rPr>
        <w:t>CESL</w:t>
      </w:r>
      <w:r w:rsidR="00AC571A">
        <w:rPr>
          <w:rFonts w:cs="Arial"/>
        </w:rPr>
        <w:t xml:space="preserve"> </w:t>
      </w:r>
      <w:r w:rsidR="00802120">
        <w:rPr>
          <w:rFonts w:cs="Arial"/>
        </w:rPr>
        <w:t>(or other shippers wishing to use the Rough storage facility</w:t>
      </w:r>
      <w:r w:rsidR="004E7CD7">
        <w:rPr>
          <w:rFonts w:cs="Arial"/>
        </w:rPr>
        <w:t>)</w:t>
      </w:r>
      <w:r w:rsidR="00802120">
        <w:rPr>
          <w:rFonts w:cs="Arial"/>
        </w:rPr>
        <w:t xml:space="preserve"> </w:t>
      </w:r>
      <w:r w:rsidR="00AC571A">
        <w:rPr>
          <w:rFonts w:cs="Arial"/>
        </w:rPr>
        <w:t xml:space="preserve">having to incur the </w:t>
      </w:r>
      <w:r w:rsidR="00802120">
        <w:rPr>
          <w:rFonts w:cs="Arial"/>
        </w:rPr>
        <w:t xml:space="preserve">direct or indirect </w:t>
      </w:r>
      <w:r w:rsidR="001A7E2F">
        <w:rPr>
          <w:rFonts w:cs="Arial"/>
        </w:rPr>
        <w:t xml:space="preserve">expense of </w:t>
      </w:r>
      <w:r w:rsidR="00AC571A">
        <w:rPr>
          <w:rFonts w:cs="Arial"/>
        </w:rPr>
        <w:t>acquir</w:t>
      </w:r>
      <w:r w:rsidR="001A7E2F">
        <w:rPr>
          <w:rFonts w:cs="Arial"/>
        </w:rPr>
        <w:t xml:space="preserve">ing </w:t>
      </w:r>
      <w:r w:rsidR="00AC571A">
        <w:rPr>
          <w:rFonts w:cs="Arial"/>
        </w:rPr>
        <w:t xml:space="preserve">additional capacity </w:t>
      </w:r>
      <w:r w:rsidR="001A7E2F">
        <w:rPr>
          <w:rFonts w:cs="Arial"/>
        </w:rPr>
        <w:t>at the Rough ASEP, n</w:t>
      </w:r>
      <w:r w:rsidR="00AC571A">
        <w:rPr>
          <w:rFonts w:cs="Arial"/>
        </w:rPr>
        <w:t xml:space="preserve">one of them have proved practicable in the short term. </w:t>
      </w:r>
    </w:p>
    <w:p w14:paraId="44F637BB" w14:textId="5E479F4F" w:rsidR="0058370E" w:rsidRDefault="0058370E" w:rsidP="0058370E">
      <w:pPr>
        <w:jc w:val="both"/>
        <w:rPr>
          <w:rFonts w:cs="Arial"/>
        </w:rPr>
      </w:pPr>
      <w:r>
        <w:rPr>
          <w:rFonts w:cs="Arial"/>
        </w:rPr>
        <w:t xml:space="preserve">NGT </w:t>
      </w:r>
      <w:r w:rsidR="00141554">
        <w:rPr>
          <w:rFonts w:cs="Arial"/>
        </w:rPr>
        <w:t>is obliged</w:t>
      </w:r>
      <w:r w:rsidR="00A25B5F">
        <w:rPr>
          <w:rFonts w:cs="Arial"/>
        </w:rPr>
        <w:t xml:space="preserve"> to</w:t>
      </w:r>
      <w:r w:rsidR="00141554">
        <w:rPr>
          <w:rFonts w:cs="Arial"/>
        </w:rPr>
        <w:t xml:space="preserve"> </w:t>
      </w:r>
      <w:r>
        <w:rPr>
          <w:rFonts w:cs="Arial"/>
        </w:rPr>
        <w:t xml:space="preserve">make </w:t>
      </w:r>
      <w:r w:rsidR="004C4CC5">
        <w:rPr>
          <w:rFonts w:cs="Arial"/>
        </w:rPr>
        <w:t xml:space="preserve">the following amounts </w:t>
      </w:r>
      <w:r w:rsidRPr="0058370E">
        <w:rPr>
          <w:rFonts w:cs="Arial"/>
        </w:rPr>
        <w:t xml:space="preserve">of firm </w:t>
      </w:r>
      <w:r>
        <w:rPr>
          <w:rFonts w:cs="Arial"/>
        </w:rPr>
        <w:t>NTS E</w:t>
      </w:r>
      <w:r w:rsidRPr="0058370E">
        <w:rPr>
          <w:rFonts w:cs="Arial"/>
        </w:rPr>
        <w:t xml:space="preserve">ntry </w:t>
      </w:r>
      <w:r>
        <w:rPr>
          <w:rFonts w:cs="Arial"/>
        </w:rPr>
        <w:t>C</w:t>
      </w:r>
      <w:r w:rsidRPr="0058370E">
        <w:rPr>
          <w:rFonts w:cs="Arial"/>
        </w:rPr>
        <w:t xml:space="preserve">apacity </w:t>
      </w:r>
      <w:r>
        <w:rPr>
          <w:rFonts w:cs="Arial"/>
        </w:rPr>
        <w:t xml:space="preserve">available at an </w:t>
      </w:r>
      <w:r w:rsidRPr="0058370E">
        <w:rPr>
          <w:rFonts w:cs="Arial"/>
        </w:rPr>
        <w:t>ASEP</w:t>
      </w:r>
      <w:r>
        <w:rPr>
          <w:rFonts w:cs="Arial"/>
        </w:rPr>
        <w:t xml:space="preserve">: </w:t>
      </w:r>
    </w:p>
    <w:p w14:paraId="01AE6992" w14:textId="6B5D222B" w:rsidR="004C4CC5" w:rsidRDefault="004C4CC5" w:rsidP="00F61FF2">
      <w:pPr>
        <w:pStyle w:val="ListParagraph"/>
        <w:numPr>
          <w:ilvl w:val="0"/>
          <w:numId w:val="30"/>
        </w:numPr>
        <w:jc w:val="both"/>
      </w:pPr>
      <w:r>
        <w:t>"Obligated Entry Capacity", that is the baseline NTS Entry Capacity for the ASEP which National Gas Transmission is required to make available to Users pursuant to its lic</w:t>
      </w:r>
      <w:r w:rsidR="00634A6F">
        <w:t>e</w:t>
      </w:r>
      <w:r>
        <w:t>n</w:t>
      </w:r>
      <w:r w:rsidR="00634A6F">
        <w:t xml:space="preserve">ce. </w:t>
      </w:r>
    </w:p>
    <w:p w14:paraId="40D1EAC5" w14:textId="2D3384F7" w:rsidR="0058370E" w:rsidRPr="0058370E" w:rsidRDefault="00634A6F" w:rsidP="00771ECF">
      <w:pPr>
        <w:pStyle w:val="ListParagraph"/>
        <w:numPr>
          <w:ilvl w:val="0"/>
          <w:numId w:val="30"/>
        </w:numPr>
        <w:jc w:val="both"/>
      </w:pPr>
      <w:r>
        <w:t xml:space="preserve">"Incremental NTS Entry Capacity", that is the amount of Firm NTS Entry Capacity (if any) </w:t>
      </w:r>
      <w:proofErr w:type="gramStart"/>
      <w:r>
        <w:t>in excess of</w:t>
      </w:r>
      <w:proofErr w:type="gramEnd"/>
      <w:r>
        <w:t xml:space="preserve"> the Unsold NTS Entry Capacity reserved as Quarterly NTS under a PARCA pursuant to </w:t>
      </w:r>
      <w:r w:rsidR="00771ECF">
        <w:t xml:space="preserve">TPD section B </w:t>
      </w:r>
      <w:r>
        <w:t>1.14;</w:t>
      </w:r>
      <w:r w:rsidRPr="0058370E">
        <w:t xml:space="preserve"> </w:t>
      </w:r>
    </w:p>
    <w:p w14:paraId="39EF3BD2" w14:textId="536A6851" w:rsidR="004C4CC5" w:rsidRDefault="004C4CC5" w:rsidP="0058370E">
      <w:pPr>
        <w:pStyle w:val="ListParagraph"/>
        <w:numPr>
          <w:ilvl w:val="0"/>
          <w:numId w:val="30"/>
        </w:numPr>
        <w:jc w:val="both"/>
      </w:pPr>
      <w:r>
        <w:lastRenderedPageBreak/>
        <w:t xml:space="preserve"> </w:t>
      </w:r>
      <w:r w:rsidR="00771ECF">
        <w:t>“</w:t>
      </w:r>
      <w:r w:rsidR="00771ECF" w:rsidRPr="00771ECF">
        <w:t>Discretionary NTS Entry Capacity”</w:t>
      </w:r>
      <w:r w:rsidR="00771ECF">
        <w:t xml:space="preserve">, </w:t>
      </w:r>
      <w:r>
        <w:t xml:space="preserve">over and above the levels of </w:t>
      </w:r>
      <w:r w:rsidR="00771ECF" w:rsidRPr="00771ECF">
        <w:t>Obligated Entry Capacity</w:t>
      </w:r>
      <w:r w:rsidR="00771ECF">
        <w:t xml:space="preserve"> and </w:t>
      </w:r>
      <w:r w:rsidR="00771ECF" w:rsidRPr="00771ECF">
        <w:t>Incremental NTS Entry Capacity</w:t>
      </w:r>
      <w:r w:rsidR="00771ECF">
        <w:t xml:space="preserve"> for the ASEP.</w:t>
      </w:r>
      <w:r w:rsidR="00CB1EC5">
        <w:t xml:space="preserve">  </w:t>
      </w:r>
    </w:p>
    <w:p w14:paraId="1DDA36C9" w14:textId="700063B2" w:rsidR="00B95DEB" w:rsidRDefault="00F02EC5" w:rsidP="0058370E">
      <w:pPr>
        <w:jc w:val="both"/>
        <w:rPr>
          <w:rFonts w:cs="Arial"/>
        </w:rPr>
      </w:pPr>
      <w:r w:rsidRPr="00F02EC5">
        <w:rPr>
          <w:rFonts w:cs="Arial"/>
        </w:rPr>
        <w:t xml:space="preserve">Obligated Entry Capacity </w:t>
      </w:r>
      <w:r>
        <w:rPr>
          <w:rFonts w:cs="Arial"/>
        </w:rPr>
        <w:t xml:space="preserve">could </w:t>
      </w:r>
      <w:r w:rsidR="009A4809">
        <w:rPr>
          <w:rFonts w:cs="Arial"/>
        </w:rPr>
        <w:t xml:space="preserve">in theory </w:t>
      </w:r>
      <w:r>
        <w:rPr>
          <w:rFonts w:cs="Arial"/>
        </w:rPr>
        <w:t>be acquired by</w:t>
      </w:r>
      <w:r w:rsidR="00802120">
        <w:rPr>
          <w:rFonts w:cs="Arial"/>
        </w:rPr>
        <w:t xml:space="preserve"> Users</w:t>
      </w:r>
      <w:r>
        <w:rPr>
          <w:rFonts w:cs="Arial"/>
        </w:rPr>
        <w:t xml:space="preserve"> at Rough </w:t>
      </w:r>
      <w:proofErr w:type="gramStart"/>
      <w:r>
        <w:rPr>
          <w:rFonts w:cs="Arial"/>
        </w:rPr>
        <w:t>on a monthly basis</w:t>
      </w:r>
      <w:proofErr w:type="gramEnd"/>
      <w:r>
        <w:rPr>
          <w:rFonts w:cs="Arial"/>
        </w:rPr>
        <w:t xml:space="preserve"> through the </w:t>
      </w:r>
      <w:r w:rsidRPr="00F02EC5">
        <w:rPr>
          <w:rFonts w:cs="Arial"/>
        </w:rPr>
        <w:t>Rolling Monthly NTS Entry Capacity auction</w:t>
      </w:r>
      <w:r w:rsidR="00A84B41">
        <w:rPr>
          <w:rFonts w:cs="Arial"/>
        </w:rPr>
        <w:t>.</w:t>
      </w:r>
      <w:r w:rsidR="002331DA">
        <w:rPr>
          <w:rFonts w:cs="Arial"/>
        </w:rPr>
        <w:t xml:space="preserve"> </w:t>
      </w:r>
      <w:r w:rsidR="00A84B41">
        <w:rPr>
          <w:rFonts w:cs="Arial"/>
        </w:rPr>
        <w:t xml:space="preserve">However, </w:t>
      </w:r>
      <w:r w:rsidR="00802120">
        <w:rPr>
          <w:rFonts w:cs="Arial"/>
        </w:rPr>
        <w:t xml:space="preserve">they </w:t>
      </w:r>
      <w:r w:rsidR="00E42729">
        <w:rPr>
          <w:rFonts w:cs="Arial"/>
        </w:rPr>
        <w:t xml:space="preserve">would need to surrender </w:t>
      </w:r>
      <w:r w:rsidR="00F93FA9">
        <w:rPr>
          <w:rFonts w:cs="Arial"/>
        </w:rPr>
        <w:t xml:space="preserve">surplus </w:t>
      </w:r>
      <w:r w:rsidR="00E42729">
        <w:rPr>
          <w:rFonts w:cs="Arial"/>
        </w:rPr>
        <w:t xml:space="preserve">capacity </w:t>
      </w:r>
      <w:r w:rsidR="00802120">
        <w:rPr>
          <w:rFonts w:cs="Arial"/>
        </w:rPr>
        <w:t xml:space="preserve">they </w:t>
      </w:r>
      <w:r w:rsidR="00E42729">
        <w:rPr>
          <w:rFonts w:cs="Arial"/>
        </w:rPr>
        <w:t>hold at Easington</w:t>
      </w:r>
      <w:r w:rsidR="00251C61">
        <w:rPr>
          <w:rFonts w:cs="Arial"/>
        </w:rPr>
        <w:t xml:space="preserve">, stipulating a rolling monthly surrender price equivalent to the price at which </w:t>
      </w:r>
      <w:r w:rsidR="00802120">
        <w:rPr>
          <w:rFonts w:cs="Arial"/>
        </w:rPr>
        <w:t xml:space="preserve">they </w:t>
      </w:r>
      <w:r w:rsidR="00251C61">
        <w:rPr>
          <w:rFonts w:cs="Arial"/>
        </w:rPr>
        <w:t xml:space="preserve">expect to acquire the capacity if it is made available for use at the Rough ASEP, which </w:t>
      </w:r>
      <w:r w:rsidR="00F93FA9">
        <w:rPr>
          <w:rFonts w:cs="Arial"/>
        </w:rPr>
        <w:t xml:space="preserve">will be no less than the </w:t>
      </w:r>
      <w:r w:rsidR="00251C61">
        <w:rPr>
          <w:rFonts w:cs="Arial"/>
        </w:rPr>
        <w:t>Reserve Price less the storage discount</w:t>
      </w:r>
      <w:r w:rsidR="005674F0">
        <w:rPr>
          <w:rFonts w:cs="Arial"/>
        </w:rPr>
        <w:t xml:space="preserve"> (assuming that NGT determines that the inter-AEP exchange rate for Easington and Rough ASEPs is 1:1)</w:t>
      </w:r>
      <w:r w:rsidR="00251C61">
        <w:rPr>
          <w:rFonts w:cs="Arial"/>
        </w:rPr>
        <w:t>. However, this capacity will only be available for sale at</w:t>
      </w:r>
      <w:r w:rsidR="00A25B5F">
        <w:rPr>
          <w:rFonts w:cs="Arial"/>
        </w:rPr>
        <w:t xml:space="preserve"> the</w:t>
      </w:r>
      <w:r w:rsidR="00251C61">
        <w:rPr>
          <w:rFonts w:cs="Arial"/>
        </w:rPr>
        <w:t xml:space="preserve"> </w:t>
      </w:r>
      <w:r w:rsidR="00A840D6">
        <w:rPr>
          <w:rFonts w:cs="Arial"/>
        </w:rPr>
        <w:t xml:space="preserve">Rough </w:t>
      </w:r>
      <w:r w:rsidR="00251C61">
        <w:rPr>
          <w:rFonts w:cs="Arial"/>
        </w:rPr>
        <w:t xml:space="preserve">ASEP to the extent that it is not acquired by other Users in </w:t>
      </w:r>
      <w:r w:rsidR="00251C61" w:rsidRPr="00251C61">
        <w:rPr>
          <w:rFonts w:cs="Arial"/>
        </w:rPr>
        <w:t>the Rolling Monthly NTS Entry Capacity auction</w:t>
      </w:r>
      <w:r w:rsidR="00251C61">
        <w:rPr>
          <w:rFonts w:cs="Arial"/>
        </w:rPr>
        <w:t xml:space="preserve"> for Easington</w:t>
      </w:r>
      <w:r w:rsidR="005674F0">
        <w:rPr>
          <w:rFonts w:cs="Arial"/>
        </w:rPr>
        <w:t>. Even where</w:t>
      </w:r>
      <w:r w:rsidR="00B95DEB">
        <w:rPr>
          <w:rFonts w:cs="Arial"/>
        </w:rPr>
        <w:t xml:space="preserve"> the capacity is not sold at Easington, </w:t>
      </w:r>
      <w:r w:rsidR="00A840D6">
        <w:rPr>
          <w:rFonts w:cs="Arial"/>
        </w:rPr>
        <w:t xml:space="preserve">a User seeking to acquire the capacity at the Rough ASEP </w:t>
      </w:r>
      <w:r w:rsidR="00B95DEB">
        <w:rPr>
          <w:rFonts w:cs="Arial"/>
        </w:rPr>
        <w:t xml:space="preserve">would be competing </w:t>
      </w:r>
      <w:r w:rsidR="00A840D6">
        <w:rPr>
          <w:rFonts w:cs="Arial"/>
        </w:rPr>
        <w:t xml:space="preserve">with </w:t>
      </w:r>
      <w:r w:rsidR="00B95DEB">
        <w:rPr>
          <w:rFonts w:cs="Arial"/>
        </w:rPr>
        <w:t xml:space="preserve">shippers seeking to acquire the capacity at other ASEPs through the transfer process. The Weekly, Day Ahead and Within Day </w:t>
      </w:r>
      <w:r w:rsidR="00B95DEB" w:rsidRPr="00B95DEB">
        <w:rPr>
          <w:rFonts w:cs="Arial"/>
        </w:rPr>
        <w:t>Entry Capacity auction</w:t>
      </w:r>
      <w:r w:rsidR="00B95DEB">
        <w:rPr>
          <w:rFonts w:cs="Arial"/>
        </w:rPr>
        <w:t xml:space="preserve">s all </w:t>
      </w:r>
      <w:r w:rsidR="00F13DAF">
        <w:rPr>
          <w:rFonts w:cs="Arial"/>
        </w:rPr>
        <w:t xml:space="preserve">relate </w:t>
      </w:r>
      <w:r w:rsidR="00B95DEB">
        <w:rPr>
          <w:rFonts w:cs="Arial"/>
        </w:rPr>
        <w:t xml:space="preserve">to Unsold NTS Entry Capacity </w:t>
      </w:r>
      <w:r w:rsidR="00A840D6">
        <w:rPr>
          <w:rFonts w:cs="Arial"/>
        </w:rPr>
        <w:t>(</w:t>
      </w:r>
      <w:r w:rsidR="00B95DEB">
        <w:rPr>
          <w:rFonts w:cs="Arial"/>
        </w:rPr>
        <w:t xml:space="preserve">of which there will be none given that there is no </w:t>
      </w:r>
      <w:r w:rsidR="00B95DEB" w:rsidRPr="00B95DEB">
        <w:rPr>
          <w:rFonts w:cs="Arial"/>
        </w:rPr>
        <w:t>Obligated Entry Capacity</w:t>
      </w:r>
      <w:r w:rsidR="00B95DEB">
        <w:rPr>
          <w:rFonts w:cs="Arial"/>
        </w:rPr>
        <w:t xml:space="preserve"> at Rough</w:t>
      </w:r>
      <w:r w:rsidR="00A840D6">
        <w:rPr>
          <w:rFonts w:cs="Arial"/>
        </w:rPr>
        <w:t>)</w:t>
      </w:r>
      <w:r w:rsidR="00877F87">
        <w:rPr>
          <w:rFonts w:cs="Arial"/>
        </w:rPr>
        <w:t>, plus such capacity as NGT decides to make available at its sole discretion</w:t>
      </w:r>
      <w:r w:rsidR="00A840D6">
        <w:rPr>
          <w:rFonts w:cs="Arial"/>
        </w:rPr>
        <w:t>.</w:t>
      </w:r>
      <w:r w:rsidR="00877F87">
        <w:rPr>
          <w:rFonts w:cs="Arial"/>
        </w:rPr>
        <w:t xml:space="preserve"> </w:t>
      </w:r>
      <w:r w:rsidR="00A840D6">
        <w:rPr>
          <w:rFonts w:cs="Arial"/>
        </w:rPr>
        <w:t>S</w:t>
      </w:r>
      <w:r w:rsidR="00877F87">
        <w:rPr>
          <w:rFonts w:cs="Arial"/>
        </w:rPr>
        <w:t xml:space="preserve">o even if it was reasonable to expect </w:t>
      </w:r>
      <w:r w:rsidR="008B50FB">
        <w:rPr>
          <w:rFonts w:cs="Arial"/>
        </w:rPr>
        <w:t>CESL</w:t>
      </w:r>
      <w:r w:rsidR="00877F87">
        <w:rPr>
          <w:rFonts w:cs="Arial"/>
        </w:rPr>
        <w:t xml:space="preserve"> </w:t>
      </w:r>
      <w:r w:rsidR="00A840D6">
        <w:rPr>
          <w:rFonts w:cs="Arial"/>
        </w:rPr>
        <w:t xml:space="preserve">(or any other interested User) </w:t>
      </w:r>
      <w:r w:rsidR="00877F87">
        <w:rPr>
          <w:rFonts w:cs="Arial"/>
        </w:rPr>
        <w:t>to pay a second time for capacity it intends to use at Rough, there is no guarantee that capacity will be available on this basis</w:t>
      </w:r>
      <w:r w:rsidR="00B95DEB">
        <w:rPr>
          <w:rFonts w:cs="Arial"/>
        </w:rPr>
        <w:t>.</w:t>
      </w:r>
      <w:r w:rsidR="00DD0CFD">
        <w:rPr>
          <w:rFonts w:cs="Arial"/>
        </w:rPr>
        <w:t xml:space="preserve"> </w:t>
      </w:r>
    </w:p>
    <w:p w14:paraId="1BD5F45E" w14:textId="01E52072" w:rsidR="00210BEC" w:rsidRDefault="00210BEC" w:rsidP="00C0630B">
      <w:pPr>
        <w:jc w:val="both"/>
      </w:pPr>
      <w:r>
        <w:rPr>
          <w:rFonts w:cs="Arial"/>
        </w:rPr>
        <w:t xml:space="preserve">Incremental </w:t>
      </w:r>
      <w:r w:rsidRPr="00210BEC">
        <w:rPr>
          <w:rFonts w:cs="Arial"/>
        </w:rPr>
        <w:t>NTS Entry Capacity</w:t>
      </w:r>
      <w:r>
        <w:rPr>
          <w:rFonts w:cs="Arial"/>
        </w:rPr>
        <w:t xml:space="preserve"> would only be available at Rough if reserved</w:t>
      </w:r>
      <w:r w:rsidR="00815C88">
        <w:rPr>
          <w:rFonts w:cs="Arial"/>
        </w:rPr>
        <w:t>,</w:t>
      </w:r>
      <w:r>
        <w:rPr>
          <w:rFonts w:cs="Arial"/>
        </w:rPr>
        <w:t xml:space="preserve"> pursuant to a PARCA</w:t>
      </w:r>
      <w:r w:rsidR="00AB40C7">
        <w:rPr>
          <w:rFonts w:cs="Arial"/>
        </w:rPr>
        <w:t xml:space="preserve"> subject to the provisions of NGT’s </w:t>
      </w:r>
      <w:r>
        <w:t>Entry Capacity Release Methodology Statement</w:t>
      </w:r>
      <w:r w:rsidR="00C0630B">
        <w:t xml:space="preserve">. </w:t>
      </w:r>
      <w:r w:rsidR="00815C88">
        <w:t>Were</w:t>
      </w:r>
      <w:r w:rsidR="00933892">
        <w:t xml:space="preserve"> NGT</w:t>
      </w:r>
      <w:r w:rsidR="00815C88">
        <w:t xml:space="preserve"> to</w:t>
      </w:r>
      <w:r w:rsidR="00933892">
        <w:t xml:space="preserve"> determine that no net present value test is required, the minimum amount of </w:t>
      </w:r>
      <w:r w:rsidR="00EC6DA1">
        <w:t xml:space="preserve">time for which </w:t>
      </w:r>
      <w:r w:rsidR="00933892">
        <w:t xml:space="preserve">capacity may be </w:t>
      </w:r>
      <w:r w:rsidR="00EC6DA1">
        <w:t xml:space="preserve">reserved under a PARCA is 16 </w:t>
      </w:r>
      <w:r w:rsidR="00C0630B">
        <w:t xml:space="preserve">Quarters </w:t>
      </w:r>
      <w:r w:rsidR="00EC6DA1">
        <w:t xml:space="preserve">within an </w:t>
      </w:r>
      <w:r w:rsidR="002331DA">
        <w:t>8-year</w:t>
      </w:r>
      <w:r w:rsidR="00EC6DA1">
        <w:t xml:space="preserve"> period</w:t>
      </w:r>
      <w:r w:rsidR="00815C88">
        <w:t xml:space="preserve">, where substitution the User commitment is for 4 quarters, with each quarter being in 4 different years (within an 8-year period). In both scenarios the duration of the commitments </w:t>
      </w:r>
      <w:r w:rsidR="00C0630B">
        <w:t xml:space="preserve">far </w:t>
      </w:r>
      <w:r w:rsidR="00815C88">
        <w:t>exceed</w:t>
      </w:r>
      <w:r w:rsidR="00C0630B">
        <w:t xml:space="preserve"> </w:t>
      </w:r>
      <w:r w:rsidR="00A840D6">
        <w:t xml:space="preserve">any </w:t>
      </w:r>
      <w:r w:rsidR="004E7CD7">
        <w:t>User’s current</w:t>
      </w:r>
      <w:r w:rsidR="00C0630B">
        <w:t xml:space="preserve"> requirements for </w:t>
      </w:r>
      <w:r w:rsidR="00A840D6">
        <w:t>Entry C</w:t>
      </w:r>
      <w:r w:rsidR="00C0630B">
        <w:t>apacity</w:t>
      </w:r>
      <w:r w:rsidR="00EC6DA1">
        <w:t xml:space="preserve"> at </w:t>
      </w:r>
      <w:r w:rsidR="00A840D6">
        <w:t xml:space="preserve">the </w:t>
      </w:r>
      <w:r w:rsidR="00EC6DA1">
        <w:t>Rough</w:t>
      </w:r>
      <w:r w:rsidR="00A840D6">
        <w:t xml:space="preserve"> ASEP</w:t>
      </w:r>
      <w:r w:rsidR="00EA2437">
        <w:t xml:space="preserve">, </w:t>
      </w:r>
      <w:r w:rsidR="00A840D6">
        <w:t xml:space="preserve">given that </w:t>
      </w:r>
      <w:r w:rsidR="00EA2437">
        <w:t>the future operation of Rough as a gas storage facility is yet to be decided.</w:t>
      </w:r>
    </w:p>
    <w:p w14:paraId="4DCA3746" w14:textId="3E74237B" w:rsidR="00210BEC" w:rsidRDefault="008B50FB" w:rsidP="0058370E">
      <w:pPr>
        <w:jc w:val="both"/>
      </w:pPr>
      <w:r>
        <w:t>CESL</w:t>
      </w:r>
      <w:r w:rsidR="00002AEA">
        <w:t xml:space="preserve"> </w:t>
      </w:r>
      <w:r w:rsidR="007C178D">
        <w:t>has explored the possibilities of substituting Entry Capacity at Easington ASEP to the Rough ASEP, however, as the deadline for acquiring Monthly and Quarterly Capacity in advance of Winter 202</w:t>
      </w:r>
      <w:r w:rsidR="0066788B">
        <w:t>4</w:t>
      </w:r>
      <w:r w:rsidR="007C178D">
        <w:t>/2</w:t>
      </w:r>
      <w:r w:rsidR="0066788B">
        <w:t>5</w:t>
      </w:r>
      <w:r w:rsidR="007C178D">
        <w:t xml:space="preserve"> has already passed, capacity substitution would not solve the problem. Moreover</w:t>
      </w:r>
      <w:r w:rsidR="00EA2437">
        <w:t>,</w:t>
      </w:r>
      <w:r w:rsidR="007C178D">
        <w:t xml:space="preserve"> </w:t>
      </w:r>
      <w:r w:rsidR="00422788">
        <w:t>NGT’s Entry Capacity Substitution Methodology Statement provides that, before Capacity can be substituted, the demand for Incremental Obligated Entry Capacity must satisfy the tests for release of Incremental Obligated Entry Capacity set out in its Entry Capacity Release Methodology Statement. In other words</w:t>
      </w:r>
      <w:r w:rsidR="00EA2437">
        <w:t>,</w:t>
      </w:r>
      <w:r w:rsidR="00422788">
        <w:t xml:space="preserve"> substitution can only occur where </w:t>
      </w:r>
      <w:r>
        <w:t>CESL</w:t>
      </w:r>
      <w:r w:rsidR="00422788">
        <w:t xml:space="preserve"> has </w:t>
      </w:r>
      <w:proofErr w:type="gramStart"/>
      <w:r w:rsidR="00422788">
        <w:t>entered into</w:t>
      </w:r>
      <w:proofErr w:type="gramEnd"/>
      <w:r w:rsidR="00422788">
        <w:t xml:space="preserve"> a PARCA </w:t>
      </w:r>
      <w:r w:rsidR="00CB1EC5">
        <w:t>(which is not</w:t>
      </w:r>
      <w:r w:rsidR="00A25B5F">
        <w:t xml:space="preserve"> a</w:t>
      </w:r>
      <w:r w:rsidR="00CB1EC5">
        <w:t xml:space="preserve"> viable proposition for the reasons stated above) or where </w:t>
      </w:r>
      <w:r w:rsidR="00A25B5F">
        <w:t xml:space="preserve">there is </w:t>
      </w:r>
      <w:r w:rsidR="00CB1EC5">
        <w:t xml:space="preserve">demand for </w:t>
      </w:r>
      <w:r w:rsidR="0014624E">
        <w:t xml:space="preserve">Entry Capacity at Rough in a </w:t>
      </w:r>
      <w:r w:rsidR="0014624E" w:rsidRPr="0014624E">
        <w:t xml:space="preserve">Quarterly NTS Entry Capacity </w:t>
      </w:r>
      <w:r w:rsidR="0014624E">
        <w:t xml:space="preserve">(of which there have been none, on account of the absence of baseline capacity for Rough).  </w:t>
      </w:r>
    </w:p>
    <w:p w14:paraId="04CEBCCF" w14:textId="4809C327" w:rsidR="00E42729" w:rsidRDefault="00CB1EC5" w:rsidP="0058370E">
      <w:pPr>
        <w:jc w:val="both"/>
        <w:rPr>
          <w:rFonts w:cs="Arial"/>
        </w:rPr>
      </w:pPr>
      <w:r w:rsidRPr="00CB1EC5">
        <w:rPr>
          <w:rFonts w:cs="Arial"/>
        </w:rPr>
        <w:t>The release of Discretionary NTS Entry Capacity</w:t>
      </w:r>
      <w:r w:rsidR="00A840D6">
        <w:rPr>
          <w:rFonts w:cs="Arial"/>
        </w:rPr>
        <w:t xml:space="preserve"> is</w:t>
      </w:r>
      <w:r w:rsidRPr="00CB1EC5">
        <w:rPr>
          <w:rFonts w:cs="Arial"/>
        </w:rPr>
        <w:t xml:space="preserve"> </w:t>
      </w:r>
      <w:r>
        <w:rPr>
          <w:rFonts w:cs="Arial"/>
        </w:rPr>
        <w:t xml:space="preserve">a matter </w:t>
      </w:r>
      <w:r w:rsidRPr="00CB1EC5">
        <w:rPr>
          <w:rFonts w:cs="Arial"/>
        </w:rPr>
        <w:t xml:space="preserve">entirely within NGT’s discretion, </w:t>
      </w:r>
      <w:r>
        <w:rPr>
          <w:rFonts w:cs="Arial"/>
        </w:rPr>
        <w:t xml:space="preserve">and so </w:t>
      </w:r>
      <w:r w:rsidR="008B50FB">
        <w:rPr>
          <w:rFonts w:cs="Arial"/>
        </w:rPr>
        <w:t>CESL</w:t>
      </w:r>
      <w:r w:rsidR="00DD0CFD">
        <w:rPr>
          <w:rFonts w:cs="Arial"/>
        </w:rPr>
        <w:t xml:space="preserve"> and other </w:t>
      </w:r>
      <w:r w:rsidR="002331DA">
        <w:rPr>
          <w:rFonts w:cs="Arial"/>
        </w:rPr>
        <w:t>Users cannot</w:t>
      </w:r>
      <w:r>
        <w:rPr>
          <w:rFonts w:cs="Arial"/>
        </w:rPr>
        <w:t xml:space="preserve"> rely </w:t>
      </w:r>
      <w:r w:rsidRPr="00CB1EC5">
        <w:rPr>
          <w:rFonts w:cs="Arial"/>
        </w:rPr>
        <w:t>upon</w:t>
      </w:r>
      <w:r>
        <w:rPr>
          <w:rFonts w:cs="Arial"/>
        </w:rPr>
        <w:t xml:space="preserve"> acquiring Entry Capacity at Rough over the coming Winter. Even if </w:t>
      </w:r>
      <w:r w:rsidR="00A840D6">
        <w:rPr>
          <w:rFonts w:cs="Arial"/>
        </w:rPr>
        <w:t xml:space="preserve">they were </w:t>
      </w:r>
      <w:r>
        <w:rPr>
          <w:rFonts w:cs="Arial"/>
        </w:rPr>
        <w:t xml:space="preserve">able to acquire capacity on this basis the cost would be additional to the charges </w:t>
      </w:r>
      <w:r w:rsidR="008B50FB">
        <w:rPr>
          <w:rFonts w:cs="Arial"/>
        </w:rPr>
        <w:t>CESL</w:t>
      </w:r>
      <w:r w:rsidR="00DD0CFD">
        <w:rPr>
          <w:rFonts w:cs="Arial"/>
        </w:rPr>
        <w:t xml:space="preserve"> </w:t>
      </w:r>
      <w:r>
        <w:rPr>
          <w:rFonts w:cs="Arial"/>
        </w:rPr>
        <w:t xml:space="preserve">is already paying for capacity acquired to support withdrawals from Rough, but now stranded at </w:t>
      </w:r>
      <w:r w:rsidR="00EA2437">
        <w:rPr>
          <w:rFonts w:cs="Arial"/>
        </w:rPr>
        <w:t xml:space="preserve">the </w:t>
      </w:r>
      <w:r>
        <w:rPr>
          <w:rFonts w:cs="Arial"/>
        </w:rPr>
        <w:t xml:space="preserve">Easington ASEP. </w:t>
      </w:r>
      <w:proofErr w:type="gramStart"/>
      <w:r w:rsidR="00DD0CFD" w:rsidRPr="00DD0CFD">
        <w:rPr>
          <w:rFonts w:cs="Arial"/>
        </w:rPr>
        <w:t>In the event that</w:t>
      </w:r>
      <w:proofErr w:type="gramEnd"/>
      <w:r w:rsidR="00DD0CFD" w:rsidRPr="00DD0CFD">
        <w:rPr>
          <w:rFonts w:cs="Arial"/>
        </w:rPr>
        <w:t xml:space="preserve"> </w:t>
      </w:r>
      <w:r w:rsidR="008B50FB">
        <w:rPr>
          <w:rFonts w:cs="Arial"/>
        </w:rPr>
        <w:t>CESL</w:t>
      </w:r>
      <w:r w:rsidR="00DD0CFD" w:rsidRPr="00DD0CFD">
        <w:rPr>
          <w:rFonts w:cs="Arial"/>
        </w:rPr>
        <w:t xml:space="preserve"> decided not to use all the available storage capacity in the Rough facility itself, the uncertainty and additional charges </w:t>
      </w:r>
      <w:r w:rsidR="00DD0CFD">
        <w:rPr>
          <w:rFonts w:cs="Arial"/>
        </w:rPr>
        <w:t xml:space="preserve">faced by </w:t>
      </w:r>
      <w:r w:rsidR="00DD0CFD" w:rsidRPr="00DD0CFD">
        <w:rPr>
          <w:rFonts w:cs="Arial"/>
        </w:rPr>
        <w:t xml:space="preserve">other potential users </w:t>
      </w:r>
      <w:r w:rsidR="00DD0CFD">
        <w:rPr>
          <w:rFonts w:cs="Arial"/>
        </w:rPr>
        <w:t>with NTS Entry Capacity at Easington</w:t>
      </w:r>
      <w:r w:rsidR="00DD0CFD" w:rsidRPr="00DD0CFD">
        <w:rPr>
          <w:rFonts w:cs="Arial"/>
        </w:rPr>
        <w:t xml:space="preserve"> would act as a barrier to Centrica’s competitors availing themselves of the spare </w:t>
      </w:r>
      <w:r w:rsidR="00DD0CFD">
        <w:rPr>
          <w:rFonts w:cs="Arial"/>
        </w:rPr>
        <w:t xml:space="preserve">storage </w:t>
      </w:r>
      <w:r w:rsidR="00DD0CFD" w:rsidRPr="00DD0CFD">
        <w:rPr>
          <w:rFonts w:cs="Arial"/>
        </w:rPr>
        <w:t>capacity.</w:t>
      </w:r>
    </w:p>
    <w:p w14:paraId="443EAB70" w14:textId="78EAA323" w:rsidR="001C182C" w:rsidRDefault="0014624E" w:rsidP="00610FF5">
      <w:pPr>
        <w:jc w:val="both"/>
        <w:rPr>
          <w:rFonts w:cs="Arial"/>
        </w:rPr>
      </w:pPr>
      <w:r>
        <w:rPr>
          <w:rFonts w:cs="Arial"/>
        </w:rPr>
        <w:t xml:space="preserve">A further option considered by </w:t>
      </w:r>
      <w:r w:rsidR="008B50FB">
        <w:rPr>
          <w:rFonts w:cs="Arial"/>
        </w:rPr>
        <w:t>CESL</w:t>
      </w:r>
      <w:r>
        <w:rPr>
          <w:rFonts w:cs="Arial"/>
        </w:rPr>
        <w:t xml:space="preserve"> was for the </w:t>
      </w:r>
      <w:r w:rsidRPr="0014624E">
        <w:rPr>
          <w:rFonts w:cs="Arial"/>
        </w:rPr>
        <w:t>baseline NTS Entry Capacity</w:t>
      </w:r>
      <w:r>
        <w:rPr>
          <w:rFonts w:cs="Arial"/>
        </w:rPr>
        <w:t xml:space="preserve"> for the Easington ASEP to be allocated between the Easington and Rough ASEP’s, in the same way as the Special Conditions of NGT’s gas Transporters Licence were amended so as to split the baseline capacity for the Bacton ASEP between </w:t>
      </w:r>
      <w:r w:rsidR="00EA2437">
        <w:rPr>
          <w:rFonts w:cs="Arial"/>
        </w:rPr>
        <w:t xml:space="preserve">the </w:t>
      </w:r>
      <w:r w:rsidR="00790C30">
        <w:rPr>
          <w:rFonts w:cs="Arial"/>
        </w:rPr>
        <w:t xml:space="preserve">new </w:t>
      </w:r>
      <w:r>
        <w:rPr>
          <w:rFonts w:cs="Arial"/>
        </w:rPr>
        <w:t>Bacton UK</w:t>
      </w:r>
      <w:r w:rsidR="00790C30">
        <w:rPr>
          <w:rFonts w:cs="Arial"/>
        </w:rPr>
        <w:t xml:space="preserve"> Continental Shelf (UKCS) and </w:t>
      </w:r>
      <w:r>
        <w:rPr>
          <w:rFonts w:cs="Arial"/>
        </w:rPr>
        <w:t>Bacton Interconnector Pipeline</w:t>
      </w:r>
      <w:r w:rsidR="00790C30">
        <w:rPr>
          <w:rFonts w:cs="Arial"/>
        </w:rPr>
        <w:t xml:space="preserve"> (IP) </w:t>
      </w:r>
      <w:r>
        <w:rPr>
          <w:rFonts w:cs="Arial"/>
        </w:rPr>
        <w:t xml:space="preserve"> </w:t>
      </w:r>
      <w:r w:rsidR="00790C30">
        <w:rPr>
          <w:rFonts w:cs="Arial"/>
        </w:rPr>
        <w:t xml:space="preserve">ASEPs in order to  implement the provisions of another </w:t>
      </w:r>
      <w:r w:rsidR="00790C30" w:rsidRPr="00790C30">
        <w:rPr>
          <w:rFonts w:cs="Arial"/>
        </w:rPr>
        <w:t>European Union Network Code</w:t>
      </w:r>
      <w:r w:rsidR="00790C30">
        <w:rPr>
          <w:rFonts w:cs="Arial"/>
        </w:rPr>
        <w:t xml:space="preserve">, in that case the Network Code </w:t>
      </w:r>
      <w:r w:rsidR="00790C30" w:rsidRPr="00790C30">
        <w:rPr>
          <w:rFonts w:cs="Arial"/>
        </w:rPr>
        <w:t xml:space="preserve">on Capacity Allocation </w:t>
      </w:r>
      <w:r w:rsidR="00790C30" w:rsidRPr="00790C30">
        <w:rPr>
          <w:rFonts w:cs="Arial"/>
        </w:rPr>
        <w:lastRenderedPageBreak/>
        <w:t>Mechanisms in Gas Transmission</w:t>
      </w:r>
      <w:r w:rsidR="00790C30" w:rsidRPr="00790C30">
        <w:t xml:space="preserve"> </w:t>
      </w:r>
      <w:r w:rsidR="00790C30" w:rsidRPr="00790C30">
        <w:rPr>
          <w:rFonts w:cs="Arial"/>
        </w:rPr>
        <w:t>Systems (CAM)</w:t>
      </w:r>
      <w:r w:rsidR="00790C30">
        <w:rPr>
          <w:rStyle w:val="FootnoteReference"/>
          <w:rFonts w:cs="Arial"/>
        </w:rPr>
        <w:footnoteReference w:id="5"/>
      </w:r>
      <w:r w:rsidR="00790C30">
        <w:rPr>
          <w:rFonts w:cs="Arial"/>
        </w:rPr>
        <w:t>.</w:t>
      </w:r>
      <w:r w:rsidR="00790C30" w:rsidRPr="00790C30">
        <w:t xml:space="preserve"> </w:t>
      </w:r>
      <w:r w:rsidR="00790C30">
        <w:t>As part of that process</w:t>
      </w:r>
      <w:r w:rsidR="00EA2437">
        <w:t>,</w:t>
      </w:r>
      <w:r w:rsidR="00790C30">
        <w:t xml:space="preserve"> </w:t>
      </w:r>
      <w:r w:rsidR="00790C30" w:rsidRPr="00790C30">
        <w:rPr>
          <w:rFonts w:cs="Arial"/>
        </w:rPr>
        <w:t xml:space="preserve">Modification </w:t>
      </w:r>
      <w:r w:rsidR="00790C30">
        <w:rPr>
          <w:rFonts w:cs="Arial"/>
        </w:rPr>
        <w:t xml:space="preserve">Proposal </w:t>
      </w:r>
      <w:r w:rsidR="00790C30" w:rsidRPr="00790C30">
        <w:rPr>
          <w:rFonts w:cs="Arial"/>
        </w:rPr>
        <w:t>0501V</w:t>
      </w:r>
      <w:r w:rsidR="00790C30">
        <w:rPr>
          <w:rFonts w:cs="Arial"/>
        </w:rPr>
        <w:t xml:space="preserve"> was implemented, giving Users the right </w:t>
      </w:r>
      <w:r w:rsidR="00790C30" w:rsidRPr="00790C30">
        <w:rPr>
          <w:rFonts w:cs="Arial"/>
        </w:rPr>
        <w:t>to</w:t>
      </w:r>
      <w:r w:rsidR="00790C30">
        <w:rPr>
          <w:rFonts w:cs="Arial"/>
        </w:rPr>
        <w:t xml:space="preserve"> participate in a</w:t>
      </w:r>
      <w:r w:rsidR="00790C30" w:rsidRPr="00790C30">
        <w:rPr>
          <w:rFonts w:cs="Arial"/>
        </w:rPr>
        <w:t xml:space="preserve"> </w:t>
      </w:r>
      <w:r w:rsidR="00790C30">
        <w:rPr>
          <w:rFonts w:cs="Arial"/>
        </w:rPr>
        <w:t>“</w:t>
      </w:r>
      <w:r w:rsidR="00790C30" w:rsidRPr="00790C30">
        <w:rPr>
          <w:rFonts w:cs="Arial"/>
        </w:rPr>
        <w:t>Bacton Capacity Initial Reallocation Invitation Process</w:t>
      </w:r>
      <w:r w:rsidR="00790C30">
        <w:rPr>
          <w:rFonts w:cs="Arial"/>
        </w:rPr>
        <w:t>”</w:t>
      </w:r>
      <w:r w:rsidR="00790C30" w:rsidRPr="00790C30">
        <w:rPr>
          <w:rFonts w:cs="Arial"/>
        </w:rPr>
        <w:t xml:space="preserve"> </w:t>
      </w:r>
      <w:r w:rsidR="00790C30">
        <w:rPr>
          <w:rFonts w:cs="Arial"/>
        </w:rPr>
        <w:t xml:space="preserve">enabling them to choose whether </w:t>
      </w:r>
      <w:r w:rsidR="00790C30" w:rsidRPr="00790C30">
        <w:rPr>
          <w:rFonts w:cs="Arial"/>
        </w:rPr>
        <w:t>their existing Registered NTS Entry</w:t>
      </w:r>
      <w:r w:rsidR="00790C30">
        <w:rPr>
          <w:rFonts w:cs="Arial"/>
        </w:rPr>
        <w:t xml:space="preserve"> </w:t>
      </w:r>
      <w:r w:rsidR="00790C30" w:rsidRPr="00790C30">
        <w:rPr>
          <w:rFonts w:cs="Arial"/>
        </w:rPr>
        <w:t xml:space="preserve">Capacity </w:t>
      </w:r>
      <w:r w:rsidR="00790C30">
        <w:rPr>
          <w:rFonts w:cs="Arial"/>
        </w:rPr>
        <w:t xml:space="preserve">at Bacton should be allocated </w:t>
      </w:r>
      <w:r w:rsidR="00790C30" w:rsidRPr="00790C30">
        <w:rPr>
          <w:rFonts w:cs="Arial"/>
        </w:rPr>
        <w:t>to the Bacton UKCS or Bacton</w:t>
      </w:r>
      <w:r w:rsidR="00790C30">
        <w:rPr>
          <w:rFonts w:cs="Arial"/>
        </w:rPr>
        <w:t xml:space="preserve"> IP ASEPs</w:t>
      </w:r>
      <w:r w:rsidR="00610FF5">
        <w:rPr>
          <w:rFonts w:cs="Arial"/>
        </w:rPr>
        <w:t>, a change which was regarded by the Authority as contributing towards the achievement of relevant objective (a)</w:t>
      </w:r>
      <w:r w:rsidR="00610FF5" w:rsidRPr="00610FF5">
        <w:rPr>
          <w:rFonts w:cs="Arial"/>
        </w:rPr>
        <w:t xml:space="preserve"> </w:t>
      </w:r>
      <w:r w:rsidR="00610FF5">
        <w:rPr>
          <w:rFonts w:cs="Arial"/>
        </w:rPr>
        <w:t>(</w:t>
      </w:r>
      <w:r w:rsidR="00610FF5" w:rsidRPr="00610FF5">
        <w:rPr>
          <w:rFonts w:cs="Arial"/>
        </w:rPr>
        <w:t>the efficient and economic operation of the pipe-line system</w:t>
      </w:r>
      <w:r w:rsidR="00610FF5">
        <w:rPr>
          <w:rFonts w:cs="Arial"/>
        </w:rPr>
        <w:t>)</w:t>
      </w:r>
      <w:r w:rsidR="001C182C">
        <w:rPr>
          <w:rFonts w:cs="Arial"/>
        </w:rPr>
        <w:t xml:space="preserve">.  </w:t>
      </w:r>
    </w:p>
    <w:p w14:paraId="13BE96DD" w14:textId="27C28835" w:rsidR="007209C8" w:rsidRDefault="007209C8" w:rsidP="0058370E">
      <w:pPr>
        <w:jc w:val="both"/>
        <w:rPr>
          <w:rFonts w:cs="Arial"/>
        </w:rPr>
      </w:pPr>
      <w:r>
        <w:rPr>
          <w:rFonts w:cs="Arial"/>
        </w:rPr>
        <w:t xml:space="preserve">Although this is the optimal solution with precedent </w:t>
      </w:r>
      <w:r w:rsidR="001C182C">
        <w:rPr>
          <w:rFonts w:cs="Arial"/>
        </w:rPr>
        <w:t xml:space="preserve">and the Authority’s blessing </w:t>
      </w:r>
      <w:r>
        <w:rPr>
          <w:rFonts w:cs="Arial"/>
        </w:rPr>
        <w:t xml:space="preserve">in its favour, </w:t>
      </w:r>
      <w:r w:rsidR="0066788B">
        <w:rPr>
          <w:rFonts w:cs="Arial"/>
        </w:rPr>
        <w:t xml:space="preserve">initial feedback from Ofgem is that it is not inclined to support it in this circumstance.  In any case, even if it were to be convinced of the </w:t>
      </w:r>
      <w:r w:rsidR="005815ED">
        <w:rPr>
          <w:rFonts w:cs="Arial"/>
        </w:rPr>
        <w:t xml:space="preserve">validity of a baseline split </w:t>
      </w:r>
      <w:r>
        <w:rPr>
          <w:rFonts w:cs="Arial"/>
        </w:rPr>
        <w:t xml:space="preserve">the practicalities of the process militate against it. Licence </w:t>
      </w:r>
      <w:r w:rsidR="00CA3333">
        <w:rPr>
          <w:rFonts w:cs="Arial"/>
        </w:rPr>
        <w:t>M</w:t>
      </w:r>
      <w:r>
        <w:rPr>
          <w:rFonts w:cs="Arial"/>
        </w:rPr>
        <w:t>odification is a time</w:t>
      </w:r>
      <w:r w:rsidR="00D162DB">
        <w:rPr>
          <w:rFonts w:cs="Arial"/>
        </w:rPr>
        <w:t>-</w:t>
      </w:r>
      <w:r>
        <w:rPr>
          <w:rFonts w:cs="Arial"/>
        </w:rPr>
        <w:t xml:space="preserve">consuming </w:t>
      </w:r>
      <w:r w:rsidR="00D162DB">
        <w:rPr>
          <w:rFonts w:cs="Arial"/>
        </w:rPr>
        <w:t xml:space="preserve">resource intensive </w:t>
      </w:r>
      <w:r>
        <w:rPr>
          <w:rFonts w:cs="Arial"/>
        </w:rPr>
        <w:t xml:space="preserve">process </w:t>
      </w:r>
      <w:r w:rsidR="001C182C">
        <w:rPr>
          <w:rFonts w:cs="Arial"/>
        </w:rPr>
        <w:t>that is unlikely to be completed in time for Winter 202</w:t>
      </w:r>
      <w:r w:rsidR="005815ED">
        <w:rPr>
          <w:rFonts w:cs="Arial"/>
        </w:rPr>
        <w:t>4</w:t>
      </w:r>
      <w:r w:rsidR="001C182C">
        <w:rPr>
          <w:rFonts w:cs="Arial"/>
        </w:rPr>
        <w:t>/2</w:t>
      </w:r>
      <w:r w:rsidR="005815ED">
        <w:rPr>
          <w:rFonts w:cs="Arial"/>
        </w:rPr>
        <w:t>5</w:t>
      </w:r>
      <w:r w:rsidR="001C182C">
        <w:rPr>
          <w:rFonts w:cs="Arial"/>
        </w:rPr>
        <w:t xml:space="preserve">. </w:t>
      </w:r>
    </w:p>
    <w:p w14:paraId="3B986BF8" w14:textId="1986AB01" w:rsidR="00610FF5" w:rsidRDefault="00320B78" w:rsidP="0058370E">
      <w:pPr>
        <w:jc w:val="both"/>
        <w:rPr>
          <w:rFonts w:cs="Arial"/>
        </w:rPr>
      </w:pPr>
      <w:r>
        <w:rPr>
          <w:rFonts w:cs="Arial"/>
        </w:rPr>
        <w:t>It is important to re-establish that as with the previous related Modification Proposals</w:t>
      </w:r>
      <w:r w:rsidR="00002AEA">
        <w:rPr>
          <w:rFonts w:cs="Arial"/>
        </w:rPr>
        <w:t xml:space="preserve"> the redesignation of capacity in favour of the new ASEP will have no impact on the charges faced by the User. There is therefore no need to make a one-off choice as to where the capacity should be used. A User will not be able to reduce its liability for capacity charges on any capacity that it holds at the Easington ASEP which is surplus to its requirements by allocating it to Rough and claiming the storage discount</w:t>
      </w:r>
      <w:r w:rsidR="00AE6FFE">
        <w:rPr>
          <w:rFonts w:cs="Arial"/>
        </w:rPr>
        <w:t xml:space="preserve">, since the only </w:t>
      </w:r>
      <w:r w:rsidR="007F1674">
        <w:rPr>
          <w:rFonts w:cs="Arial"/>
        </w:rPr>
        <w:t>C</w:t>
      </w:r>
      <w:r w:rsidR="00AE6FFE">
        <w:rPr>
          <w:rFonts w:cs="Arial"/>
        </w:rPr>
        <w:t xml:space="preserve">apacity that is capable of being redesignated to Rough is </w:t>
      </w:r>
      <w:r w:rsidR="007F1674">
        <w:rPr>
          <w:rFonts w:cs="Arial"/>
        </w:rPr>
        <w:t>C</w:t>
      </w:r>
      <w:r w:rsidR="00AE6FFE">
        <w:rPr>
          <w:rFonts w:cs="Arial"/>
        </w:rPr>
        <w:t xml:space="preserve">apacity which was acquired before the </w:t>
      </w:r>
      <w:r w:rsidR="00077CAB" w:rsidRPr="00077CAB">
        <w:rPr>
          <w:rFonts w:cs="Arial"/>
        </w:rPr>
        <w:t>Tariff Regulation</w:t>
      </w:r>
      <w:r w:rsidR="00AE6FFE">
        <w:rPr>
          <w:rFonts w:cs="Arial"/>
        </w:rPr>
        <w:t xml:space="preserve"> Effective Date and which is ineligible for the storage discount</w:t>
      </w:r>
      <w:r w:rsidR="00DD246C">
        <w:rPr>
          <w:rFonts w:cs="Arial"/>
        </w:rPr>
        <w:t xml:space="preserve">. </w:t>
      </w:r>
      <w:r w:rsidR="00AE6FFE">
        <w:rPr>
          <w:rFonts w:cs="Arial"/>
        </w:rPr>
        <w:t xml:space="preserve">As indicated above, there is no instance of any User having acquired </w:t>
      </w:r>
      <w:r w:rsidR="007F1674">
        <w:rPr>
          <w:rFonts w:cs="Arial"/>
        </w:rPr>
        <w:t>C</w:t>
      </w:r>
      <w:r w:rsidR="00AE6FFE">
        <w:rPr>
          <w:rFonts w:cs="Arial"/>
        </w:rPr>
        <w:t>apacity</w:t>
      </w:r>
      <w:r w:rsidR="001655EA">
        <w:rPr>
          <w:rFonts w:cs="Arial"/>
        </w:rPr>
        <w:t xml:space="preserve"> from NGT </w:t>
      </w:r>
      <w:r w:rsidR="00AE6FFE">
        <w:rPr>
          <w:rFonts w:cs="Arial"/>
        </w:rPr>
        <w:t xml:space="preserve">at </w:t>
      </w:r>
      <w:r w:rsidR="007F1674">
        <w:rPr>
          <w:rFonts w:cs="Arial"/>
        </w:rPr>
        <w:t xml:space="preserve">the </w:t>
      </w:r>
      <w:r w:rsidR="00AE6FFE">
        <w:rPr>
          <w:rFonts w:cs="Arial"/>
        </w:rPr>
        <w:t>Easington ASEP for Winter 202</w:t>
      </w:r>
      <w:r>
        <w:rPr>
          <w:rFonts w:cs="Arial"/>
        </w:rPr>
        <w:t>4</w:t>
      </w:r>
      <w:r w:rsidR="00AE6FFE">
        <w:rPr>
          <w:rFonts w:cs="Arial"/>
        </w:rPr>
        <w:t>/2</w:t>
      </w:r>
      <w:r>
        <w:rPr>
          <w:rFonts w:cs="Arial"/>
        </w:rPr>
        <w:t>5</w:t>
      </w:r>
      <w:r w:rsidR="00AE6FFE">
        <w:rPr>
          <w:rFonts w:cs="Arial"/>
        </w:rPr>
        <w:t xml:space="preserve"> after the </w:t>
      </w:r>
      <w:r w:rsidR="00077CAB" w:rsidRPr="00077CAB">
        <w:rPr>
          <w:rFonts w:cs="Arial"/>
        </w:rPr>
        <w:t>Tariff Regulation</w:t>
      </w:r>
      <w:r w:rsidR="00AE6FFE" w:rsidRPr="00AE6FFE">
        <w:rPr>
          <w:rFonts w:cs="Arial"/>
        </w:rPr>
        <w:t xml:space="preserve"> Effective Date </w:t>
      </w:r>
      <w:r w:rsidR="00AE6FFE">
        <w:rPr>
          <w:rFonts w:cs="Arial"/>
        </w:rPr>
        <w:t>but before the Easington Disaggregation Date</w:t>
      </w:r>
      <w:r w:rsidR="001655EA">
        <w:rPr>
          <w:rFonts w:cs="Arial"/>
        </w:rPr>
        <w:t>. Consequently</w:t>
      </w:r>
      <w:r w:rsidR="00044278">
        <w:rPr>
          <w:rFonts w:cs="Arial"/>
        </w:rPr>
        <w:t>,</w:t>
      </w:r>
      <w:r w:rsidR="001655EA">
        <w:rPr>
          <w:rFonts w:cs="Arial"/>
        </w:rPr>
        <w:t xml:space="preserve"> a User would only be able to </w:t>
      </w:r>
      <w:r w:rsidR="00BA2D51">
        <w:rPr>
          <w:rFonts w:cs="Arial"/>
        </w:rPr>
        <w:t>benefit from the storage discount</w:t>
      </w:r>
      <w:r w:rsidR="001655EA">
        <w:rPr>
          <w:rFonts w:cs="Arial"/>
        </w:rPr>
        <w:t xml:space="preserve"> for Capacity at the Rough ASEP if </w:t>
      </w:r>
      <w:r w:rsidR="00BA2D51">
        <w:rPr>
          <w:rFonts w:cs="Arial"/>
        </w:rPr>
        <w:t xml:space="preserve">NGT exercised its discretion to make </w:t>
      </w:r>
      <w:r w:rsidR="001655EA">
        <w:rPr>
          <w:rFonts w:cs="Arial"/>
        </w:rPr>
        <w:t xml:space="preserve">new </w:t>
      </w:r>
      <w:r w:rsidR="007F1674">
        <w:rPr>
          <w:rFonts w:cs="Arial"/>
        </w:rPr>
        <w:t>C</w:t>
      </w:r>
      <w:r w:rsidR="00BF26D4">
        <w:rPr>
          <w:rFonts w:cs="Arial"/>
        </w:rPr>
        <w:t>apacity available</w:t>
      </w:r>
      <w:r w:rsidR="001655EA">
        <w:rPr>
          <w:rFonts w:cs="Arial"/>
        </w:rPr>
        <w:t xml:space="preserve"> and the User acquired some of that new Capacity</w:t>
      </w:r>
      <w:r w:rsidR="00BF26D4">
        <w:rPr>
          <w:rFonts w:cs="Arial"/>
        </w:rPr>
        <w:t>.</w:t>
      </w:r>
      <w:r w:rsidR="00BF26D4" w:rsidDel="00DD246C">
        <w:rPr>
          <w:rFonts w:cs="Arial"/>
        </w:rPr>
        <w:t xml:space="preserve"> </w:t>
      </w:r>
      <w:r w:rsidR="00002AEA">
        <w:rPr>
          <w:rFonts w:cs="Arial"/>
        </w:rPr>
        <w:t xml:space="preserve"> </w:t>
      </w:r>
    </w:p>
    <w:p w14:paraId="631DDC8B" w14:textId="142D5314" w:rsidR="00936FDF" w:rsidRDefault="003906B1" w:rsidP="00A7740F">
      <w:pPr>
        <w:pStyle w:val="Heading4"/>
        <w:keepLines w:val="0"/>
        <w:numPr>
          <w:ilvl w:val="0"/>
          <w:numId w:val="0"/>
        </w:numPr>
        <w:spacing w:before="120"/>
        <w:jc w:val="both"/>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Transitional change</w:t>
      </w:r>
    </w:p>
    <w:p w14:paraId="0BA2B04B" w14:textId="6CF02DEC" w:rsidR="00D42CA7" w:rsidRDefault="003906B1" w:rsidP="00A7740F">
      <w:pPr>
        <w:jc w:val="both"/>
        <w:rPr>
          <w:rFonts w:cs="Arial"/>
        </w:rPr>
      </w:pPr>
      <w:r>
        <w:rPr>
          <w:rFonts w:cs="Arial"/>
        </w:rPr>
        <w:t>At this time there is no certainty that Rough storage will remain in operation post Winter 202</w:t>
      </w:r>
      <w:r w:rsidR="00320B78">
        <w:rPr>
          <w:rFonts w:cs="Arial"/>
        </w:rPr>
        <w:t>4</w:t>
      </w:r>
      <w:r>
        <w:rPr>
          <w:rFonts w:cs="Arial"/>
        </w:rPr>
        <w:t>/2</w:t>
      </w:r>
      <w:r w:rsidR="00320B78">
        <w:rPr>
          <w:rFonts w:cs="Arial"/>
        </w:rPr>
        <w:t>5</w:t>
      </w:r>
      <w:r w:rsidR="00FF4C53">
        <w:rPr>
          <w:rFonts w:cs="Arial"/>
        </w:rPr>
        <w:t>. A</w:t>
      </w:r>
      <w:r>
        <w:rPr>
          <w:rFonts w:cs="Arial"/>
        </w:rPr>
        <w:t>s such</w:t>
      </w:r>
      <w:r w:rsidR="00B83B08">
        <w:rPr>
          <w:rFonts w:cs="Arial"/>
        </w:rPr>
        <w:t>,</w:t>
      </w:r>
      <w:r>
        <w:rPr>
          <w:rFonts w:cs="Arial"/>
        </w:rPr>
        <w:t xml:space="preserve"> the UNC changes proposed will only be effective until 31</w:t>
      </w:r>
      <w:r w:rsidR="00A13997">
        <w:rPr>
          <w:rFonts w:cs="Arial"/>
        </w:rPr>
        <w:t xml:space="preserve"> March</w:t>
      </w:r>
      <w:r w:rsidR="00D162DB">
        <w:rPr>
          <w:rFonts w:cs="Arial"/>
        </w:rPr>
        <w:t xml:space="preserve"> </w:t>
      </w:r>
      <w:r>
        <w:rPr>
          <w:rFonts w:cs="Arial"/>
        </w:rPr>
        <w:t>202</w:t>
      </w:r>
      <w:r w:rsidR="00320B78">
        <w:rPr>
          <w:rFonts w:cs="Arial"/>
        </w:rPr>
        <w:t>5</w:t>
      </w:r>
      <w:r>
        <w:rPr>
          <w:rFonts w:cs="Arial"/>
        </w:rPr>
        <w:t>.</w:t>
      </w:r>
      <w:r w:rsidR="000F2512">
        <w:rPr>
          <w:rFonts w:cs="Arial"/>
        </w:rPr>
        <w:t xml:space="preserve">  Thus</w:t>
      </w:r>
      <w:r w:rsidR="00333474">
        <w:rPr>
          <w:rFonts w:cs="Arial"/>
        </w:rPr>
        <w:t>,</w:t>
      </w:r>
      <w:r w:rsidR="000F2512">
        <w:rPr>
          <w:rFonts w:cs="Arial"/>
        </w:rPr>
        <w:t xml:space="preserve"> the ability for </w:t>
      </w:r>
      <w:r w:rsidR="008B50FB">
        <w:rPr>
          <w:rFonts w:cs="Arial"/>
        </w:rPr>
        <w:t>CESL</w:t>
      </w:r>
      <w:r w:rsidR="000F2512">
        <w:rPr>
          <w:rFonts w:cs="Arial"/>
        </w:rPr>
        <w:t xml:space="preserve"> to nominate the rededication of NTS Entry Capacity in the following month will expire at the end of </w:t>
      </w:r>
      <w:r w:rsidR="00B83B08">
        <w:rPr>
          <w:rFonts w:cs="Arial"/>
        </w:rPr>
        <w:t>February</w:t>
      </w:r>
      <w:r w:rsidR="00D162DB">
        <w:rPr>
          <w:rFonts w:cs="Arial"/>
        </w:rPr>
        <w:t xml:space="preserve"> </w:t>
      </w:r>
      <w:r w:rsidR="000F2512">
        <w:rPr>
          <w:rFonts w:cs="Arial"/>
        </w:rPr>
        <w:t>202</w:t>
      </w:r>
      <w:r w:rsidR="00320B78">
        <w:rPr>
          <w:rFonts w:cs="Arial"/>
        </w:rPr>
        <w:t>5</w:t>
      </w:r>
      <w:r w:rsidR="000F2512">
        <w:rPr>
          <w:rFonts w:cs="Arial"/>
        </w:rPr>
        <w:t xml:space="preserve">. </w:t>
      </w:r>
    </w:p>
    <w:p w14:paraId="0F326A5D" w14:textId="77777777" w:rsidR="00F20FAB" w:rsidRPr="00CA74C4" w:rsidRDefault="00F20FAB" w:rsidP="00761C07">
      <w:pPr>
        <w:pStyle w:val="Heading02"/>
      </w:pPr>
      <w:bookmarkStart w:id="5" w:name="_Toc169090693"/>
      <w:r w:rsidRPr="00CA74C4">
        <w:t>Code Specific Matters</w:t>
      </w:r>
      <w:bookmarkEnd w:id="5"/>
    </w:p>
    <w:p w14:paraId="1C273AD8" w14:textId="77777777" w:rsidR="00045F75" w:rsidRPr="00CA74C4"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CA74C4">
        <w:rPr>
          <w:rFonts w:ascii="Arial" w:eastAsia="Times New Roman" w:hAnsi="Arial" w:cs="Arial"/>
          <w:i w:val="0"/>
          <w:iCs w:val="0"/>
          <w:color w:val="008576"/>
          <w:sz w:val="24"/>
        </w:rPr>
        <w:t>Reference Documents</w:t>
      </w:r>
    </w:p>
    <w:p w14:paraId="280927C5" w14:textId="173D7FB5" w:rsidR="00045F75" w:rsidRPr="00CA74C4" w:rsidRDefault="006B16FB" w:rsidP="00045F75">
      <w:pPr>
        <w:rPr>
          <w:rFonts w:cs="Arial"/>
          <w:szCs w:val="20"/>
        </w:rPr>
      </w:pPr>
      <w:r>
        <w:rPr>
          <w:rFonts w:cs="Arial"/>
          <w:szCs w:val="20"/>
        </w:rPr>
        <w:t>U</w:t>
      </w:r>
      <w:r w:rsidR="00A115CD">
        <w:rPr>
          <w:rFonts w:cs="Arial"/>
          <w:szCs w:val="20"/>
        </w:rPr>
        <w:t>N</w:t>
      </w:r>
      <w:r>
        <w:rPr>
          <w:rFonts w:cs="Arial"/>
          <w:szCs w:val="20"/>
        </w:rPr>
        <w:t>C TPD Sections B and Y. UNC Transition Document</w:t>
      </w:r>
    </w:p>
    <w:p w14:paraId="024765FF" w14:textId="77777777" w:rsidR="00045F75" w:rsidRPr="00CA74C4"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CA74C4">
        <w:rPr>
          <w:rFonts w:ascii="Arial" w:eastAsia="Times New Roman" w:hAnsi="Arial" w:cs="Arial"/>
          <w:i w:val="0"/>
          <w:iCs w:val="0"/>
          <w:color w:val="008576"/>
          <w:sz w:val="24"/>
        </w:rPr>
        <w:t>Knowledge/Skills</w:t>
      </w:r>
    </w:p>
    <w:p w14:paraId="0820884F" w14:textId="6767E973" w:rsidR="00045F75" w:rsidRPr="00CA74C4" w:rsidRDefault="006B16FB" w:rsidP="00045F75">
      <w:pPr>
        <w:rPr>
          <w:rFonts w:cs="Arial"/>
          <w:szCs w:val="20"/>
        </w:rPr>
      </w:pPr>
      <w:r>
        <w:rPr>
          <w:rFonts w:cs="Arial"/>
          <w:szCs w:val="20"/>
        </w:rPr>
        <w:t xml:space="preserve">NTS Entry Capacity. </w:t>
      </w:r>
    </w:p>
    <w:p w14:paraId="6319F9AB" w14:textId="77777777" w:rsidR="00985FC1" w:rsidRPr="00CA74C4" w:rsidRDefault="00AF5B6E" w:rsidP="00761C07">
      <w:pPr>
        <w:pStyle w:val="Heading02"/>
      </w:pPr>
      <w:bookmarkStart w:id="6" w:name="_Toc169090694"/>
      <w:r w:rsidRPr="00CA74C4">
        <w:t>Solution</w:t>
      </w:r>
      <w:bookmarkEnd w:id="6"/>
    </w:p>
    <w:p w14:paraId="5F3DC9E8" w14:textId="551E9A50" w:rsidR="006A14C3" w:rsidRDefault="00F137C8" w:rsidP="006A14C3">
      <w:pPr>
        <w:jc w:val="both"/>
      </w:pPr>
      <w:r>
        <w:rPr>
          <w:rFonts w:cs="Arial"/>
        </w:rPr>
        <w:t xml:space="preserve">In respect of the </w:t>
      </w:r>
      <w:r w:rsidR="00C74710" w:rsidRPr="00C74710">
        <w:rPr>
          <w:rFonts w:cs="Arial"/>
        </w:rPr>
        <w:t>period from</w:t>
      </w:r>
      <w:r>
        <w:rPr>
          <w:rFonts w:cs="Arial"/>
        </w:rPr>
        <w:t xml:space="preserve"> </w:t>
      </w:r>
      <w:r w:rsidR="00354D43">
        <w:rPr>
          <w:rFonts w:cs="Arial"/>
        </w:rPr>
        <w:t>0</w:t>
      </w:r>
      <w:r w:rsidR="00C74710" w:rsidRPr="00C74710">
        <w:rPr>
          <w:rFonts w:cs="Arial"/>
        </w:rPr>
        <w:t xml:space="preserve">1 </w:t>
      </w:r>
      <w:r>
        <w:rPr>
          <w:rFonts w:cs="Arial"/>
        </w:rPr>
        <w:t xml:space="preserve">October </w:t>
      </w:r>
      <w:r w:rsidR="00C74710" w:rsidRPr="00C74710">
        <w:rPr>
          <w:rFonts w:cs="Arial"/>
        </w:rPr>
        <w:t>202</w:t>
      </w:r>
      <w:r w:rsidR="00320B78">
        <w:rPr>
          <w:rFonts w:cs="Arial"/>
        </w:rPr>
        <w:t>4</w:t>
      </w:r>
      <w:r w:rsidR="00C74710" w:rsidRPr="00C74710">
        <w:rPr>
          <w:rFonts w:cs="Arial"/>
        </w:rPr>
        <w:t xml:space="preserve"> until </w:t>
      </w:r>
      <w:r w:rsidR="00A13997">
        <w:rPr>
          <w:rFonts w:cs="Arial"/>
        </w:rPr>
        <w:t>31 March</w:t>
      </w:r>
      <w:r w:rsidR="00996402">
        <w:rPr>
          <w:rFonts w:cs="Arial"/>
        </w:rPr>
        <w:t xml:space="preserve"> </w:t>
      </w:r>
      <w:r w:rsidR="00C74710" w:rsidRPr="00C74710">
        <w:rPr>
          <w:rFonts w:cs="Arial"/>
        </w:rPr>
        <w:t>202</w:t>
      </w:r>
      <w:r w:rsidR="00320B78">
        <w:rPr>
          <w:rFonts w:cs="Arial"/>
        </w:rPr>
        <w:t>5</w:t>
      </w:r>
      <w:r w:rsidR="00C74710" w:rsidRPr="00C74710">
        <w:rPr>
          <w:rFonts w:cs="Arial"/>
        </w:rPr>
        <w:t xml:space="preserve"> </w:t>
      </w:r>
      <w:r w:rsidR="00AC5A43">
        <w:rPr>
          <w:rFonts w:cs="Arial"/>
        </w:rPr>
        <w:t xml:space="preserve">a User </w:t>
      </w:r>
      <w:r w:rsidR="00C74710" w:rsidRPr="00C74710">
        <w:rPr>
          <w:rFonts w:cs="Arial"/>
        </w:rPr>
        <w:t xml:space="preserve">will be able to nominate an amount of its </w:t>
      </w:r>
      <w:r w:rsidR="001655EA">
        <w:rPr>
          <w:rFonts w:cs="Arial"/>
        </w:rPr>
        <w:t xml:space="preserve">Existing </w:t>
      </w:r>
      <w:r w:rsidR="00860EB2">
        <w:rPr>
          <w:rFonts w:cs="Arial"/>
        </w:rPr>
        <w:t xml:space="preserve">Available </w:t>
      </w:r>
      <w:r w:rsidR="001655EA">
        <w:rPr>
          <w:rFonts w:cs="Arial"/>
        </w:rPr>
        <w:t xml:space="preserve">Holding </w:t>
      </w:r>
      <w:r w:rsidR="00C74710" w:rsidRPr="00C74710">
        <w:rPr>
          <w:rFonts w:cs="Arial"/>
        </w:rPr>
        <w:t>at the Easington ASEP for use at the Rough Storage ASEP.  Nominations in respect of any month must be given to N</w:t>
      </w:r>
      <w:r w:rsidR="00C4388A">
        <w:rPr>
          <w:rFonts w:cs="Arial"/>
        </w:rPr>
        <w:t>GT</w:t>
      </w:r>
      <w:r w:rsidR="00C74710" w:rsidRPr="00C74710">
        <w:rPr>
          <w:rFonts w:cs="Arial"/>
        </w:rPr>
        <w:t xml:space="preserve"> no later than the time established as the “rolling monthly surrender date” for the relevant month pursuant to TPD B2.3.5.</w:t>
      </w:r>
      <w:r w:rsidR="00B83B08">
        <w:rPr>
          <w:rFonts w:cs="Arial"/>
        </w:rPr>
        <w:t xml:space="preserve"> </w:t>
      </w:r>
      <w:r w:rsidR="00432637" w:rsidRPr="00432637">
        <w:t xml:space="preserve">The amount </w:t>
      </w:r>
      <w:r w:rsidR="00432637">
        <w:t xml:space="preserve">of </w:t>
      </w:r>
      <w:r w:rsidR="00432637" w:rsidRPr="00432637">
        <w:t xml:space="preserve">nominated in respect of any Day within that </w:t>
      </w:r>
      <w:r w:rsidR="00432637" w:rsidRPr="00432637">
        <w:lastRenderedPageBreak/>
        <w:t>following month (</w:t>
      </w:r>
      <w:r w:rsidR="001655EA">
        <w:t xml:space="preserve">the </w:t>
      </w:r>
      <w:r w:rsidR="00432637" w:rsidRPr="00432637">
        <w:t>“Redesignated Capacity”)</w:t>
      </w:r>
      <w:r w:rsidR="001655EA" w:rsidRPr="001655EA">
        <w:t xml:space="preserve"> </w:t>
      </w:r>
      <w:r w:rsidR="001655EA">
        <w:t>may not exceed the User’s Fully Adjusted Available NTS Entry Capacity</w:t>
      </w:r>
      <w:r w:rsidR="00432637" w:rsidRPr="00432637">
        <w:t xml:space="preserve"> </w:t>
      </w:r>
      <w:r w:rsidR="006A14C3" w:rsidRPr="006A14C3">
        <w:t>at the Easington ASEP for that Day</w:t>
      </w:r>
      <w:r w:rsidR="006A14C3">
        <w:t xml:space="preserve">. </w:t>
      </w:r>
      <w:r w:rsidR="006A14C3" w:rsidRPr="006A14C3">
        <w:t xml:space="preserve"> </w:t>
      </w:r>
      <w:r w:rsidR="006A14C3">
        <w:t>A User’s nomination of an amount of Redesignated Capacity for a Day shall have the effect of:</w:t>
      </w:r>
    </w:p>
    <w:p w14:paraId="1B84DF0A" w14:textId="24072C63" w:rsidR="006A14C3" w:rsidRDefault="006A14C3" w:rsidP="006A14C3">
      <w:pPr>
        <w:pStyle w:val="ListParagraph"/>
        <w:numPr>
          <w:ilvl w:val="0"/>
          <w:numId w:val="35"/>
        </w:numPr>
        <w:autoSpaceDE w:val="0"/>
        <w:autoSpaceDN w:val="0"/>
        <w:adjustRightInd w:val="0"/>
        <w:snapToGrid w:val="0"/>
        <w:spacing w:before="0" w:after="0" w:line="240" w:lineRule="auto"/>
        <w:rPr>
          <w:color w:val="000000"/>
          <w:lang w:val="x-none"/>
        </w:rPr>
      </w:pPr>
      <w:r w:rsidRPr="009131C7">
        <w:rPr>
          <w:color w:val="000000"/>
          <w:lang w:val="x-none"/>
        </w:rPr>
        <w:t xml:space="preserve">decreasing each of </w:t>
      </w:r>
      <w:r>
        <w:rPr>
          <w:color w:val="000000"/>
        </w:rPr>
        <w:t xml:space="preserve">the </w:t>
      </w:r>
      <w:r w:rsidRPr="009131C7">
        <w:rPr>
          <w:color w:val="000000"/>
          <w:lang w:val="x-none"/>
        </w:rPr>
        <w:t xml:space="preserve">Fully Adjusted Available NTS Entry Capacity, Existing Registered Holding and Existing Available Holding </w:t>
      </w:r>
      <w:r>
        <w:rPr>
          <w:color w:val="000000"/>
        </w:rPr>
        <w:t xml:space="preserve">of the User </w:t>
      </w:r>
      <w:r w:rsidRPr="009131C7">
        <w:rPr>
          <w:color w:val="000000"/>
          <w:lang w:val="x-none"/>
        </w:rPr>
        <w:t>at the Easington ASEP in respect of that Day by the nominated amount; and</w:t>
      </w:r>
    </w:p>
    <w:p w14:paraId="0F1AFBD8" w14:textId="77777777" w:rsidR="006A14C3" w:rsidRPr="009131C7" w:rsidRDefault="006A14C3" w:rsidP="009131C7">
      <w:pPr>
        <w:autoSpaceDE w:val="0"/>
        <w:autoSpaceDN w:val="0"/>
        <w:adjustRightInd w:val="0"/>
        <w:snapToGrid w:val="0"/>
        <w:spacing w:before="0" w:after="0" w:line="240" w:lineRule="auto"/>
        <w:ind w:left="360"/>
        <w:rPr>
          <w:color w:val="000000"/>
          <w:lang w:val="x-none"/>
        </w:rPr>
      </w:pPr>
    </w:p>
    <w:p w14:paraId="050139B7" w14:textId="0C24185D" w:rsidR="006A14C3" w:rsidRPr="009131C7" w:rsidRDefault="006A14C3" w:rsidP="009131C7">
      <w:pPr>
        <w:pStyle w:val="ListParagraph"/>
        <w:numPr>
          <w:ilvl w:val="0"/>
          <w:numId w:val="35"/>
        </w:numPr>
        <w:autoSpaceDE w:val="0"/>
        <w:autoSpaceDN w:val="0"/>
        <w:adjustRightInd w:val="0"/>
        <w:snapToGrid w:val="0"/>
        <w:spacing w:before="0" w:after="0" w:line="240" w:lineRule="auto"/>
        <w:rPr>
          <w:color w:val="000000"/>
          <w:lang w:val="x-none"/>
        </w:rPr>
      </w:pPr>
      <w:r w:rsidRPr="009131C7">
        <w:rPr>
          <w:color w:val="000000"/>
          <w:lang w:val="x-none"/>
        </w:rPr>
        <w:t xml:space="preserve">increasing each of </w:t>
      </w:r>
      <w:r>
        <w:rPr>
          <w:color w:val="000000"/>
        </w:rPr>
        <w:t>the</w:t>
      </w:r>
      <w:r w:rsidRPr="009131C7">
        <w:rPr>
          <w:color w:val="000000"/>
          <w:lang w:val="x-none"/>
        </w:rPr>
        <w:t xml:space="preserve"> Fully Adjusted Available NTS Entry Capacity, Existing Registered Holding and Existing Available Holding</w:t>
      </w:r>
      <w:r>
        <w:rPr>
          <w:color w:val="000000"/>
        </w:rPr>
        <w:t xml:space="preserve"> of the User</w:t>
      </w:r>
      <w:r w:rsidRPr="009131C7">
        <w:rPr>
          <w:color w:val="000000"/>
          <w:lang w:val="x-none"/>
        </w:rPr>
        <w:t xml:space="preserve"> at the Rough Storage ASEP in respect of that Day by the nominated amount:</w:t>
      </w:r>
    </w:p>
    <w:p w14:paraId="48B005E6" w14:textId="761983B7" w:rsidR="00860EB2" w:rsidRDefault="00C74710" w:rsidP="00A7740F">
      <w:pPr>
        <w:jc w:val="both"/>
        <w:rPr>
          <w:rFonts w:cs="Arial"/>
        </w:rPr>
      </w:pPr>
      <w:r w:rsidRPr="00C74710">
        <w:rPr>
          <w:rFonts w:cs="Arial"/>
        </w:rPr>
        <w:t xml:space="preserve">Consequently, </w:t>
      </w:r>
      <w:r w:rsidR="00EA2E84">
        <w:rPr>
          <w:rFonts w:cs="Arial"/>
        </w:rPr>
        <w:t xml:space="preserve">the User </w:t>
      </w:r>
      <w:r w:rsidRPr="00C74710">
        <w:rPr>
          <w:rFonts w:cs="Arial"/>
        </w:rPr>
        <w:t>will be able to nominate and flow withdrawals of gas from Rough on a Day up to the level of the R</w:t>
      </w:r>
      <w:r w:rsidR="004348D0">
        <w:rPr>
          <w:rFonts w:cs="Arial"/>
        </w:rPr>
        <w:t>e</w:t>
      </w:r>
      <w:r w:rsidRPr="00C74710">
        <w:rPr>
          <w:rFonts w:cs="Arial"/>
        </w:rPr>
        <w:t>d</w:t>
      </w:r>
      <w:r w:rsidR="004348D0">
        <w:rPr>
          <w:rFonts w:cs="Arial"/>
        </w:rPr>
        <w:t xml:space="preserve">esignated </w:t>
      </w:r>
      <w:r w:rsidRPr="00C74710">
        <w:rPr>
          <w:rFonts w:cs="Arial"/>
        </w:rPr>
        <w:t xml:space="preserve">Capacity for that Day (subject to any </w:t>
      </w:r>
      <w:proofErr w:type="gramStart"/>
      <w:r w:rsidRPr="00C74710">
        <w:rPr>
          <w:rFonts w:cs="Arial"/>
        </w:rPr>
        <w:t>aforementioned adjustments</w:t>
      </w:r>
      <w:proofErr w:type="gramEnd"/>
      <w:r w:rsidRPr="00C74710">
        <w:rPr>
          <w:rFonts w:cs="Arial"/>
        </w:rPr>
        <w:t>) without incurring Overrun Charges</w:t>
      </w:r>
      <w:r w:rsidR="002D330E">
        <w:rPr>
          <w:rFonts w:cs="Arial"/>
        </w:rPr>
        <w:t xml:space="preserve"> </w:t>
      </w:r>
      <w:r w:rsidR="00A32B69">
        <w:rPr>
          <w:rFonts w:cs="Arial"/>
        </w:rPr>
        <w:t xml:space="preserve">with </w:t>
      </w:r>
      <w:r w:rsidR="003D2ED4">
        <w:rPr>
          <w:rFonts w:cs="Arial"/>
        </w:rPr>
        <w:t>the User’s</w:t>
      </w:r>
      <w:r w:rsidR="002D330E">
        <w:rPr>
          <w:rFonts w:cs="Arial"/>
        </w:rPr>
        <w:t xml:space="preserve"> entitlement to deliver gas at the Easington ASEP free of overrun charges be</w:t>
      </w:r>
      <w:r w:rsidR="00A32B69">
        <w:rPr>
          <w:rFonts w:cs="Arial"/>
        </w:rPr>
        <w:t xml:space="preserve">ing </w:t>
      </w:r>
      <w:r w:rsidR="002D330E">
        <w:rPr>
          <w:rFonts w:cs="Arial"/>
        </w:rPr>
        <w:t>reduced by an equ</w:t>
      </w:r>
      <w:r w:rsidR="00A32B69">
        <w:rPr>
          <w:rFonts w:cs="Arial"/>
        </w:rPr>
        <w:t xml:space="preserve">al </w:t>
      </w:r>
      <w:r w:rsidR="002D330E">
        <w:rPr>
          <w:rFonts w:cs="Arial"/>
        </w:rPr>
        <w:t>amount</w:t>
      </w:r>
      <w:r w:rsidRPr="00C74710">
        <w:rPr>
          <w:rFonts w:cs="Arial"/>
        </w:rPr>
        <w:t xml:space="preserve">. </w:t>
      </w:r>
    </w:p>
    <w:p w14:paraId="71844798" w14:textId="23120E7E" w:rsidR="00C74710" w:rsidRDefault="00C74710" w:rsidP="008B7593">
      <w:pPr>
        <w:jc w:val="both"/>
        <w:rPr>
          <w:rFonts w:cs="Arial"/>
        </w:rPr>
      </w:pPr>
      <w:r w:rsidRPr="00C74710">
        <w:rPr>
          <w:rFonts w:cs="Arial"/>
        </w:rPr>
        <w:t xml:space="preserve">NTS Entry Capacity Charges shall apply on the basis that the </w:t>
      </w:r>
      <w:r w:rsidR="006A14C3">
        <w:rPr>
          <w:rFonts w:cs="Arial"/>
        </w:rPr>
        <w:t xml:space="preserve">User’s </w:t>
      </w:r>
      <w:r w:rsidRPr="00C74710">
        <w:rPr>
          <w:rFonts w:cs="Arial"/>
        </w:rPr>
        <w:t>R</w:t>
      </w:r>
      <w:r w:rsidR="004348D0">
        <w:rPr>
          <w:rFonts w:cs="Arial"/>
        </w:rPr>
        <w:t xml:space="preserve">edesignated </w:t>
      </w:r>
      <w:r w:rsidRPr="00C74710">
        <w:rPr>
          <w:rFonts w:cs="Arial"/>
        </w:rPr>
        <w:t xml:space="preserve">Capacity </w:t>
      </w:r>
      <w:r w:rsidR="00A32B69">
        <w:rPr>
          <w:rFonts w:cs="Arial"/>
        </w:rPr>
        <w:t xml:space="preserve">for a Day was, at the </w:t>
      </w:r>
      <w:r w:rsidR="00A32B69" w:rsidRPr="00A32B69">
        <w:rPr>
          <w:rFonts w:cs="Arial"/>
        </w:rPr>
        <w:t xml:space="preserve">Tariff Regulation Effective Date, </w:t>
      </w:r>
      <w:r w:rsidR="00EA2E84">
        <w:rPr>
          <w:rFonts w:cs="Arial"/>
        </w:rPr>
        <w:t>the User</w:t>
      </w:r>
      <w:r w:rsidR="00A32B69">
        <w:rPr>
          <w:rFonts w:cs="Arial"/>
        </w:rPr>
        <w:t xml:space="preserve">’s </w:t>
      </w:r>
      <w:r w:rsidR="00A32B69" w:rsidRPr="00A32B69">
        <w:rPr>
          <w:rFonts w:cs="Arial"/>
        </w:rPr>
        <w:t xml:space="preserve">Registered NTS Entry Capacity </w:t>
      </w:r>
      <w:r w:rsidR="009E2C8B">
        <w:rPr>
          <w:rFonts w:cs="Arial"/>
        </w:rPr>
        <w:t xml:space="preserve">at </w:t>
      </w:r>
      <w:r w:rsidR="00A32B69">
        <w:rPr>
          <w:rFonts w:cs="Arial"/>
        </w:rPr>
        <w:t xml:space="preserve">the Rough ASEP </w:t>
      </w:r>
      <w:r w:rsidR="009E2C8B">
        <w:rPr>
          <w:rFonts w:cs="Arial"/>
        </w:rPr>
        <w:t xml:space="preserve">for that </w:t>
      </w:r>
      <w:r w:rsidR="00A32B69" w:rsidRPr="00A32B69">
        <w:rPr>
          <w:rFonts w:cs="Arial"/>
        </w:rPr>
        <w:t>Day</w:t>
      </w:r>
      <w:r w:rsidR="009E2C8B">
        <w:rPr>
          <w:rFonts w:cs="Arial"/>
        </w:rPr>
        <w:t>.</w:t>
      </w:r>
      <w:r w:rsidR="005644E7">
        <w:rPr>
          <w:rFonts w:cs="Arial"/>
        </w:rPr>
        <w:t xml:space="preserve">, As Specific Point Discounts in respect of Storage Site Points </w:t>
      </w:r>
      <w:r w:rsidR="006A14C3">
        <w:rPr>
          <w:rFonts w:cs="Arial"/>
        </w:rPr>
        <w:t xml:space="preserve">do not </w:t>
      </w:r>
      <w:r w:rsidR="005644E7">
        <w:rPr>
          <w:rFonts w:cs="Arial"/>
        </w:rPr>
        <w:t>apply to Existing Registered Capacity there will be no change to the charges faced by Users who use the mechanism to redesignate capacity</w:t>
      </w:r>
      <w:r w:rsidR="008B7593">
        <w:rPr>
          <w:rFonts w:cs="Arial"/>
        </w:rPr>
        <w:t xml:space="preserve">. Neither will the redesignated capacity satisfy the </w:t>
      </w:r>
      <w:r w:rsidR="008B7593" w:rsidRPr="008B7593">
        <w:rPr>
          <w:rFonts w:cs="Arial"/>
        </w:rPr>
        <w:t>CNCCD Eligibility Criteria</w:t>
      </w:r>
      <w:r w:rsidR="008B7593">
        <w:rPr>
          <w:rFonts w:cs="Arial"/>
        </w:rPr>
        <w:t xml:space="preserve">, so it will not be eligible for the </w:t>
      </w:r>
      <w:r w:rsidR="008B7593" w:rsidRPr="008B7593">
        <w:rPr>
          <w:rFonts w:cs="Arial"/>
        </w:rPr>
        <w:t>CNCC Discount for short-haul deliveries.</w:t>
      </w:r>
      <w:r w:rsidR="008B7593">
        <w:rPr>
          <w:rFonts w:cs="Arial"/>
        </w:rPr>
        <w:t xml:space="preserve"> </w:t>
      </w:r>
      <w:proofErr w:type="gramStart"/>
      <w:r w:rsidR="003D6D83">
        <w:rPr>
          <w:rFonts w:cs="Arial"/>
        </w:rPr>
        <w:t>Consequently</w:t>
      </w:r>
      <w:proofErr w:type="gramEnd"/>
      <w:r w:rsidR="003D6D83">
        <w:rPr>
          <w:rFonts w:cs="Arial"/>
        </w:rPr>
        <w:t xml:space="preserve"> </w:t>
      </w:r>
      <w:r w:rsidR="008B7593">
        <w:rPr>
          <w:rFonts w:cs="Arial"/>
        </w:rPr>
        <w:t>redesignation</w:t>
      </w:r>
      <w:r w:rsidR="00ED66F9">
        <w:rPr>
          <w:rFonts w:cs="Arial"/>
        </w:rPr>
        <w:t xml:space="preserve"> will</w:t>
      </w:r>
      <w:r w:rsidR="008B7593">
        <w:rPr>
          <w:rFonts w:cs="Arial"/>
        </w:rPr>
        <w:t xml:space="preserve"> </w:t>
      </w:r>
      <w:r w:rsidR="003D6D83">
        <w:rPr>
          <w:rFonts w:cs="Arial"/>
        </w:rPr>
        <w:t xml:space="preserve">not </w:t>
      </w:r>
      <w:r w:rsidR="008B7593">
        <w:rPr>
          <w:rFonts w:cs="Arial"/>
        </w:rPr>
        <w:t xml:space="preserve">have any impact </w:t>
      </w:r>
      <w:r w:rsidR="00353885">
        <w:rPr>
          <w:rFonts w:cs="Arial"/>
        </w:rPr>
        <w:t xml:space="preserve">on </w:t>
      </w:r>
      <w:r w:rsidR="008B7593">
        <w:rPr>
          <w:rFonts w:cs="Arial"/>
        </w:rPr>
        <w:t xml:space="preserve">the rates of </w:t>
      </w:r>
      <w:r w:rsidR="00353885">
        <w:rPr>
          <w:rFonts w:cs="Arial"/>
        </w:rPr>
        <w:t xml:space="preserve">Entry </w:t>
      </w:r>
      <w:r w:rsidRPr="00C74710">
        <w:rPr>
          <w:rFonts w:cs="Arial"/>
        </w:rPr>
        <w:t xml:space="preserve">Transmission Services Revenue Recovery </w:t>
      </w:r>
      <w:r w:rsidR="00353885">
        <w:rPr>
          <w:rFonts w:cs="Arial"/>
        </w:rPr>
        <w:t xml:space="preserve">and </w:t>
      </w:r>
      <w:r w:rsidR="00353885" w:rsidRPr="00353885">
        <w:rPr>
          <w:rFonts w:cs="Arial"/>
        </w:rPr>
        <w:t xml:space="preserve">NTS Entry Transmission Services Rebate </w:t>
      </w:r>
      <w:r w:rsidRPr="00C74710">
        <w:rPr>
          <w:rFonts w:cs="Arial"/>
        </w:rPr>
        <w:t>Charge</w:t>
      </w:r>
      <w:r w:rsidR="00353885">
        <w:rPr>
          <w:rFonts w:cs="Arial"/>
        </w:rPr>
        <w:t>s</w:t>
      </w:r>
      <w:r w:rsidR="008B7593">
        <w:rPr>
          <w:rFonts w:cs="Arial"/>
        </w:rPr>
        <w:t xml:space="preserve"> payable by Users generally</w:t>
      </w:r>
      <w:r w:rsidR="00353885">
        <w:rPr>
          <w:rFonts w:cs="Arial"/>
        </w:rPr>
        <w:t>.</w:t>
      </w:r>
      <w:r>
        <w:rPr>
          <w:rFonts w:cs="Arial"/>
        </w:rPr>
        <w:t xml:space="preserve"> </w:t>
      </w:r>
      <w:r w:rsidR="00D62DD9">
        <w:rPr>
          <w:rFonts w:cs="Arial"/>
        </w:rPr>
        <w:t xml:space="preserve"> </w:t>
      </w:r>
    </w:p>
    <w:p w14:paraId="75CC480B" w14:textId="1F977AC1" w:rsidR="002F3AB8" w:rsidRPr="00C809A6" w:rsidRDefault="002F3AB8" w:rsidP="00761C07">
      <w:pPr>
        <w:pStyle w:val="Heading02"/>
      </w:pPr>
      <w:bookmarkStart w:id="7" w:name="_Toc169090695"/>
      <w:r w:rsidRPr="00C809A6">
        <w:t>Impacts &amp; Other Considerations</w:t>
      </w:r>
      <w:bookmarkEnd w:id="7"/>
    </w:p>
    <w:p w14:paraId="3C42DE98" w14:textId="77777777" w:rsidR="00936FDF" w:rsidRPr="00CA74C4" w:rsidRDefault="00936FDF" w:rsidP="0093726B">
      <w:pPr>
        <w:pStyle w:val="Heading4"/>
        <w:keepLines w:val="0"/>
        <w:numPr>
          <w:ilvl w:val="0"/>
          <w:numId w:val="0"/>
        </w:numPr>
        <w:spacing w:before="240"/>
        <w:rPr>
          <w:rFonts w:ascii="Arial" w:eastAsia="Times New Roman" w:hAnsi="Arial" w:cs="Arial"/>
          <w:i w:val="0"/>
          <w:iCs w:val="0"/>
          <w:color w:val="008576"/>
          <w:sz w:val="24"/>
          <w:szCs w:val="28"/>
        </w:rPr>
      </w:pPr>
      <w:bookmarkStart w:id="8" w:name="_Hlk30582068"/>
      <w:r w:rsidRPr="00CA74C4">
        <w:rPr>
          <w:rFonts w:ascii="Arial" w:eastAsia="Times New Roman" w:hAnsi="Arial" w:cs="Arial"/>
          <w:i w:val="0"/>
          <w:iCs w:val="0"/>
          <w:color w:val="008576"/>
          <w:sz w:val="24"/>
          <w:szCs w:val="28"/>
        </w:rPr>
        <w:t xml:space="preserve">Does this </w:t>
      </w:r>
      <w:r>
        <w:rPr>
          <w:rFonts w:ascii="Arial" w:eastAsia="Times New Roman" w:hAnsi="Arial" w:cs="Arial"/>
          <w:i w:val="0"/>
          <w:iCs w:val="0"/>
          <w:color w:val="008576"/>
          <w:sz w:val="24"/>
          <w:szCs w:val="28"/>
        </w:rPr>
        <w:t>M</w:t>
      </w:r>
      <w:r w:rsidRPr="00CA74C4">
        <w:rPr>
          <w:rFonts w:ascii="Arial" w:eastAsia="Times New Roman" w:hAnsi="Arial" w:cs="Arial"/>
          <w:i w:val="0"/>
          <w:iCs w:val="0"/>
          <w:color w:val="008576"/>
          <w:sz w:val="24"/>
          <w:szCs w:val="28"/>
        </w:rPr>
        <w:t>odification impact a Significant Code Review (SCR) or other significant industry change projects, if so, how?</w:t>
      </w:r>
    </w:p>
    <w:bookmarkEnd w:id="8"/>
    <w:p w14:paraId="6C6253A5" w14:textId="77777777" w:rsidR="00936FDF" w:rsidRPr="00CA74C4" w:rsidRDefault="004F0009" w:rsidP="0093726B">
      <w:pPr>
        <w:rPr>
          <w:rFonts w:cs="Arial"/>
        </w:rPr>
      </w:pPr>
      <w:r>
        <w:rPr>
          <w:rFonts w:cs="Arial"/>
        </w:rPr>
        <w:t>No</w:t>
      </w:r>
    </w:p>
    <w:p w14:paraId="132FC666" w14:textId="77777777" w:rsidR="00676075" w:rsidRPr="00CA74C4" w:rsidRDefault="00676075" w:rsidP="0093726B">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Consumer Impacts</w:t>
      </w:r>
    </w:p>
    <w:p w14:paraId="566FD611" w14:textId="78023CF2" w:rsidR="00B83B08" w:rsidRDefault="003906B1" w:rsidP="00A7740F">
      <w:pPr>
        <w:jc w:val="both"/>
        <w:rPr>
          <w:rFonts w:cs="Arial"/>
        </w:rPr>
      </w:pPr>
      <w:r>
        <w:rPr>
          <w:rFonts w:cs="Arial"/>
        </w:rPr>
        <w:t xml:space="preserve">The </w:t>
      </w:r>
      <w:r w:rsidR="00354D43">
        <w:rPr>
          <w:rFonts w:cs="Arial"/>
        </w:rPr>
        <w:t>M</w:t>
      </w:r>
      <w:r>
        <w:rPr>
          <w:rFonts w:cs="Arial"/>
        </w:rPr>
        <w:t xml:space="preserve">odification will be positive for </w:t>
      </w:r>
      <w:r w:rsidR="000F7566">
        <w:rPr>
          <w:rFonts w:cs="Arial"/>
        </w:rPr>
        <w:t xml:space="preserve">all </w:t>
      </w:r>
      <w:r>
        <w:rPr>
          <w:rFonts w:cs="Arial"/>
        </w:rPr>
        <w:t xml:space="preserve">consumers. </w:t>
      </w:r>
      <w:r w:rsidR="000F7566">
        <w:rPr>
          <w:rFonts w:cs="Arial"/>
        </w:rPr>
        <w:t xml:space="preserve">Respecting </w:t>
      </w:r>
      <w:r w:rsidR="008B50FB">
        <w:rPr>
          <w:rFonts w:cs="Arial"/>
        </w:rPr>
        <w:t>CESL</w:t>
      </w:r>
      <w:r w:rsidR="000F7566">
        <w:rPr>
          <w:rFonts w:cs="Arial"/>
        </w:rPr>
        <w:t xml:space="preserve">’s entitlement under its Existing Capacity Holding </w:t>
      </w:r>
      <w:r>
        <w:rPr>
          <w:rFonts w:cs="Arial"/>
        </w:rPr>
        <w:t>will enhance security of supply and reduce the cost of withdrawing gas from the Rough storage facility</w:t>
      </w:r>
      <w:r w:rsidR="00DB7B18">
        <w:rPr>
          <w:rFonts w:cs="Arial"/>
        </w:rPr>
        <w:t xml:space="preserve"> and improve the business case for injection</w:t>
      </w:r>
      <w:r>
        <w:rPr>
          <w:rFonts w:cs="Arial"/>
        </w:rPr>
        <w:t xml:space="preserve">. If this </w:t>
      </w:r>
      <w:r w:rsidR="00CA3333">
        <w:rPr>
          <w:rFonts w:cs="Arial"/>
        </w:rPr>
        <w:t>M</w:t>
      </w:r>
      <w:r>
        <w:rPr>
          <w:rFonts w:cs="Arial"/>
        </w:rPr>
        <w:t xml:space="preserve">odification was not implemented, </w:t>
      </w:r>
      <w:r w:rsidR="00DB7B18">
        <w:rPr>
          <w:rFonts w:cs="Arial"/>
        </w:rPr>
        <w:t xml:space="preserve">when making decisions as to how much gas to inject into Rough </w:t>
      </w:r>
      <w:r w:rsidR="008B50FB">
        <w:rPr>
          <w:rFonts w:cs="Arial"/>
        </w:rPr>
        <w:t>CESL</w:t>
      </w:r>
      <w:r>
        <w:rPr>
          <w:rFonts w:cs="Arial"/>
        </w:rPr>
        <w:t xml:space="preserve"> </w:t>
      </w:r>
      <w:r w:rsidR="00DB7B18">
        <w:rPr>
          <w:rFonts w:cs="Arial"/>
        </w:rPr>
        <w:t xml:space="preserve">would be faced with uncertainty as to whether NTS Entry Capacity would be available to support withdrawals </w:t>
      </w:r>
      <w:r w:rsidR="00DA2882">
        <w:rPr>
          <w:rFonts w:cs="Arial"/>
        </w:rPr>
        <w:t xml:space="preserve">as and when required, even though capacity has been previously acquired for that purpose on a </w:t>
      </w:r>
      <w:r w:rsidR="00A13997">
        <w:rPr>
          <w:rFonts w:cs="Arial"/>
        </w:rPr>
        <w:t>long-term</w:t>
      </w:r>
      <w:r w:rsidR="00DA2882">
        <w:rPr>
          <w:rFonts w:cs="Arial"/>
        </w:rPr>
        <w:t xml:space="preserve"> basis at the Easington ASEP, potentially leading to under-utilisation of available storage capacity.  To the extent that additional </w:t>
      </w:r>
      <w:r w:rsidR="00A13997">
        <w:rPr>
          <w:rFonts w:cs="Arial"/>
        </w:rPr>
        <w:t>short-term</w:t>
      </w:r>
      <w:r w:rsidR="00DA2882">
        <w:rPr>
          <w:rFonts w:cs="Arial"/>
        </w:rPr>
        <w:t xml:space="preserve"> capacity was</w:t>
      </w:r>
      <w:r w:rsidR="00DB7B18">
        <w:rPr>
          <w:rFonts w:cs="Arial"/>
        </w:rPr>
        <w:t xml:space="preserve"> </w:t>
      </w:r>
      <w:r w:rsidR="00DA2882">
        <w:rPr>
          <w:rFonts w:cs="Arial"/>
        </w:rPr>
        <w:t xml:space="preserve">acquired </w:t>
      </w:r>
      <w:r w:rsidR="00DB7B18">
        <w:rPr>
          <w:rFonts w:cs="Arial"/>
        </w:rPr>
        <w:t>to support wi</w:t>
      </w:r>
      <w:r w:rsidR="00DA2882">
        <w:rPr>
          <w:rFonts w:cs="Arial"/>
        </w:rPr>
        <w:t>t</w:t>
      </w:r>
      <w:r w:rsidR="00DB7B18">
        <w:rPr>
          <w:rFonts w:cs="Arial"/>
        </w:rPr>
        <w:t>hdraw</w:t>
      </w:r>
      <w:r w:rsidR="00DA2882">
        <w:rPr>
          <w:rFonts w:cs="Arial"/>
        </w:rPr>
        <w:t>a</w:t>
      </w:r>
      <w:r w:rsidR="00DB7B18">
        <w:rPr>
          <w:rFonts w:cs="Arial"/>
        </w:rPr>
        <w:t xml:space="preserve">ls </w:t>
      </w:r>
      <w:r w:rsidR="00DA2882">
        <w:rPr>
          <w:rFonts w:cs="Arial"/>
        </w:rPr>
        <w:t xml:space="preserve">it would </w:t>
      </w:r>
      <w:r>
        <w:rPr>
          <w:rFonts w:cs="Arial"/>
        </w:rPr>
        <w:t>add to the overall cost of balancing the network</w:t>
      </w:r>
      <w:r w:rsidR="000F7566">
        <w:rPr>
          <w:rFonts w:cs="Arial"/>
        </w:rPr>
        <w:t xml:space="preserve"> and maintaining security of supply</w:t>
      </w:r>
      <w:r w:rsidR="00DA2882">
        <w:rPr>
          <w:rFonts w:cs="Arial"/>
        </w:rPr>
        <w:t>,</w:t>
      </w:r>
      <w:r w:rsidR="000F7566">
        <w:rPr>
          <w:rFonts w:cs="Arial"/>
        </w:rPr>
        <w:t xml:space="preserve"> </w:t>
      </w:r>
      <w:r w:rsidR="00DA2882">
        <w:rPr>
          <w:rFonts w:cs="Arial"/>
        </w:rPr>
        <w:t xml:space="preserve">adding to the upwards </w:t>
      </w:r>
      <w:r w:rsidR="000F7566">
        <w:rPr>
          <w:rFonts w:cs="Arial"/>
        </w:rPr>
        <w:t xml:space="preserve">pressure on </w:t>
      </w:r>
      <w:r w:rsidR="00DA2882">
        <w:rPr>
          <w:rFonts w:cs="Arial"/>
        </w:rPr>
        <w:t>gas prices</w:t>
      </w:r>
      <w:r>
        <w:rPr>
          <w:rFonts w:cs="Arial"/>
        </w:rPr>
        <w:t xml:space="preserve">. </w:t>
      </w:r>
      <w:r w:rsidR="00845258">
        <w:rPr>
          <w:rFonts w:cs="Arial"/>
        </w:rPr>
        <w:t xml:space="preserve">Any possible distortion of competition </w:t>
      </w:r>
      <w:r w:rsidR="00131DF3">
        <w:rPr>
          <w:rFonts w:cs="Arial"/>
        </w:rPr>
        <w:t xml:space="preserve">that might work against consumers’ interests </w:t>
      </w:r>
      <w:r w:rsidR="00845258">
        <w:rPr>
          <w:rFonts w:cs="Arial"/>
        </w:rPr>
        <w:t xml:space="preserve">has been eliminated by extending the capacity redesignation facility to </w:t>
      </w:r>
      <w:r w:rsidR="00FE10C0">
        <w:rPr>
          <w:rFonts w:cs="Arial"/>
        </w:rPr>
        <w:t>all Users that hold capacity at the Easington ASEP in Winter 202</w:t>
      </w:r>
      <w:r w:rsidR="00320B78">
        <w:rPr>
          <w:rFonts w:cs="Arial"/>
        </w:rPr>
        <w:t>4</w:t>
      </w:r>
      <w:r w:rsidR="00FE10C0">
        <w:rPr>
          <w:rFonts w:cs="Arial"/>
        </w:rPr>
        <w:t>/2</w:t>
      </w:r>
      <w:r w:rsidR="00320B78">
        <w:rPr>
          <w:rFonts w:cs="Arial"/>
        </w:rPr>
        <w:t>5</w:t>
      </w:r>
      <w:r w:rsidR="00FE10C0">
        <w:rPr>
          <w:rFonts w:cs="Arial"/>
        </w:rPr>
        <w:t xml:space="preserve"> that was acquired before </w:t>
      </w:r>
      <w:r w:rsidR="0091665F">
        <w:rPr>
          <w:rFonts w:cs="Arial"/>
        </w:rPr>
        <w:t>0</w:t>
      </w:r>
      <w:r w:rsidR="00131DF3">
        <w:rPr>
          <w:rFonts w:cs="Arial"/>
        </w:rPr>
        <w:t xml:space="preserve">4 August 2022 when the two ASEPS were disaggregated, removing </w:t>
      </w:r>
      <w:r w:rsidR="00572B38">
        <w:rPr>
          <w:rFonts w:cs="Arial"/>
        </w:rPr>
        <w:t xml:space="preserve">additional costs that may otherwise be imposed on </w:t>
      </w:r>
      <w:r w:rsidR="00131DF3">
        <w:rPr>
          <w:rFonts w:cs="Arial"/>
        </w:rPr>
        <w:t xml:space="preserve">other Users who wish to take up any storage capacity that is not utilised by </w:t>
      </w:r>
      <w:r w:rsidR="008B50FB">
        <w:rPr>
          <w:rFonts w:cs="Arial"/>
        </w:rPr>
        <w:t>CESL</w:t>
      </w:r>
      <w:r w:rsidR="00131DF3">
        <w:rPr>
          <w:rFonts w:cs="Arial"/>
        </w:rPr>
        <w:t>.</w:t>
      </w:r>
    </w:p>
    <w:p w14:paraId="2B13B8B3" w14:textId="4D7476FE" w:rsidR="003906B1" w:rsidRDefault="003906B1" w:rsidP="00104CFB">
      <w:pPr>
        <w:jc w:val="both"/>
        <w:rPr>
          <w:b/>
          <w:bCs/>
          <w:color w:val="008576"/>
          <w:sz w:val="23"/>
          <w:szCs w:val="23"/>
        </w:rPr>
      </w:pPr>
      <w:r>
        <w:rPr>
          <w:b/>
          <w:bCs/>
          <w:color w:val="008576"/>
          <w:sz w:val="23"/>
          <w:szCs w:val="23"/>
        </w:rPr>
        <w:t>What is the current consumer experience and what would the new consumer experience be?</w:t>
      </w:r>
    </w:p>
    <w:p w14:paraId="056D4A95" w14:textId="7552DBDA" w:rsidR="003906B1" w:rsidRPr="003906B1" w:rsidRDefault="003906B1" w:rsidP="00A7740F">
      <w:pPr>
        <w:contextualSpacing/>
        <w:jc w:val="both"/>
        <w:rPr>
          <w:rFonts w:cs="Arial"/>
        </w:rPr>
      </w:pPr>
      <w:r w:rsidRPr="003906B1">
        <w:rPr>
          <w:rFonts w:cs="Arial"/>
        </w:rPr>
        <w:t>The</w:t>
      </w:r>
      <w:r w:rsidR="006F428E">
        <w:rPr>
          <w:rFonts w:cs="Arial"/>
        </w:rPr>
        <w:t xml:space="preserve"> optimisation of gas storage capacity at Rough will be important for the maintenance of security of supply and the stabilisation of gas prices </w:t>
      </w:r>
      <w:r w:rsidR="00D03F97">
        <w:rPr>
          <w:rFonts w:cs="Arial"/>
        </w:rPr>
        <w:t xml:space="preserve">in the coming Winter. The </w:t>
      </w:r>
      <w:r w:rsidR="006F428E">
        <w:rPr>
          <w:rFonts w:cs="Arial"/>
        </w:rPr>
        <w:t xml:space="preserve">use </w:t>
      </w:r>
      <w:r w:rsidR="00D03F97">
        <w:rPr>
          <w:rFonts w:cs="Arial"/>
        </w:rPr>
        <w:t xml:space="preserve">of existing pricing arrangements for capacity </w:t>
      </w:r>
      <w:r w:rsidR="00D03F97">
        <w:rPr>
          <w:rFonts w:cs="Arial"/>
        </w:rPr>
        <w:lastRenderedPageBreak/>
        <w:t xml:space="preserve">originally purchased to support withdrawals from Rough will ensure that </w:t>
      </w:r>
      <w:r w:rsidR="00DA2882">
        <w:rPr>
          <w:rFonts w:cs="Arial"/>
        </w:rPr>
        <w:t xml:space="preserve">the storage capacity at Rough is fully utilised and avoid the imposition of </w:t>
      </w:r>
      <w:r w:rsidR="00D03F97">
        <w:rPr>
          <w:rFonts w:cs="Arial"/>
        </w:rPr>
        <w:t xml:space="preserve">additional costs </w:t>
      </w:r>
      <w:proofErr w:type="gramStart"/>
      <w:r w:rsidR="00D03F97">
        <w:rPr>
          <w:rFonts w:cs="Arial"/>
        </w:rPr>
        <w:t>as a result of</w:t>
      </w:r>
      <w:proofErr w:type="gramEnd"/>
      <w:r w:rsidR="00D03F97">
        <w:rPr>
          <w:rFonts w:cs="Arial"/>
        </w:rPr>
        <w:t xml:space="preserve"> the technical complications arising out of the redesignation of Rough as a Storage Facility for the purposes of the UNC</w:t>
      </w:r>
      <w:r w:rsidRPr="003906B1">
        <w:rPr>
          <w:rFonts w:cs="Arial"/>
        </w:rPr>
        <w:t>. This will benefit all customers.</w:t>
      </w:r>
    </w:p>
    <w:p w14:paraId="4CD2F166" w14:textId="77777777" w:rsidR="00AF2CAB" w:rsidRPr="0093726B" w:rsidRDefault="00AF2CAB" w:rsidP="00A90299">
      <w:pPr>
        <w:spacing w:before="40" w:after="40" w:line="240" w:lineRule="auto"/>
        <w:ind w:left="720"/>
        <w:contextualSpacing/>
        <w:rPr>
          <w:rFonts w:cs="Arial"/>
        </w:rPr>
      </w:pPr>
    </w:p>
    <w:tbl>
      <w:tblPr>
        <w:tblW w:w="9938"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8207"/>
        <w:gridCol w:w="1731"/>
      </w:tblGrid>
      <w:tr w:rsidR="00936FDF" w:rsidRPr="008D54E0" w14:paraId="7C256B33" w14:textId="77777777" w:rsidTr="00A90299">
        <w:trPr>
          <w:cantSplit/>
          <w:trHeight w:hRule="exact" w:val="552"/>
        </w:trPr>
        <w:tc>
          <w:tcPr>
            <w:tcW w:w="9938" w:type="dxa"/>
            <w:gridSpan w:val="2"/>
            <w:tcBorders>
              <w:bottom w:val="single" w:sz="8" w:space="0" w:color="CCE0DA"/>
            </w:tcBorders>
            <w:shd w:val="clear" w:color="auto" w:fill="CCE0DA"/>
            <w:vAlign w:val="center"/>
          </w:tcPr>
          <w:p w14:paraId="5383A388" w14:textId="77777777" w:rsidR="00936FDF" w:rsidRPr="00A90299" w:rsidRDefault="00936FDF" w:rsidP="00A90299">
            <w:pPr>
              <w:pStyle w:val="Heading4"/>
              <w:keepLines w:val="0"/>
              <w:numPr>
                <w:ilvl w:val="0"/>
                <w:numId w:val="0"/>
              </w:numPr>
              <w:spacing w:before="120"/>
              <w:ind w:left="113"/>
              <w:rPr>
                <w:rFonts w:ascii="Arial" w:eastAsia="Times New Roman" w:hAnsi="Arial" w:cs="Arial"/>
                <w:i w:val="0"/>
                <w:iCs w:val="0"/>
                <w:color w:val="008576"/>
                <w:sz w:val="24"/>
                <w:szCs w:val="28"/>
              </w:rPr>
            </w:pPr>
            <w:r w:rsidRPr="00A90299">
              <w:rPr>
                <w:rFonts w:ascii="Arial" w:eastAsia="Times New Roman" w:hAnsi="Arial" w:cs="Arial"/>
                <w:i w:val="0"/>
                <w:iCs w:val="0"/>
                <w:color w:val="008576"/>
                <w:sz w:val="24"/>
                <w:szCs w:val="28"/>
              </w:rPr>
              <w:t>Impact of the change on Consumer Benefit Areas</w:t>
            </w:r>
            <w:r w:rsidR="00A507CF">
              <w:rPr>
                <w:rFonts w:ascii="Arial" w:eastAsia="Times New Roman" w:hAnsi="Arial" w:cs="Arial"/>
                <w:i w:val="0"/>
                <w:iCs w:val="0"/>
                <w:color w:val="008576"/>
                <w:sz w:val="24"/>
                <w:szCs w:val="28"/>
              </w:rPr>
              <w:t>:</w:t>
            </w:r>
          </w:p>
        </w:tc>
      </w:tr>
      <w:tr w:rsidR="00936FDF" w:rsidRPr="008D54E0" w14:paraId="6C113BC5" w14:textId="77777777" w:rsidTr="005917AD">
        <w:trPr>
          <w:cantSplit/>
          <w:trHeight w:hRule="exact" w:val="560"/>
        </w:trPr>
        <w:tc>
          <w:tcPr>
            <w:tcW w:w="8207" w:type="dxa"/>
            <w:tcBorders>
              <w:bottom w:val="single" w:sz="8" w:space="0" w:color="CCE0DA"/>
            </w:tcBorders>
            <w:shd w:val="clear" w:color="auto" w:fill="FFFFFF"/>
            <w:vAlign w:val="center"/>
          </w:tcPr>
          <w:p w14:paraId="428E78B7" w14:textId="77777777" w:rsidR="00936FDF" w:rsidRPr="00A90299" w:rsidRDefault="00936FDF" w:rsidP="00A90299">
            <w:pPr>
              <w:pStyle w:val="Heading4"/>
              <w:keepLines w:val="0"/>
              <w:numPr>
                <w:ilvl w:val="0"/>
                <w:numId w:val="0"/>
              </w:numPr>
              <w:spacing w:before="120"/>
              <w:ind w:left="113" w:right="57"/>
              <w:rPr>
                <w:rFonts w:ascii="Arial" w:eastAsia="Times New Roman" w:hAnsi="Arial" w:cs="Arial"/>
                <w:b w:val="0"/>
                <w:bCs w:val="0"/>
                <w:i w:val="0"/>
                <w:iCs w:val="0"/>
                <w:color w:val="auto"/>
                <w:szCs w:val="20"/>
              </w:rPr>
            </w:pPr>
            <w:r w:rsidRPr="00A90299">
              <w:rPr>
                <w:rFonts w:ascii="Arial" w:eastAsia="Times New Roman" w:hAnsi="Arial" w:cs="Arial"/>
                <w:b w:val="0"/>
                <w:bCs w:val="0"/>
                <w:i w:val="0"/>
                <w:iCs w:val="0"/>
                <w:color w:val="auto"/>
                <w:szCs w:val="20"/>
              </w:rPr>
              <w:t>Area</w:t>
            </w:r>
          </w:p>
        </w:tc>
        <w:tc>
          <w:tcPr>
            <w:tcW w:w="1731" w:type="dxa"/>
            <w:tcBorders>
              <w:bottom w:val="single" w:sz="8" w:space="0" w:color="CCE0DA"/>
            </w:tcBorders>
            <w:shd w:val="clear" w:color="auto" w:fill="FFFFFF"/>
            <w:vAlign w:val="center"/>
          </w:tcPr>
          <w:p w14:paraId="6EB9E19D" w14:textId="77777777" w:rsidR="00936FDF" w:rsidRPr="00A90299" w:rsidRDefault="0093726B" w:rsidP="00A90299">
            <w:pPr>
              <w:ind w:left="113"/>
              <w:rPr>
                <w:rFonts w:cs="Arial"/>
                <w:i/>
                <w:iCs/>
                <w:szCs w:val="20"/>
              </w:rPr>
            </w:pPr>
            <w:r w:rsidRPr="0093726B">
              <w:t>Identified impact</w:t>
            </w:r>
          </w:p>
        </w:tc>
      </w:tr>
      <w:tr w:rsidR="00936FDF" w14:paraId="7F9BCE07" w14:textId="77777777" w:rsidTr="005917AD">
        <w:trPr>
          <w:cantSplit/>
          <w:trHeight w:val="404"/>
        </w:trPr>
        <w:tc>
          <w:tcPr>
            <w:tcW w:w="8207" w:type="dxa"/>
            <w:tcBorders>
              <w:top w:val="single" w:sz="8" w:space="0" w:color="CCE0DA"/>
              <w:left w:val="single" w:sz="12" w:space="0" w:color="CCE0DA"/>
              <w:bottom w:val="single" w:sz="8" w:space="0" w:color="CCE0DA"/>
              <w:right w:val="single" w:sz="8" w:space="0" w:color="CCE0DA"/>
            </w:tcBorders>
          </w:tcPr>
          <w:p w14:paraId="6C2ED898" w14:textId="77777777" w:rsidR="00936FDF" w:rsidRDefault="00936FDF" w:rsidP="00A90299">
            <w:pPr>
              <w:pStyle w:val="Tablebodycopy"/>
              <w:spacing w:before="120"/>
              <w:ind w:right="57"/>
              <w:rPr>
                <w:rFonts w:cs="Arial"/>
                <w:bCs/>
                <w:iCs/>
              </w:rPr>
            </w:pPr>
            <w:r w:rsidRPr="00A90299">
              <w:rPr>
                <w:rFonts w:cs="Arial"/>
                <w:bCs/>
                <w:iCs/>
              </w:rPr>
              <w:t>Improved safety and reliability </w:t>
            </w:r>
          </w:p>
          <w:p w14:paraId="5C382BF0" w14:textId="77777777" w:rsidR="00AF2CAB" w:rsidRPr="00A90299" w:rsidRDefault="003906B1" w:rsidP="00A7740F">
            <w:pPr>
              <w:pStyle w:val="Tablebodycopy"/>
              <w:spacing w:before="120"/>
              <w:ind w:right="57"/>
              <w:jc w:val="both"/>
              <w:rPr>
                <w:rFonts w:cs="Arial"/>
                <w:bCs/>
                <w:iCs/>
                <w:color w:val="auto"/>
              </w:rPr>
            </w:pPr>
            <w:r>
              <w:rPr>
                <w:rFonts w:cs="Arial"/>
                <w:color w:val="auto"/>
              </w:rPr>
              <w:t>Lowering NTS Entry Capacity costs will enhance security of supply by permitting withdrawals from storage at lower costs than would otherwise be the case</w:t>
            </w:r>
            <w:r w:rsidR="00D03F97">
              <w:rPr>
                <w:rFonts w:cs="Arial"/>
                <w:color w:val="auto"/>
              </w:rPr>
              <w:t>, and by improving the business case for injecting gas into Rough in advance of the coming Winter.</w:t>
            </w:r>
            <w:r>
              <w:rPr>
                <w:rFonts w:cs="Arial"/>
                <w:color w:val="auto"/>
              </w:rPr>
              <w:t xml:space="preserve"> </w:t>
            </w:r>
          </w:p>
        </w:tc>
        <w:tc>
          <w:tcPr>
            <w:tcW w:w="1731" w:type="dxa"/>
            <w:tcBorders>
              <w:top w:val="single" w:sz="8" w:space="0" w:color="CCE0DA"/>
              <w:left w:val="single" w:sz="8" w:space="0" w:color="CCE0DA"/>
              <w:bottom w:val="single" w:sz="8" w:space="0" w:color="CCE0DA"/>
              <w:right w:val="single" w:sz="12" w:space="0" w:color="CCE0DA"/>
            </w:tcBorders>
          </w:tcPr>
          <w:p w14:paraId="71FA859A" w14:textId="77777777" w:rsidR="00BE1FA8" w:rsidRDefault="00BE1FA8" w:rsidP="00BE1FA8">
            <w:pPr>
              <w:ind w:left="113"/>
            </w:pPr>
            <w:r>
              <w:t>Positive</w:t>
            </w:r>
          </w:p>
          <w:p w14:paraId="32E468F8" w14:textId="77777777" w:rsidR="00936FDF" w:rsidRPr="00A90299" w:rsidRDefault="00936FDF" w:rsidP="00A90299">
            <w:pPr>
              <w:ind w:left="113"/>
            </w:pPr>
          </w:p>
        </w:tc>
      </w:tr>
      <w:tr w:rsidR="00936FDF" w14:paraId="279AF6CC" w14:textId="77777777" w:rsidTr="005917AD">
        <w:trPr>
          <w:cantSplit/>
          <w:trHeight w:val="404"/>
        </w:trPr>
        <w:tc>
          <w:tcPr>
            <w:tcW w:w="8207" w:type="dxa"/>
            <w:tcBorders>
              <w:top w:val="single" w:sz="8" w:space="0" w:color="CCE0DA"/>
              <w:left w:val="single" w:sz="12" w:space="0" w:color="CCE0DA"/>
              <w:bottom w:val="single" w:sz="8" w:space="0" w:color="CCE0DA"/>
              <w:right w:val="single" w:sz="8" w:space="0" w:color="CCE0DA"/>
            </w:tcBorders>
          </w:tcPr>
          <w:p w14:paraId="173BDDE1" w14:textId="77777777" w:rsidR="00936FDF" w:rsidRDefault="00936FDF" w:rsidP="00A90299">
            <w:pPr>
              <w:pStyle w:val="Tablebodycopy"/>
              <w:spacing w:before="120"/>
              <w:ind w:right="57"/>
              <w:rPr>
                <w:rFonts w:cs="Arial"/>
                <w:bCs/>
                <w:iCs/>
              </w:rPr>
            </w:pPr>
            <w:r w:rsidRPr="00A90299">
              <w:rPr>
                <w:rFonts w:cs="Arial"/>
                <w:bCs/>
                <w:iCs/>
              </w:rPr>
              <w:t>Lower bills than would otherwise be the case</w:t>
            </w:r>
          </w:p>
          <w:p w14:paraId="6EBBB39D" w14:textId="6D9C2506" w:rsidR="00AF2CAB" w:rsidRPr="00A90299" w:rsidRDefault="003906B1" w:rsidP="00A7740F">
            <w:pPr>
              <w:pStyle w:val="Tablebodycopy"/>
              <w:spacing w:before="120"/>
              <w:ind w:right="57"/>
              <w:jc w:val="both"/>
              <w:rPr>
                <w:rFonts w:cs="Arial"/>
                <w:bCs/>
                <w:iCs/>
              </w:rPr>
            </w:pPr>
            <w:r>
              <w:rPr>
                <w:rFonts w:cs="Arial"/>
                <w:color w:val="auto"/>
              </w:rPr>
              <w:t xml:space="preserve">Where Rough withdrawals set the marginal cost of supply, this will reduce the wholesale price of gas, which in turn should feed through to lowering customer bills. If Rough is not the marginal supplier of gas, its contribution to the supply stack will dilute the potential from relying on alternative high priced marginal supplies. </w:t>
            </w:r>
            <w:r w:rsidR="00B83B08">
              <w:rPr>
                <w:rFonts w:cs="Arial"/>
                <w:color w:val="auto"/>
              </w:rPr>
              <w:t>Again,</w:t>
            </w:r>
            <w:r>
              <w:rPr>
                <w:rFonts w:cs="Arial"/>
                <w:color w:val="auto"/>
              </w:rPr>
              <w:t xml:space="preserve"> this will feed through to the wholesale price of gas.</w:t>
            </w:r>
          </w:p>
        </w:tc>
        <w:tc>
          <w:tcPr>
            <w:tcW w:w="1731" w:type="dxa"/>
            <w:tcBorders>
              <w:top w:val="single" w:sz="8" w:space="0" w:color="CCE0DA"/>
              <w:left w:val="single" w:sz="8" w:space="0" w:color="CCE0DA"/>
              <w:bottom w:val="single" w:sz="8" w:space="0" w:color="CCE0DA"/>
              <w:right w:val="single" w:sz="12" w:space="0" w:color="CCE0DA"/>
            </w:tcBorders>
          </w:tcPr>
          <w:p w14:paraId="31E674B0" w14:textId="77777777" w:rsidR="00BE1FA8" w:rsidRDefault="00BE1FA8" w:rsidP="00BE1FA8">
            <w:pPr>
              <w:ind w:left="113"/>
            </w:pPr>
            <w:r>
              <w:t>Positive</w:t>
            </w:r>
          </w:p>
          <w:p w14:paraId="71175814" w14:textId="77777777" w:rsidR="00936FDF" w:rsidRPr="00A90299" w:rsidRDefault="00936FDF" w:rsidP="00A90299">
            <w:pPr>
              <w:ind w:left="113"/>
              <w:rPr>
                <w:rFonts w:cs="Arial"/>
                <w:bCs/>
                <w:i/>
                <w:color w:val="00B274"/>
              </w:rPr>
            </w:pPr>
          </w:p>
        </w:tc>
      </w:tr>
      <w:tr w:rsidR="00936FDF" w14:paraId="05606D92" w14:textId="77777777" w:rsidTr="005917AD">
        <w:trPr>
          <w:cantSplit/>
          <w:trHeight w:val="404"/>
        </w:trPr>
        <w:tc>
          <w:tcPr>
            <w:tcW w:w="8207" w:type="dxa"/>
            <w:tcBorders>
              <w:top w:val="single" w:sz="8" w:space="0" w:color="CCE0DA"/>
              <w:left w:val="single" w:sz="12" w:space="0" w:color="CCE0DA"/>
              <w:bottom w:val="single" w:sz="8" w:space="0" w:color="CCE0DA"/>
              <w:right w:val="single" w:sz="8" w:space="0" w:color="CCE0DA"/>
            </w:tcBorders>
          </w:tcPr>
          <w:p w14:paraId="714878D1" w14:textId="79C671BD" w:rsidR="006C4B34" w:rsidRPr="00A90299" w:rsidRDefault="00936FDF" w:rsidP="00632F18">
            <w:pPr>
              <w:pStyle w:val="Tablebodycopy"/>
              <w:spacing w:before="120"/>
              <w:ind w:right="57"/>
              <w:rPr>
                <w:rFonts w:cs="Arial"/>
                <w:bCs/>
                <w:iCs/>
              </w:rPr>
            </w:pPr>
            <w:r w:rsidRPr="00A90299">
              <w:rPr>
                <w:rFonts w:cs="Arial"/>
                <w:bCs/>
                <w:iCs/>
              </w:rPr>
              <w:t>Reduced environmental damage</w:t>
            </w:r>
          </w:p>
        </w:tc>
        <w:tc>
          <w:tcPr>
            <w:tcW w:w="1731" w:type="dxa"/>
            <w:tcBorders>
              <w:top w:val="single" w:sz="8" w:space="0" w:color="CCE0DA"/>
              <w:left w:val="single" w:sz="8" w:space="0" w:color="CCE0DA"/>
              <w:bottom w:val="single" w:sz="8" w:space="0" w:color="CCE0DA"/>
              <w:right w:val="single" w:sz="12" w:space="0" w:color="CCE0DA"/>
            </w:tcBorders>
          </w:tcPr>
          <w:p w14:paraId="044FD30E" w14:textId="77777777" w:rsidR="00936FDF" w:rsidRPr="00A90299" w:rsidRDefault="006C4B34" w:rsidP="00A90299">
            <w:pPr>
              <w:ind w:left="113" w:right="57"/>
              <w:rPr>
                <w:rFonts w:cs="Arial"/>
                <w:bCs/>
                <w:i/>
                <w:color w:val="FF0000"/>
              </w:rPr>
            </w:pPr>
            <w:r w:rsidRPr="00087004">
              <w:rPr>
                <w:rFonts w:cs="Arial"/>
              </w:rPr>
              <w:t>None</w:t>
            </w:r>
          </w:p>
        </w:tc>
      </w:tr>
      <w:tr w:rsidR="00936FDF" w14:paraId="7A4E49BD" w14:textId="77777777" w:rsidTr="005917AD">
        <w:trPr>
          <w:cantSplit/>
          <w:trHeight w:val="404"/>
        </w:trPr>
        <w:tc>
          <w:tcPr>
            <w:tcW w:w="8207" w:type="dxa"/>
            <w:tcBorders>
              <w:top w:val="single" w:sz="8" w:space="0" w:color="CCE0DA"/>
              <w:left w:val="single" w:sz="12" w:space="0" w:color="CCE0DA"/>
              <w:bottom w:val="single" w:sz="8" w:space="0" w:color="CCE0DA"/>
              <w:right w:val="single" w:sz="8" w:space="0" w:color="CCE0DA"/>
            </w:tcBorders>
          </w:tcPr>
          <w:p w14:paraId="564F81AF" w14:textId="7797B070" w:rsidR="0036715B" w:rsidRPr="00A90299" w:rsidRDefault="00936FDF" w:rsidP="00632F18">
            <w:pPr>
              <w:pStyle w:val="Tablebodycopy"/>
              <w:spacing w:before="120"/>
              <w:ind w:right="57"/>
              <w:rPr>
                <w:rFonts w:cs="Arial"/>
                <w:bCs/>
                <w:iCs/>
              </w:rPr>
            </w:pPr>
            <w:r w:rsidRPr="00A90299">
              <w:rPr>
                <w:rFonts w:cs="Arial"/>
                <w:bCs/>
                <w:iCs/>
              </w:rPr>
              <w:t>Improved quality of service</w:t>
            </w:r>
          </w:p>
        </w:tc>
        <w:tc>
          <w:tcPr>
            <w:tcW w:w="1731" w:type="dxa"/>
            <w:tcBorders>
              <w:top w:val="single" w:sz="8" w:space="0" w:color="CCE0DA"/>
              <w:left w:val="single" w:sz="8" w:space="0" w:color="CCE0DA"/>
              <w:bottom w:val="single" w:sz="8" w:space="0" w:color="CCE0DA"/>
              <w:right w:val="single" w:sz="12" w:space="0" w:color="CCE0DA"/>
            </w:tcBorders>
          </w:tcPr>
          <w:p w14:paraId="432EED31" w14:textId="77777777" w:rsidR="00936FDF" w:rsidRPr="00A90299" w:rsidRDefault="00BE1FA8" w:rsidP="00A90299">
            <w:pPr>
              <w:ind w:left="113"/>
            </w:pPr>
            <w:r>
              <w:t>None</w:t>
            </w:r>
          </w:p>
        </w:tc>
      </w:tr>
      <w:tr w:rsidR="00936FDF" w14:paraId="17ECFC70" w14:textId="77777777" w:rsidTr="005917AD">
        <w:trPr>
          <w:cantSplit/>
          <w:trHeight w:val="404"/>
        </w:trPr>
        <w:tc>
          <w:tcPr>
            <w:tcW w:w="8207" w:type="dxa"/>
            <w:tcBorders>
              <w:top w:val="single" w:sz="8" w:space="0" w:color="CCE0DA"/>
              <w:left w:val="single" w:sz="12" w:space="0" w:color="CCE0DA"/>
              <w:bottom w:val="single" w:sz="8" w:space="0" w:color="CCE0DA"/>
              <w:right w:val="single" w:sz="8" w:space="0" w:color="CCE0DA"/>
            </w:tcBorders>
          </w:tcPr>
          <w:p w14:paraId="286FC8CE" w14:textId="77777777" w:rsidR="00936FDF" w:rsidRDefault="00936FDF" w:rsidP="00A90299">
            <w:pPr>
              <w:pStyle w:val="Tablebodycopy"/>
              <w:spacing w:before="120"/>
              <w:ind w:right="57"/>
              <w:rPr>
                <w:rFonts w:cs="Arial"/>
                <w:bCs/>
                <w:iCs/>
              </w:rPr>
            </w:pPr>
            <w:bookmarkStart w:id="9" w:name="_Hlk132643336"/>
            <w:r w:rsidRPr="00A90299">
              <w:rPr>
                <w:rFonts w:cs="Arial"/>
                <w:bCs/>
                <w:iCs/>
              </w:rPr>
              <w:t>Benefits for society as a whole</w:t>
            </w:r>
          </w:p>
          <w:p w14:paraId="63774519" w14:textId="77777777" w:rsidR="0036715B" w:rsidRPr="00A90299" w:rsidRDefault="003906B1" w:rsidP="00A7740F">
            <w:pPr>
              <w:pStyle w:val="Tablebodycopy"/>
              <w:spacing w:before="120"/>
              <w:ind w:right="57"/>
              <w:jc w:val="both"/>
              <w:rPr>
                <w:rFonts w:cs="Arial"/>
                <w:bCs/>
                <w:iCs/>
                <w:color w:val="auto"/>
              </w:rPr>
            </w:pPr>
            <w:r>
              <w:rPr>
                <w:rFonts w:cs="Arial"/>
                <w:color w:val="auto"/>
              </w:rPr>
              <w:t>Enhancements to security of supply and dampening of the cost of gas will provide benefits to all sectors of the economy.</w:t>
            </w:r>
          </w:p>
        </w:tc>
        <w:tc>
          <w:tcPr>
            <w:tcW w:w="1731" w:type="dxa"/>
            <w:tcBorders>
              <w:top w:val="single" w:sz="8" w:space="0" w:color="CCE0DA"/>
              <w:left w:val="single" w:sz="8" w:space="0" w:color="CCE0DA"/>
              <w:bottom w:val="single" w:sz="8" w:space="0" w:color="CCE0DA"/>
              <w:right w:val="single" w:sz="12" w:space="0" w:color="CCE0DA"/>
            </w:tcBorders>
          </w:tcPr>
          <w:p w14:paraId="71A2CE1C" w14:textId="363FCBA3" w:rsidR="00BE1FA8" w:rsidRDefault="006E351A" w:rsidP="00A90299">
            <w:pPr>
              <w:ind w:left="113"/>
            </w:pPr>
            <w:r>
              <w:t>Positive</w:t>
            </w:r>
          </w:p>
          <w:p w14:paraId="0DC9F5F2" w14:textId="77777777" w:rsidR="00936FDF" w:rsidRPr="00A90299" w:rsidRDefault="00936FDF" w:rsidP="00A90299">
            <w:pPr>
              <w:ind w:left="113"/>
              <w:rPr>
                <w:rFonts w:cs="Arial"/>
              </w:rPr>
            </w:pPr>
          </w:p>
        </w:tc>
      </w:tr>
    </w:tbl>
    <w:bookmarkEnd w:id="9"/>
    <w:p w14:paraId="22FA76D3" w14:textId="77777777" w:rsidR="00536E8C" w:rsidRPr="00347428" w:rsidRDefault="00536E8C" w:rsidP="00536E8C">
      <w:pPr>
        <w:spacing w:before="240"/>
        <w:rPr>
          <w:rFonts w:cs="Arial"/>
          <w:b/>
          <w:bCs/>
          <w:color w:val="008576"/>
          <w:sz w:val="24"/>
          <w:szCs w:val="28"/>
        </w:rPr>
      </w:pPr>
      <w:r w:rsidRPr="00347428">
        <w:rPr>
          <w:rFonts w:cs="Arial"/>
          <w:b/>
          <w:bCs/>
          <w:color w:val="008576"/>
          <w:sz w:val="24"/>
          <w:szCs w:val="28"/>
        </w:rPr>
        <w:t>Performance Assurance Considerations</w:t>
      </w:r>
    </w:p>
    <w:p w14:paraId="1198B889" w14:textId="419CBB7C" w:rsidR="00536E8C" w:rsidRDefault="00BD7115" w:rsidP="00536E8C">
      <w:pPr>
        <w:rPr>
          <w:rFonts w:cs="Arial"/>
        </w:rPr>
      </w:pPr>
      <w:r w:rsidRPr="00BD7115">
        <w:rPr>
          <w:rFonts w:cs="Arial"/>
        </w:rPr>
        <w:t>There are no PAC considerations.</w:t>
      </w:r>
    </w:p>
    <w:p w14:paraId="799D1F03"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Cross</w:t>
      </w:r>
      <w:r w:rsidR="00172837">
        <w:rPr>
          <w:rFonts w:ascii="Arial" w:eastAsia="Times New Roman" w:hAnsi="Arial" w:cs="Arial"/>
          <w:i w:val="0"/>
          <w:iCs w:val="0"/>
          <w:color w:val="008576"/>
          <w:sz w:val="24"/>
          <w:szCs w:val="28"/>
        </w:rPr>
        <w:t>-</w:t>
      </w:r>
      <w:r w:rsidRPr="00CA74C4">
        <w:rPr>
          <w:rFonts w:ascii="Arial" w:eastAsia="Times New Roman" w:hAnsi="Arial" w:cs="Arial"/>
          <w:i w:val="0"/>
          <w:iCs w:val="0"/>
          <w:color w:val="008576"/>
          <w:sz w:val="24"/>
          <w:szCs w:val="28"/>
        </w:rPr>
        <w:t>Code Impacts</w:t>
      </w:r>
    </w:p>
    <w:p w14:paraId="1BBBBD7D" w14:textId="77777777" w:rsidR="00676075" w:rsidRPr="008D7EFA" w:rsidRDefault="003906B1" w:rsidP="00500B49">
      <w:pPr>
        <w:rPr>
          <w:rFonts w:cs="Arial"/>
        </w:rPr>
      </w:pPr>
      <w:r>
        <w:rPr>
          <w:rFonts w:cs="Arial"/>
        </w:rPr>
        <w:t>None</w:t>
      </w:r>
    </w:p>
    <w:p w14:paraId="0C612095"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EU Code Impacts</w:t>
      </w:r>
    </w:p>
    <w:p w14:paraId="052BA224" w14:textId="5CF199EC" w:rsidR="00676075" w:rsidRPr="00CA74C4" w:rsidRDefault="003906B1" w:rsidP="00A7740F">
      <w:pPr>
        <w:jc w:val="both"/>
        <w:rPr>
          <w:rFonts w:cs="Arial"/>
        </w:rPr>
      </w:pPr>
      <w:r>
        <w:rPr>
          <w:rFonts w:cs="Arial"/>
        </w:rPr>
        <w:t>None</w:t>
      </w:r>
      <w:r w:rsidR="00D03F97">
        <w:rPr>
          <w:rFonts w:cs="Arial"/>
        </w:rPr>
        <w:t>. Existing capacity bookings are retained for use</w:t>
      </w:r>
      <w:r w:rsidR="00242E07">
        <w:rPr>
          <w:rFonts w:cs="Arial"/>
        </w:rPr>
        <w:t>,</w:t>
      </w:r>
      <w:r w:rsidR="00D03F97">
        <w:rPr>
          <w:rFonts w:cs="Arial"/>
        </w:rPr>
        <w:t xml:space="preserve"> for the purposes</w:t>
      </w:r>
      <w:r w:rsidR="00242E07">
        <w:rPr>
          <w:rFonts w:cs="Arial"/>
        </w:rPr>
        <w:t>,</w:t>
      </w:r>
      <w:r w:rsidR="00D03F97">
        <w:rPr>
          <w:rFonts w:cs="Arial"/>
        </w:rPr>
        <w:t xml:space="preserve"> and at the </w:t>
      </w:r>
      <w:r w:rsidR="00242E07">
        <w:rPr>
          <w:rFonts w:cs="Arial"/>
        </w:rPr>
        <w:t xml:space="preserve">physical System Entry Points, for </w:t>
      </w:r>
      <w:r w:rsidR="00D03F97">
        <w:rPr>
          <w:rFonts w:cs="Arial"/>
        </w:rPr>
        <w:t>which the</w:t>
      </w:r>
      <w:r w:rsidR="00242E07">
        <w:rPr>
          <w:rFonts w:cs="Arial"/>
        </w:rPr>
        <w:t>y</w:t>
      </w:r>
      <w:r w:rsidR="00D03F97">
        <w:rPr>
          <w:rFonts w:cs="Arial"/>
        </w:rPr>
        <w:t xml:space="preserve"> were acquired prior to the introduction of </w:t>
      </w:r>
      <w:r w:rsidR="00242E07">
        <w:rPr>
          <w:rFonts w:cs="Arial"/>
        </w:rPr>
        <w:t xml:space="preserve">the </w:t>
      </w:r>
      <w:r w:rsidR="00242E07" w:rsidRPr="00242E07">
        <w:rPr>
          <w:rFonts w:cs="Arial"/>
        </w:rPr>
        <w:t>EU Tariff Code</w:t>
      </w:r>
      <w:r w:rsidR="00242E07">
        <w:rPr>
          <w:rFonts w:cs="Arial"/>
        </w:rPr>
        <w:t xml:space="preserve">. Hence there is no impact on the </w:t>
      </w:r>
      <w:r w:rsidR="00242E07">
        <w:rPr>
          <w:rFonts w:cs="Arial"/>
          <w:szCs w:val="20"/>
        </w:rPr>
        <w:t xml:space="preserve">levels of transmission tariffs resulting from contracts or capacity bookings concluded before </w:t>
      </w:r>
      <w:r w:rsidR="0091665F">
        <w:rPr>
          <w:rFonts w:cs="Arial"/>
          <w:szCs w:val="20"/>
        </w:rPr>
        <w:t>0</w:t>
      </w:r>
      <w:r w:rsidR="00242E07">
        <w:rPr>
          <w:rFonts w:cs="Arial"/>
          <w:szCs w:val="20"/>
        </w:rPr>
        <w:t>6 April 2017</w:t>
      </w:r>
      <w:r w:rsidR="00D03F97">
        <w:rPr>
          <w:rFonts w:cs="Arial"/>
        </w:rPr>
        <w:t xml:space="preserve">. </w:t>
      </w:r>
      <w:r w:rsidR="003D6D83">
        <w:rPr>
          <w:rFonts w:cs="Arial"/>
        </w:rPr>
        <w:t xml:space="preserve">Charges for Capacity acquired after that date are also unaffected. </w:t>
      </w:r>
      <w:r w:rsidR="00127709">
        <w:rPr>
          <w:rFonts w:cs="Arial"/>
        </w:rPr>
        <w:t xml:space="preserve"> </w:t>
      </w:r>
      <w:r w:rsidR="00131DF3">
        <w:rPr>
          <w:rFonts w:cs="Arial"/>
        </w:rPr>
        <w:t xml:space="preserve">  </w:t>
      </w:r>
    </w:p>
    <w:p w14:paraId="75F7E06B"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Central Systems Impacts</w:t>
      </w:r>
    </w:p>
    <w:p w14:paraId="4169628E" w14:textId="4D41DE80" w:rsidR="006B16FB" w:rsidRDefault="008529E6" w:rsidP="00A7740F">
      <w:pPr>
        <w:jc w:val="both"/>
        <w:rPr>
          <w:rFonts w:cs="Arial"/>
        </w:rPr>
      </w:pPr>
      <w:r>
        <w:rPr>
          <w:rFonts w:cs="Arial"/>
        </w:rPr>
        <w:t>Implementation of Modif</w:t>
      </w:r>
      <w:r w:rsidR="00F13DAF">
        <w:rPr>
          <w:rFonts w:cs="Arial"/>
        </w:rPr>
        <w:t>i</w:t>
      </w:r>
      <w:r>
        <w:rPr>
          <w:rFonts w:cs="Arial"/>
        </w:rPr>
        <w:t xml:space="preserve">cation </w:t>
      </w:r>
      <w:r w:rsidR="00F96455">
        <w:rPr>
          <w:rFonts w:cs="Arial"/>
        </w:rPr>
        <w:t xml:space="preserve">is not anticipated to have a </w:t>
      </w:r>
      <w:r w:rsidR="00F13DAF">
        <w:rPr>
          <w:rFonts w:cs="Arial"/>
        </w:rPr>
        <w:t xml:space="preserve">material impact on the central systems. The same processes as were used </w:t>
      </w:r>
      <w:r w:rsidR="00206321">
        <w:rPr>
          <w:rFonts w:cs="Arial"/>
        </w:rPr>
        <w:t>to implement UNC</w:t>
      </w:r>
      <w:r w:rsidR="00104CFB">
        <w:rPr>
          <w:rFonts w:cs="Arial"/>
        </w:rPr>
        <w:t xml:space="preserve"> 0</w:t>
      </w:r>
      <w:r w:rsidR="00206321">
        <w:rPr>
          <w:rFonts w:cs="Arial"/>
        </w:rPr>
        <w:t>817</w:t>
      </w:r>
      <w:r w:rsidR="00104CFB">
        <w:rPr>
          <w:rFonts w:cs="Arial"/>
        </w:rPr>
        <w:t>, and subsequently UNC 0846</w:t>
      </w:r>
      <w:r w:rsidR="00206321">
        <w:rPr>
          <w:rFonts w:cs="Arial"/>
        </w:rPr>
        <w:t xml:space="preserve"> can be redeployed</w:t>
      </w:r>
      <w:r w:rsidR="00F96455">
        <w:rPr>
          <w:rFonts w:cs="Arial"/>
        </w:rPr>
        <w:t xml:space="preserve">, </w:t>
      </w:r>
      <w:r w:rsidR="003D6D83">
        <w:rPr>
          <w:rFonts w:cs="Arial"/>
        </w:rPr>
        <w:t xml:space="preserve">so that </w:t>
      </w:r>
      <w:r w:rsidR="008B50FB">
        <w:rPr>
          <w:rFonts w:cs="Arial"/>
        </w:rPr>
        <w:t>CESL</w:t>
      </w:r>
      <w:r w:rsidR="003D6D83">
        <w:rPr>
          <w:rFonts w:cs="Arial"/>
        </w:rPr>
        <w:t xml:space="preserve"> and, if required, other Users holding capacity </w:t>
      </w:r>
      <w:r w:rsidR="00F96455">
        <w:rPr>
          <w:rFonts w:cs="Arial"/>
        </w:rPr>
        <w:t>acquired before</w:t>
      </w:r>
      <w:r w:rsidR="00F96455" w:rsidRPr="00F96455">
        <w:rPr>
          <w:rFonts w:cs="Arial"/>
        </w:rPr>
        <w:t xml:space="preserve"> </w:t>
      </w:r>
      <w:r w:rsidR="003D6D83" w:rsidRPr="003D6D83">
        <w:rPr>
          <w:rFonts w:cs="Arial"/>
        </w:rPr>
        <w:t>the Tariff Regulation Effective Date</w:t>
      </w:r>
      <w:r w:rsidR="003D6D83">
        <w:rPr>
          <w:rFonts w:cs="Arial"/>
        </w:rPr>
        <w:t xml:space="preserve"> can </w:t>
      </w:r>
      <w:r w:rsidR="00FE10C0">
        <w:rPr>
          <w:rFonts w:cs="Arial"/>
        </w:rPr>
        <w:t>redesignate it for use at the new Rough ASEP</w:t>
      </w:r>
      <w:r w:rsidR="0091665F">
        <w:rPr>
          <w:rFonts w:cs="Arial"/>
        </w:rPr>
        <w:t xml:space="preserve">. </w:t>
      </w:r>
      <w:r w:rsidR="00206321">
        <w:rPr>
          <w:rFonts w:cs="Arial"/>
        </w:rPr>
        <w:t>These involve</w:t>
      </w:r>
      <w:r w:rsidR="00F13DAF">
        <w:rPr>
          <w:rFonts w:cs="Arial"/>
        </w:rPr>
        <w:t xml:space="preserve"> </w:t>
      </w:r>
      <w:r w:rsidR="006B16FB">
        <w:rPr>
          <w:rFonts w:cs="Arial"/>
        </w:rPr>
        <w:t>manag</w:t>
      </w:r>
      <w:r>
        <w:rPr>
          <w:rFonts w:cs="Arial"/>
        </w:rPr>
        <w:t xml:space="preserve">ing </w:t>
      </w:r>
      <w:r w:rsidR="00127709">
        <w:rPr>
          <w:rFonts w:cs="Arial"/>
        </w:rPr>
        <w:t xml:space="preserve">Users’ </w:t>
      </w:r>
      <w:r w:rsidR="006B16FB">
        <w:rPr>
          <w:rFonts w:cs="Arial"/>
        </w:rPr>
        <w:t xml:space="preserve">monthly </w:t>
      </w:r>
      <w:r w:rsidR="00127709">
        <w:rPr>
          <w:rFonts w:cs="Arial"/>
        </w:rPr>
        <w:t xml:space="preserve">redesignation </w:t>
      </w:r>
      <w:r w:rsidR="006B16FB">
        <w:rPr>
          <w:rFonts w:cs="Arial"/>
        </w:rPr>
        <w:t>nominations and mak</w:t>
      </w:r>
      <w:r>
        <w:rPr>
          <w:rFonts w:cs="Arial"/>
        </w:rPr>
        <w:t xml:space="preserve">ing </w:t>
      </w:r>
      <w:r w:rsidR="006B16FB">
        <w:rPr>
          <w:rFonts w:cs="Arial"/>
        </w:rPr>
        <w:t>the consequent adjustment</w:t>
      </w:r>
      <w:r w:rsidR="00127709">
        <w:rPr>
          <w:rFonts w:cs="Arial"/>
        </w:rPr>
        <w:t>s</w:t>
      </w:r>
      <w:r w:rsidR="006B16FB">
        <w:rPr>
          <w:rFonts w:cs="Arial"/>
        </w:rPr>
        <w:t xml:space="preserve"> to the values of </w:t>
      </w:r>
      <w:r w:rsidR="00127709">
        <w:rPr>
          <w:rFonts w:cs="Arial"/>
        </w:rPr>
        <w:t xml:space="preserve">the User’s </w:t>
      </w:r>
      <w:r w:rsidR="00127709" w:rsidRPr="00127709">
        <w:rPr>
          <w:rFonts w:cs="Arial"/>
        </w:rPr>
        <w:t>Available System Capacity</w:t>
      </w:r>
      <w:r w:rsidR="00127709">
        <w:rPr>
          <w:rFonts w:cs="Arial"/>
        </w:rPr>
        <w:t xml:space="preserve">, </w:t>
      </w:r>
      <w:r w:rsidR="006B16FB" w:rsidRPr="006B16FB">
        <w:rPr>
          <w:rFonts w:cs="Arial"/>
        </w:rPr>
        <w:lastRenderedPageBreak/>
        <w:t xml:space="preserve">Fully Adjusted Available NTS Entry Capacity, Existing Registered Holding and Existing Available Holding at the </w:t>
      </w:r>
      <w:r w:rsidR="006B16FB">
        <w:rPr>
          <w:rFonts w:cs="Arial"/>
        </w:rPr>
        <w:t xml:space="preserve">Easington and </w:t>
      </w:r>
      <w:r w:rsidR="006B16FB" w:rsidRPr="006B16FB">
        <w:rPr>
          <w:rFonts w:cs="Arial"/>
        </w:rPr>
        <w:t>Rough Storage ASEP</w:t>
      </w:r>
      <w:r w:rsidR="006B16FB">
        <w:rPr>
          <w:rFonts w:cs="Arial"/>
        </w:rPr>
        <w:t>s</w:t>
      </w:r>
      <w:r w:rsidR="00206321">
        <w:rPr>
          <w:rFonts w:cs="Arial"/>
        </w:rPr>
        <w:t>.</w:t>
      </w:r>
      <w:r w:rsidR="003D6D83">
        <w:rPr>
          <w:rFonts w:cs="Arial"/>
        </w:rPr>
        <w:t xml:space="preserve"> </w:t>
      </w:r>
    </w:p>
    <w:p w14:paraId="28FF76DA" w14:textId="77777777" w:rsidR="00345CAD" w:rsidRDefault="00345CAD" w:rsidP="00345CAD">
      <w:pPr>
        <w:spacing w:before="240"/>
        <w:rPr>
          <w:rFonts w:cs="Arial"/>
          <w:bCs/>
          <w:i/>
          <w:iCs/>
          <w:color w:val="00B274"/>
          <w:szCs w:val="20"/>
        </w:rPr>
      </w:pPr>
      <w:r>
        <w:rPr>
          <w:rFonts w:cs="Arial"/>
          <w:b/>
          <w:iCs/>
          <w:color w:val="008576"/>
          <w:sz w:val="24"/>
          <w:szCs w:val="28"/>
        </w:rPr>
        <w:t>Rough Order of Magnitude (ROM) Assessment</w:t>
      </w:r>
      <w:r>
        <w:rPr>
          <w:rFonts w:cs="Arial"/>
          <w:i/>
          <w:iCs/>
          <w:color w:val="008576"/>
          <w:sz w:val="24"/>
          <w:szCs w:val="28"/>
        </w:rPr>
        <w:t xml:space="preserve"> </w:t>
      </w:r>
      <w:r w:rsidRPr="001A298C">
        <w:rPr>
          <w:rFonts w:cs="Arial"/>
          <w:bCs/>
          <w:i/>
          <w:iCs/>
          <w:color w:val="00B274"/>
          <w:szCs w:val="20"/>
        </w:rPr>
        <w:t>(Cost estimate from CDSP)</w:t>
      </w:r>
      <w:r>
        <w:rPr>
          <w:rFonts w:cs="Arial"/>
          <w:bCs/>
          <w:i/>
          <w:iCs/>
          <w:color w:val="00B274"/>
          <w:szCs w:val="20"/>
        </w:rPr>
        <w:t xml:space="preserve"> </w:t>
      </w:r>
    </w:p>
    <w:p w14:paraId="6B7F5B77" w14:textId="77777777" w:rsidR="00345CAD" w:rsidRPr="00E043A1" w:rsidRDefault="00345CAD" w:rsidP="00345CAD">
      <w:pPr>
        <w:pStyle w:val="Heading4"/>
        <w:keepLines w:val="0"/>
        <w:numPr>
          <w:ilvl w:val="0"/>
          <w:numId w:val="0"/>
        </w:numPr>
        <w:spacing w:before="120"/>
        <w:rPr>
          <w:rFonts w:ascii="Arial" w:eastAsia="Times New Roman" w:hAnsi="Arial" w:cs="Arial"/>
          <w:b w:val="0"/>
          <w:bCs w:val="0"/>
          <w:iCs w:val="0"/>
          <w:color w:val="00B274"/>
          <w:szCs w:val="20"/>
        </w:rPr>
      </w:pPr>
      <w:r w:rsidRPr="00E043A1">
        <w:rPr>
          <w:rFonts w:ascii="Arial" w:eastAsia="Times New Roman" w:hAnsi="Arial" w:cs="Arial"/>
          <w:b w:val="0"/>
          <w:bCs w:val="0"/>
          <w:iCs w:val="0"/>
          <w:color w:val="00B274"/>
          <w:szCs w:val="20"/>
        </w:rPr>
        <w:t>Cost estimate from CDSP where the Modification relates to a change to a CDSP Service Document</w:t>
      </w:r>
    </w:p>
    <w:p w14:paraId="0FE4CF02" w14:textId="77777777" w:rsidR="00345CAD" w:rsidRDefault="00345CAD" w:rsidP="00345CAD">
      <w:pPr>
        <w:rPr>
          <w:rFonts w:cs="Arial"/>
        </w:rPr>
      </w:pPr>
      <w:r w:rsidRPr="008D54E0">
        <w:rPr>
          <w:rFonts w:cs="Arial"/>
        </w:rPr>
        <w:t>Insert text here</w:t>
      </w:r>
      <w:r>
        <w:rPr>
          <w:rFonts w:cs="Arial"/>
        </w:rPr>
        <w:t>.</w:t>
      </w:r>
    </w:p>
    <w:p w14:paraId="3982274F" w14:textId="77777777" w:rsidR="00345CAD" w:rsidRDefault="00345CAD" w:rsidP="00345CAD">
      <w:pPr>
        <w:keepNext/>
        <w:spacing w:before="240"/>
        <w:outlineLvl w:val="3"/>
        <w:rPr>
          <w:rFonts w:cs="Arial"/>
          <w:bCs/>
          <w:i/>
          <w:iCs/>
          <w:color w:val="00B274"/>
          <w:szCs w:val="20"/>
        </w:rPr>
      </w:pPr>
      <w:r w:rsidRPr="0043180B">
        <w:rPr>
          <w:rFonts w:cs="Arial"/>
          <w:b/>
          <w:bCs/>
          <w:color w:val="008576"/>
          <w:sz w:val="24"/>
          <w:szCs w:val="28"/>
        </w:rPr>
        <w:t xml:space="preserve">Initial Representations </w:t>
      </w:r>
      <w:r w:rsidRPr="00E337D4">
        <w:rPr>
          <w:rFonts w:cs="Arial"/>
          <w:i/>
          <w:iCs/>
          <w:color w:val="00B274"/>
          <w:szCs w:val="20"/>
        </w:rPr>
        <w:t>(Joint Office to complete)</w:t>
      </w:r>
    </w:p>
    <w:p w14:paraId="512ADDC9" w14:textId="77777777" w:rsidR="00345CAD" w:rsidRPr="00B32D70" w:rsidRDefault="00345CAD" w:rsidP="00345CAD">
      <w:pPr>
        <w:pStyle w:val="Heading4"/>
        <w:keepLines w:val="0"/>
        <w:numPr>
          <w:ilvl w:val="0"/>
          <w:numId w:val="0"/>
        </w:numPr>
        <w:spacing w:before="120"/>
        <w:rPr>
          <w:rFonts w:ascii="Arial" w:eastAsia="Times New Roman" w:hAnsi="Arial" w:cs="Arial"/>
          <w:b w:val="0"/>
          <w:bCs w:val="0"/>
          <w:iCs w:val="0"/>
          <w:color w:val="00B274"/>
          <w:szCs w:val="20"/>
        </w:rPr>
      </w:pPr>
      <w:r w:rsidRPr="00B32D70">
        <w:rPr>
          <w:rFonts w:ascii="Arial" w:eastAsia="Times New Roman" w:hAnsi="Arial" w:cs="Arial"/>
          <w:b w:val="0"/>
          <w:bCs w:val="0"/>
          <w:iCs w:val="0"/>
          <w:color w:val="00B274"/>
          <w:szCs w:val="20"/>
        </w:rPr>
        <w:t xml:space="preserve">The Workgroup </w:t>
      </w:r>
      <w:r>
        <w:rPr>
          <w:rFonts w:ascii="Arial" w:eastAsia="Times New Roman" w:hAnsi="Arial" w:cs="Arial"/>
          <w:b w:val="0"/>
          <w:bCs w:val="0"/>
          <w:iCs w:val="0"/>
          <w:color w:val="00B274"/>
          <w:szCs w:val="20"/>
        </w:rPr>
        <w:t>must provide an assessment against any Initial Representations.  The Representations must also be appended to the PDF version of this report.</w:t>
      </w:r>
    </w:p>
    <w:p w14:paraId="748B594F" w14:textId="77777777" w:rsidR="00345CAD" w:rsidRPr="0043180B" w:rsidRDefault="00345CAD" w:rsidP="00345CAD">
      <w:pPr>
        <w:keepNext/>
        <w:outlineLvl w:val="3"/>
        <w:rPr>
          <w:rFonts w:cs="Arial"/>
          <w:b/>
          <w:bCs/>
          <w:color w:val="008576"/>
          <w:sz w:val="24"/>
          <w:szCs w:val="28"/>
        </w:rPr>
      </w:pPr>
      <w:r w:rsidRPr="0043180B">
        <w:rPr>
          <w:rFonts w:cs="Arial"/>
        </w:rPr>
        <w:t xml:space="preserve">None Received </w:t>
      </w:r>
      <w:r>
        <w:rPr>
          <w:rFonts w:cs="Arial"/>
        </w:rPr>
        <w:t xml:space="preserve">or </w:t>
      </w:r>
      <w:r w:rsidRPr="0043180B">
        <w:rPr>
          <w:rFonts w:cs="Arial"/>
        </w:rPr>
        <w:t>Insert text here</w:t>
      </w:r>
      <w:r w:rsidRPr="0043180B">
        <w:rPr>
          <w:rFonts w:cs="Arial"/>
          <w:b/>
          <w:bCs/>
          <w:color w:val="008576"/>
          <w:sz w:val="24"/>
          <w:szCs w:val="28"/>
        </w:rPr>
        <w:t>.</w:t>
      </w:r>
    </w:p>
    <w:p w14:paraId="6A062675" w14:textId="4B4FA98A" w:rsidR="00345CAD" w:rsidRPr="00B32D70" w:rsidRDefault="00345CAD" w:rsidP="00456F5F">
      <w:pPr>
        <w:pStyle w:val="Heading4"/>
        <w:keepLines w:val="0"/>
        <w:numPr>
          <w:ilvl w:val="0"/>
          <w:numId w:val="0"/>
        </w:numPr>
        <w:tabs>
          <w:tab w:val="left" w:pos="6662"/>
        </w:tabs>
        <w:spacing w:before="240"/>
        <w:rPr>
          <w:rFonts w:ascii="Arial" w:eastAsia="Times New Roman" w:hAnsi="Arial" w:cs="Arial"/>
          <w:b w:val="0"/>
          <w:bCs w:val="0"/>
          <w:iCs w:val="0"/>
          <w:color w:val="00B274"/>
          <w:szCs w:val="20"/>
        </w:rPr>
      </w:pPr>
      <w:r>
        <w:rPr>
          <w:rFonts w:ascii="Arial" w:eastAsia="Times New Roman" w:hAnsi="Arial" w:cs="Arial"/>
          <w:i w:val="0"/>
          <w:iCs w:val="0"/>
          <w:color w:val="008576"/>
          <w:sz w:val="24"/>
          <w:szCs w:val="28"/>
        </w:rPr>
        <w:t>Panel Questions</w:t>
      </w:r>
    </w:p>
    <w:p w14:paraId="08FE543D" w14:textId="2965123E" w:rsidR="00345CAD" w:rsidRPr="008D54E0" w:rsidRDefault="00345CAD" w:rsidP="00345CAD">
      <w:pPr>
        <w:rPr>
          <w:rFonts w:cs="Arial"/>
        </w:rPr>
      </w:pPr>
      <w:r>
        <w:rPr>
          <w:rFonts w:cs="Arial"/>
        </w:rPr>
        <w:t>None to consider</w:t>
      </w:r>
      <w:r w:rsidR="005361C7">
        <w:rPr>
          <w:rFonts w:cs="Arial"/>
        </w:rPr>
        <w:t>.</w:t>
      </w:r>
    </w:p>
    <w:p w14:paraId="1FF253B2" w14:textId="77777777" w:rsidR="00345CAD" w:rsidRPr="001213B8" w:rsidRDefault="00345CAD" w:rsidP="00345CAD">
      <w:pPr>
        <w:pStyle w:val="Heading4"/>
        <w:keepLines w:val="0"/>
        <w:numPr>
          <w:ilvl w:val="0"/>
          <w:numId w:val="0"/>
        </w:numPr>
        <w:spacing w:before="240"/>
        <w:rPr>
          <w:rFonts w:ascii="Arial" w:eastAsia="Times New Roman" w:hAnsi="Arial" w:cs="Arial"/>
          <w:b w:val="0"/>
          <w:color w:val="00B274"/>
          <w:szCs w:val="20"/>
        </w:rPr>
      </w:pPr>
      <w:r w:rsidRPr="008D54E0">
        <w:rPr>
          <w:rFonts w:ascii="Arial" w:eastAsia="Times New Roman" w:hAnsi="Arial" w:cs="Arial"/>
          <w:i w:val="0"/>
          <w:iCs w:val="0"/>
          <w:color w:val="008576"/>
          <w:sz w:val="24"/>
          <w:szCs w:val="28"/>
        </w:rPr>
        <w:t xml:space="preserve">Workgroup Impact Assessment </w:t>
      </w:r>
      <w:r w:rsidRPr="001213B8">
        <w:rPr>
          <w:rFonts w:ascii="Arial" w:eastAsia="Times New Roman" w:hAnsi="Arial" w:cs="Arial"/>
          <w:b w:val="0"/>
          <w:color w:val="00B274"/>
          <w:szCs w:val="20"/>
        </w:rPr>
        <w:t>(Joint Office to complete)</w:t>
      </w:r>
    </w:p>
    <w:p w14:paraId="2E819B99" w14:textId="77777777" w:rsidR="00345CAD" w:rsidRDefault="00345CAD" w:rsidP="00345CAD">
      <w:pPr>
        <w:rPr>
          <w:rFonts w:cs="Arial"/>
        </w:rPr>
      </w:pPr>
      <w:r w:rsidRPr="008D54E0">
        <w:rPr>
          <w:rFonts w:cs="Arial"/>
        </w:rPr>
        <w:t>Insert text here</w:t>
      </w:r>
      <w:r>
        <w:rPr>
          <w:rFonts w:cs="Arial"/>
        </w:rPr>
        <w:t>.</w:t>
      </w:r>
    </w:p>
    <w:p w14:paraId="3D3AFE72" w14:textId="77777777" w:rsidR="00345CAD" w:rsidRPr="008D54E0" w:rsidRDefault="00345CAD" w:rsidP="00345CAD">
      <w:pPr>
        <w:pStyle w:val="Heading4"/>
        <w:keepLines w:val="0"/>
        <w:numPr>
          <w:ilvl w:val="0"/>
          <w:numId w:val="0"/>
        </w:numPr>
        <w:spacing w:before="240"/>
        <w:rPr>
          <w:rFonts w:ascii="Arial" w:eastAsia="Times New Roman" w:hAnsi="Arial" w:cs="Arial"/>
          <w:i w:val="0"/>
          <w:iCs w:val="0"/>
          <w:color w:val="008576"/>
          <w:sz w:val="24"/>
        </w:rPr>
      </w:pPr>
      <w:r w:rsidRPr="007B005E">
        <w:rPr>
          <w:rFonts w:ascii="Arial" w:eastAsia="Times New Roman" w:hAnsi="Arial" w:cs="Arial"/>
          <w:i w:val="0"/>
          <w:iCs w:val="0"/>
          <w:color w:val="008576"/>
          <w:sz w:val="24"/>
          <w:szCs w:val="28"/>
        </w:rPr>
        <w:t>Reference Documents</w:t>
      </w:r>
      <w:r>
        <w:rPr>
          <w:rFonts w:ascii="Arial" w:eastAsia="Times New Roman" w:hAnsi="Arial" w:cs="Arial"/>
          <w:i w:val="0"/>
          <w:iCs w:val="0"/>
          <w:color w:val="008576"/>
          <w:sz w:val="24"/>
        </w:rPr>
        <w:t xml:space="preserve"> </w:t>
      </w:r>
      <w:r w:rsidRPr="001213B8">
        <w:rPr>
          <w:rFonts w:ascii="Arial" w:eastAsia="Times New Roman" w:hAnsi="Arial" w:cs="Arial"/>
          <w:b w:val="0"/>
          <w:color w:val="00B274"/>
          <w:szCs w:val="20"/>
        </w:rPr>
        <w:t>(Joint Office to complete)</w:t>
      </w:r>
    </w:p>
    <w:p w14:paraId="1B40284B" w14:textId="77777777" w:rsidR="00345CAD" w:rsidRPr="00FE2EA4" w:rsidRDefault="00345CAD" w:rsidP="00345CAD">
      <w:pPr>
        <w:rPr>
          <w:rFonts w:cs="Arial"/>
          <w:i/>
          <w:color w:val="00B274"/>
          <w:szCs w:val="20"/>
        </w:rPr>
      </w:pPr>
      <w:r>
        <w:rPr>
          <w:rFonts w:cs="Arial"/>
          <w:i/>
          <w:color w:val="00B274"/>
          <w:szCs w:val="20"/>
        </w:rPr>
        <w:t xml:space="preserve">Workgroup to consider if changes will be required to </w:t>
      </w:r>
      <w:r w:rsidRPr="00CA74C4">
        <w:rPr>
          <w:rFonts w:cs="Arial"/>
          <w:i/>
          <w:color w:val="00B274"/>
          <w:szCs w:val="20"/>
        </w:rPr>
        <w:t xml:space="preserve">any Code Related Documents or Guidance </w:t>
      </w:r>
      <w:r>
        <w:rPr>
          <w:rFonts w:cs="Arial"/>
          <w:i/>
          <w:color w:val="00B274"/>
          <w:szCs w:val="20"/>
        </w:rPr>
        <w:t>Documents and whether</w:t>
      </w:r>
      <w:r w:rsidRPr="00FE2EA4">
        <w:rPr>
          <w:rFonts w:cs="Arial"/>
          <w:i/>
          <w:color w:val="00B274"/>
          <w:szCs w:val="20"/>
        </w:rPr>
        <w:t xml:space="preserve"> such proposed modifications shall be submitted to the Uniform Network Code Committee and considered by the Uniform Network Committee or any relevant </w:t>
      </w:r>
      <w:r>
        <w:rPr>
          <w:rFonts w:cs="Arial"/>
          <w:i/>
          <w:color w:val="00B274"/>
          <w:szCs w:val="20"/>
        </w:rPr>
        <w:t>sub-committee</w:t>
      </w:r>
      <w:r w:rsidRPr="00FE2EA4">
        <w:rPr>
          <w:rFonts w:cs="Arial"/>
          <w:i/>
          <w:color w:val="00B274"/>
          <w:szCs w:val="20"/>
        </w:rPr>
        <w:t xml:space="preserve"> where the Uniform Network Code Committee so decide by majority vote</w:t>
      </w:r>
      <w:r>
        <w:rPr>
          <w:rFonts w:cs="Arial"/>
          <w:i/>
          <w:color w:val="00B274"/>
          <w:szCs w:val="20"/>
        </w:rPr>
        <w:t xml:space="preserve"> </w:t>
      </w:r>
      <w:r w:rsidRPr="002604F5">
        <w:rPr>
          <w:rFonts w:cs="Arial"/>
          <w:i/>
          <w:color w:val="00B274"/>
          <w:szCs w:val="20"/>
        </w:rPr>
        <w:t>in accordance with the requirements set out in paragraph 12 of Section V of the UNC Transportation Principal Document</w:t>
      </w:r>
    </w:p>
    <w:p w14:paraId="075686AA" w14:textId="77777777" w:rsidR="00345CAD" w:rsidRPr="00042CC1" w:rsidRDefault="00345CAD" w:rsidP="00345CAD">
      <w:pPr>
        <w:rPr>
          <w:rFonts w:cs="Arial"/>
          <w:szCs w:val="20"/>
        </w:rPr>
      </w:pPr>
      <w:r w:rsidRPr="008D54E0">
        <w:rPr>
          <w:rFonts w:cs="Arial"/>
          <w:szCs w:val="20"/>
        </w:rPr>
        <w:t>Insert text here</w:t>
      </w:r>
      <w:r>
        <w:rPr>
          <w:rFonts w:cs="Arial"/>
          <w:szCs w:val="20"/>
        </w:rPr>
        <w:t>.</w:t>
      </w:r>
    </w:p>
    <w:p w14:paraId="570CDF55" w14:textId="77777777" w:rsidR="00263600" w:rsidRPr="00CA74C4" w:rsidRDefault="00263600" w:rsidP="00761C07">
      <w:pPr>
        <w:pStyle w:val="Heading02"/>
      </w:pPr>
      <w:bookmarkStart w:id="10" w:name="_Toc169090696"/>
      <w:r w:rsidRPr="00CA74C4">
        <w:t>Relevant Objectives</w:t>
      </w:r>
      <w:bookmarkEnd w:id="10"/>
    </w:p>
    <w:tbl>
      <w:tblPr>
        <w:tblW w:w="10075"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665"/>
        <w:gridCol w:w="2410"/>
      </w:tblGrid>
      <w:tr w:rsidR="0018496D" w:rsidRPr="00CA74C4" w14:paraId="7BB7EB07" w14:textId="77777777" w:rsidTr="00A90299">
        <w:trPr>
          <w:trHeight w:hRule="exact" w:val="562"/>
        </w:trPr>
        <w:tc>
          <w:tcPr>
            <w:tcW w:w="10075" w:type="dxa"/>
            <w:gridSpan w:val="2"/>
            <w:tcBorders>
              <w:left w:val="single" w:sz="8" w:space="0" w:color="CCE0DA"/>
              <w:bottom w:val="single" w:sz="8" w:space="0" w:color="CCE0DA"/>
              <w:right w:val="single" w:sz="8" w:space="0" w:color="CCE0DA"/>
            </w:tcBorders>
            <w:shd w:val="clear" w:color="auto" w:fill="CCE0DA"/>
            <w:vAlign w:val="center"/>
          </w:tcPr>
          <w:p w14:paraId="23E0A21D" w14:textId="77777777" w:rsidR="0018496D" w:rsidRPr="00A90299" w:rsidRDefault="00F34649" w:rsidP="00A90299">
            <w:pPr>
              <w:pStyle w:val="Heading4"/>
              <w:keepLines w:val="0"/>
              <w:numPr>
                <w:ilvl w:val="0"/>
                <w:numId w:val="0"/>
              </w:numPr>
              <w:spacing w:before="120"/>
              <w:ind w:left="113"/>
              <w:rPr>
                <w:rFonts w:ascii="Arial" w:eastAsia="Times New Roman" w:hAnsi="Arial" w:cs="Arial"/>
                <w:i w:val="0"/>
                <w:iCs w:val="0"/>
                <w:color w:val="008576"/>
                <w:sz w:val="24"/>
                <w:szCs w:val="28"/>
              </w:rPr>
            </w:pPr>
            <w:r w:rsidRPr="00A90299">
              <w:rPr>
                <w:rFonts w:ascii="Arial" w:eastAsia="Times New Roman" w:hAnsi="Arial" w:cs="Arial"/>
                <w:i w:val="0"/>
                <w:iCs w:val="0"/>
                <w:color w:val="008576"/>
                <w:sz w:val="24"/>
                <w:szCs w:val="28"/>
              </w:rPr>
              <w:t xml:space="preserve">Impact of the Modification on the </w:t>
            </w:r>
            <w:r w:rsidR="004D1C38" w:rsidRPr="00A90299">
              <w:rPr>
                <w:rFonts w:ascii="Arial" w:eastAsia="Times New Roman" w:hAnsi="Arial" w:cs="Arial"/>
                <w:i w:val="0"/>
                <w:iCs w:val="0"/>
                <w:color w:val="008576"/>
                <w:sz w:val="24"/>
                <w:szCs w:val="28"/>
              </w:rPr>
              <w:t>Transporter</w:t>
            </w:r>
            <w:r w:rsidR="004D1C38">
              <w:rPr>
                <w:rFonts w:ascii="Arial" w:eastAsia="Times New Roman" w:hAnsi="Arial" w:cs="Arial"/>
                <w:i w:val="0"/>
                <w:iCs w:val="0"/>
                <w:color w:val="008576"/>
                <w:sz w:val="24"/>
                <w:szCs w:val="28"/>
              </w:rPr>
              <w:t>s’</w:t>
            </w:r>
            <w:r w:rsidR="004D1C38" w:rsidRPr="00A90299">
              <w:rPr>
                <w:rFonts w:ascii="Arial" w:eastAsia="Times New Roman" w:hAnsi="Arial" w:cs="Arial"/>
                <w:i w:val="0"/>
                <w:iCs w:val="0"/>
                <w:color w:val="008576"/>
                <w:sz w:val="24"/>
                <w:szCs w:val="28"/>
              </w:rPr>
              <w:t xml:space="preserve"> </w:t>
            </w:r>
            <w:r w:rsidRPr="00A90299">
              <w:rPr>
                <w:rFonts w:ascii="Arial" w:eastAsia="Times New Roman" w:hAnsi="Arial" w:cs="Arial"/>
                <w:i w:val="0"/>
                <w:iCs w:val="0"/>
                <w:color w:val="008576"/>
                <w:sz w:val="24"/>
                <w:szCs w:val="28"/>
              </w:rPr>
              <w:t>Relevant Objectives:</w:t>
            </w:r>
          </w:p>
        </w:tc>
      </w:tr>
      <w:tr w:rsidR="0018496D" w:rsidRPr="00CA74C4" w14:paraId="01EBEF1E" w14:textId="77777777" w:rsidTr="00332A65">
        <w:trPr>
          <w:trHeight w:val="397"/>
        </w:trPr>
        <w:tc>
          <w:tcPr>
            <w:tcW w:w="7665" w:type="dxa"/>
            <w:tcBorders>
              <w:top w:val="single" w:sz="8" w:space="0" w:color="CCE0DA"/>
              <w:left w:val="single" w:sz="8" w:space="0" w:color="CCE0DA"/>
              <w:bottom w:val="single" w:sz="8" w:space="0" w:color="CCE0DA"/>
            </w:tcBorders>
          </w:tcPr>
          <w:p w14:paraId="59C06A18" w14:textId="77777777" w:rsidR="0018496D" w:rsidRPr="00CA74C4" w:rsidRDefault="0018496D" w:rsidP="006D765D">
            <w:pPr>
              <w:ind w:left="113" w:right="113"/>
              <w:rPr>
                <w:rFonts w:cs="Arial"/>
              </w:rPr>
            </w:pPr>
            <w:r w:rsidRPr="00CA74C4">
              <w:rPr>
                <w:rFonts w:cs="Arial"/>
              </w:rPr>
              <w:t>Relevant Objective</w:t>
            </w:r>
          </w:p>
        </w:tc>
        <w:tc>
          <w:tcPr>
            <w:tcW w:w="2410" w:type="dxa"/>
            <w:tcBorders>
              <w:top w:val="single" w:sz="8" w:space="0" w:color="CCE0DA"/>
            </w:tcBorders>
          </w:tcPr>
          <w:p w14:paraId="45B312FB" w14:textId="77777777" w:rsidR="0018496D" w:rsidRPr="00CA74C4" w:rsidRDefault="0018496D" w:rsidP="006D765D">
            <w:pPr>
              <w:ind w:left="113" w:right="113"/>
              <w:rPr>
                <w:rFonts w:cs="Arial"/>
              </w:rPr>
            </w:pPr>
            <w:r w:rsidRPr="00CA74C4">
              <w:rPr>
                <w:rFonts w:cs="Arial"/>
              </w:rPr>
              <w:t>Identified impact</w:t>
            </w:r>
          </w:p>
        </w:tc>
      </w:tr>
      <w:tr w:rsidR="0018496D" w:rsidRPr="00CA74C4" w14:paraId="4C492742" w14:textId="77777777" w:rsidTr="00332A65">
        <w:trPr>
          <w:trHeight w:val="397"/>
        </w:trPr>
        <w:tc>
          <w:tcPr>
            <w:tcW w:w="7665" w:type="dxa"/>
            <w:tcBorders>
              <w:left w:val="single" w:sz="8" w:space="0" w:color="CCE0DA"/>
              <w:bottom w:val="single" w:sz="8" w:space="0" w:color="CCE0DA"/>
            </w:tcBorders>
          </w:tcPr>
          <w:p w14:paraId="534113C2" w14:textId="77777777" w:rsidR="0018496D" w:rsidRPr="00CA74C4" w:rsidRDefault="0018496D" w:rsidP="006D765D">
            <w:pPr>
              <w:pStyle w:val="Tablebodycopy"/>
              <w:ind w:left="453" w:right="238" w:hanging="340"/>
              <w:rPr>
                <w:rFonts w:cs="Arial"/>
              </w:rPr>
            </w:pPr>
            <w:r w:rsidRPr="00CA74C4">
              <w:rPr>
                <w:rFonts w:cs="Arial"/>
              </w:rPr>
              <w:t xml:space="preserve">a) </w:t>
            </w:r>
            <w:r w:rsidRPr="00CA74C4">
              <w:rPr>
                <w:rFonts w:cs="Arial"/>
              </w:rPr>
              <w:tab/>
              <w:t>Efficient and economic operation of the pipe-line system.</w:t>
            </w:r>
          </w:p>
        </w:tc>
        <w:tc>
          <w:tcPr>
            <w:tcW w:w="2410" w:type="dxa"/>
          </w:tcPr>
          <w:p w14:paraId="029FECB9" w14:textId="77777777" w:rsidR="0018496D" w:rsidRPr="00CA74C4" w:rsidRDefault="0018496D" w:rsidP="006D765D">
            <w:pPr>
              <w:spacing w:before="40"/>
              <w:ind w:left="113"/>
              <w:rPr>
                <w:rFonts w:cs="Arial"/>
              </w:rPr>
            </w:pPr>
            <w:r w:rsidRPr="00CA74C4">
              <w:rPr>
                <w:rFonts w:cs="Arial"/>
              </w:rPr>
              <w:t>Positive</w:t>
            </w:r>
          </w:p>
        </w:tc>
      </w:tr>
      <w:tr w:rsidR="0018496D" w:rsidRPr="00CA74C4" w14:paraId="61D65A1E" w14:textId="77777777" w:rsidTr="00332A65">
        <w:trPr>
          <w:trHeight w:val="397"/>
        </w:trPr>
        <w:tc>
          <w:tcPr>
            <w:tcW w:w="7665" w:type="dxa"/>
            <w:tcBorders>
              <w:left w:val="single" w:sz="8" w:space="0" w:color="CCE0DA"/>
              <w:bottom w:val="single" w:sz="8" w:space="0" w:color="CCE0DA"/>
            </w:tcBorders>
          </w:tcPr>
          <w:p w14:paraId="2D73F5B5" w14:textId="77777777" w:rsidR="0018496D" w:rsidRPr="00CA74C4" w:rsidRDefault="0018496D" w:rsidP="006D765D">
            <w:pPr>
              <w:pStyle w:val="Tablebodycopy"/>
              <w:ind w:left="453" w:right="238" w:hanging="340"/>
              <w:rPr>
                <w:rFonts w:cs="Arial"/>
              </w:rPr>
            </w:pPr>
            <w:r w:rsidRPr="00CA74C4">
              <w:rPr>
                <w:rFonts w:cs="Arial"/>
              </w:rPr>
              <w:t xml:space="preserve">b) </w:t>
            </w:r>
            <w:r w:rsidRPr="00CA74C4">
              <w:rPr>
                <w:rFonts w:cs="Arial"/>
              </w:rPr>
              <w:tab/>
              <w:t xml:space="preserve">Coordinated, efficient and economic operation of </w:t>
            </w:r>
          </w:p>
          <w:p w14:paraId="54A5EC5B" w14:textId="77777777" w:rsidR="0018496D" w:rsidRPr="00CA74C4" w:rsidRDefault="0018496D" w:rsidP="006D765D">
            <w:pPr>
              <w:pStyle w:val="Tablebodycopy"/>
              <w:ind w:left="793" w:right="238" w:hanging="340"/>
              <w:rPr>
                <w:rFonts w:cs="Arial"/>
              </w:rPr>
            </w:pPr>
            <w:r w:rsidRPr="00CA74C4">
              <w:rPr>
                <w:rFonts w:cs="Arial"/>
              </w:rPr>
              <w:t>(i)</w:t>
            </w:r>
            <w:r w:rsidRPr="00CA74C4">
              <w:rPr>
                <w:rFonts w:cs="Arial"/>
              </w:rPr>
              <w:tab/>
              <w:t>the combined pipe-line system, and/ or</w:t>
            </w:r>
          </w:p>
          <w:p w14:paraId="7C694376" w14:textId="77777777" w:rsidR="0018496D" w:rsidRPr="00CA74C4" w:rsidRDefault="0018496D" w:rsidP="006D765D">
            <w:pPr>
              <w:pStyle w:val="Tablebodycopy"/>
              <w:ind w:left="793" w:right="238" w:hanging="340"/>
              <w:rPr>
                <w:rFonts w:cs="Arial"/>
              </w:rPr>
            </w:pPr>
            <w:r w:rsidRPr="00CA74C4">
              <w:rPr>
                <w:rFonts w:cs="Arial"/>
              </w:rPr>
              <w:t>(ii)</w:t>
            </w:r>
            <w:r w:rsidRPr="00CA74C4">
              <w:rPr>
                <w:rFonts w:cs="Arial"/>
              </w:rPr>
              <w:tab/>
              <w:t>the pipe-line system of one or more other relevant gas transporters.</w:t>
            </w:r>
          </w:p>
        </w:tc>
        <w:tc>
          <w:tcPr>
            <w:tcW w:w="2410" w:type="dxa"/>
          </w:tcPr>
          <w:p w14:paraId="6D4DEEFD" w14:textId="77777777" w:rsidR="0018496D" w:rsidRPr="00CA74C4" w:rsidRDefault="0018496D" w:rsidP="006D765D">
            <w:pPr>
              <w:spacing w:before="40"/>
              <w:ind w:left="113" w:right="113"/>
              <w:rPr>
                <w:rFonts w:cs="Arial"/>
              </w:rPr>
            </w:pPr>
            <w:r w:rsidRPr="00CA74C4">
              <w:rPr>
                <w:rFonts w:cs="Arial"/>
              </w:rPr>
              <w:t>None</w:t>
            </w:r>
          </w:p>
        </w:tc>
      </w:tr>
      <w:tr w:rsidR="0018496D" w:rsidRPr="00CA74C4" w14:paraId="34C81DFD" w14:textId="77777777" w:rsidTr="00332A65">
        <w:trPr>
          <w:trHeight w:val="397"/>
        </w:trPr>
        <w:tc>
          <w:tcPr>
            <w:tcW w:w="7665" w:type="dxa"/>
            <w:tcBorders>
              <w:left w:val="single" w:sz="8" w:space="0" w:color="CCE0DA"/>
              <w:bottom w:val="single" w:sz="8" w:space="0" w:color="CCE0DA"/>
            </w:tcBorders>
          </w:tcPr>
          <w:p w14:paraId="774C14A0" w14:textId="77777777" w:rsidR="0018496D" w:rsidRPr="00CA74C4" w:rsidRDefault="0018496D" w:rsidP="006D765D">
            <w:pPr>
              <w:pStyle w:val="Tablebodycopy"/>
              <w:ind w:left="453" w:right="238" w:hanging="340"/>
              <w:rPr>
                <w:rFonts w:cs="Arial"/>
              </w:rPr>
            </w:pPr>
            <w:r w:rsidRPr="00CA74C4">
              <w:rPr>
                <w:rFonts w:cs="Arial"/>
              </w:rPr>
              <w:t xml:space="preserve">c) </w:t>
            </w:r>
            <w:r w:rsidRPr="00CA74C4">
              <w:rPr>
                <w:rFonts w:cs="Arial"/>
              </w:rPr>
              <w:tab/>
              <w:t>Efficient discharge of the licensee's obligations.</w:t>
            </w:r>
          </w:p>
        </w:tc>
        <w:tc>
          <w:tcPr>
            <w:tcW w:w="2410" w:type="dxa"/>
          </w:tcPr>
          <w:p w14:paraId="3CC03543" w14:textId="65F432F6" w:rsidR="0018496D" w:rsidRPr="00CA74C4" w:rsidRDefault="009D00ED" w:rsidP="006D765D">
            <w:pPr>
              <w:spacing w:before="40"/>
              <w:ind w:left="113" w:right="113"/>
              <w:rPr>
                <w:rFonts w:cs="Arial"/>
              </w:rPr>
            </w:pPr>
            <w:r>
              <w:rPr>
                <w:rFonts w:cs="Arial"/>
              </w:rPr>
              <w:t>None</w:t>
            </w:r>
          </w:p>
        </w:tc>
      </w:tr>
      <w:tr w:rsidR="0018496D" w:rsidRPr="00CA74C4" w14:paraId="45FE4B1D" w14:textId="77777777" w:rsidTr="00332A65">
        <w:trPr>
          <w:trHeight w:val="397"/>
        </w:trPr>
        <w:tc>
          <w:tcPr>
            <w:tcW w:w="7665" w:type="dxa"/>
            <w:tcBorders>
              <w:left w:val="single" w:sz="8" w:space="0" w:color="CCE0DA"/>
              <w:bottom w:val="single" w:sz="8" w:space="0" w:color="CCE0DA"/>
            </w:tcBorders>
          </w:tcPr>
          <w:p w14:paraId="7C3333CB" w14:textId="77777777" w:rsidR="0018496D" w:rsidRPr="00CA74C4" w:rsidRDefault="0018496D" w:rsidP="006D765D">
            <w:pPr>
              <w:pStyle w:val="Tablebodycopy"/>
              <w:ind w:left="453" w:right="238" w:hanging="340"/>
              <w:rPr>
                <w:rFonts w:cs="Arial"/>
              </w:rPr>
            </w:pPr>
            <w:r w:rsidRPr="00CA74C4">
              <w:rPr>
                <w:rFonts w:cs="Arial"/>
              </w:rPr>
              <w:t xml:space="preserve">d) </w:t>
            </w:r>
            <w:r w:rsidRPr="00CA74C4">
              <w:rPr>
                <w:rFonts w:cs="Arial"/>
              </w:rPr>
              <w:tab/>
              <w:t>Securing of effective competition:</w:t>
            </w:r>
          </w:p>
          <w:p w14:paraId="5356FE7D" w14:textId="77777777" w:rsidR="0018496D" w:rsidRPr="00CA74C4" w:rsidRDefault="0018496D" w:rsidP="006D765D">
            <w:pPr>
              <w:pStyle w:val="Tablebodycopy"/>
              <w:ind w:left="793" w:right="238" w:hanging="340"/>
              <w:rPr>
                <w:rFonts w:cs="Arial"/>
              </w:rPr>
            </w:pPr>
            <w:r w:rsidRPr="00CA74C4">
              <w:rPr>
                <w:rFonts w:cs="Arial"/>
              </w:rPr>
              <w:t>(i)</w:t>
            </w:r>
            <w:r w:rsidRPr="00CA74C4">
              <w:rPr>
                <w:rFonts w:cs="Arial"/>
              </w:rPr>
              <w:tab/>
              <w:t>between relevant shippers;</w:t>
            </w:r>
          </w:p>
          <w:p w14:paraId="4B6DD21C" w14:textId="77777777" w:rsidR="0018496D" w:rsidRPr="00CA74C4" w:rsidRDefault="0018496D" w:rsidP="006D765D">
            <w:pPr>
              <w:pStyle w:val="Tablebodycopy"/>
              <w:ind w:left="793" w:right="238" w:hanging="340"/>
              <w:rPr>
                <w:rFonts w:cs="Arial"/>
              </w:rPr>
            </w:pPr>
            <w:r w:rsidRPr="00CA74C4">
              <w:rPr>
                <w:rFonts w:cs="Arial"/>
              </w:rPr>
              <w:t>(ii)</w:t>
            </w:r>
            <w:r w:rsidRPr="00CA74C4">
              <w:rPr>
                <w:rFonts w:cs="Arial"/>
              </w:rPr>
              <w:tab/>
              <w:t>between relevant suppliers; and/or</w:t>
            </w:r>
          </w:p>
          <w:p w14:paraId="4F2247B3" w14:textId="77777777" w:rsidR="0018496D" w:rsidRPr="00CA74C4" w:rsidRDefault="0018496D" w:rsidP="006D765D">
            <w:pPr>
              <w:pStyle w:val="Tablebodycopy"/>
              <w:ind w:left="793" w:right="238" w:hanging="340"/>
              <w:rPr>
                <w:rFonts w:cs="Arial"/>
              </w:rPr>
            </w:pPr>
            <w:r w:rsidRPr="00CA74C4">
              <w:rPr>
                <w:rFonts w:cs="Arial"/>
              </w:rPr>
              <w:lastRenderedPageBreak/>
              <w:t>(iii)</w:t>
            </w:r>
            <w:r w:rsidRPr="00CA74C4">
              <w:rPr>
                <w:rFonts w:cs="Arial"/>
              </w:rPr>
              <w:tab/>
              <w:t xml:space="preserve">between DN operators (who have </w:t>
            </w:r>
            <w:proofErr w:type="gramStart"/>
            <w:r w:rsidRPr="00CA74C4">
              <w:rPr>
                <w:rFonts w:cs="Arial"/>
              </w:rPr>
              <w:t>entered into</w:t>
            </w:r>
            <w:proofErr w:type="gramEnd"/>
            <w:r w:rsidRPr="00CA74C4">
              <w:rPr>
                <w:rFonts w:cs="Arial"/>
              </w:rPr>
              <w:t xml:space="preserve"> transportation arrangements with other relevant gas transporters) and relevant shippers.</w:t>
            </w:r>
          </w:p>
        </w:tc>
        <w:tc>
          <w:tcPr>
            <w:tcW w:w="2410" w:type="dxa"/>
          </w:tcPr>
          <w:p w14:paraId="71257B76" w14:textId="77777777" w:rsidR="0018496D" w:rsidRPr="00CA74C4" w:rsidRDefault="0018496D" w:rsidP="006D765D">
            <w:pPr>
              <w:spacing w:before="40"/>
              <w:ind w:left="113" w:right="113"/>
              <w:rPr>
                <w:rFonts w:cs="Arial"/>
              </w:rPr>
            </w:pPr>
            <w:r w:rsidRPr="00CA74C4">
              <w:rPr>
                <w:rFonts w:cs="Arial"/>
              </w:rPr>
              <w:lastRenderedPageBreak/>
              <w:t>Positive</w:t>
            </w:r>
          </w:p>
        </w:tc>
      </w:tr>
      <w:tr w:rsidR="0018496D" w:rsidRPr="00CA74C4" w14:paraId="689AB26E" w14:textId="77777777" w:rsidTr="00332A65">
        <w:trPr>
          <w:trHeight w:val="397"/>
        </w:trPr>
        <w:tc>
          <w:tcPr>
            <w:tcW w:w="7665" w:type="dxa"/>
            <w:tcBorders>
              <w:left w:val="single" w:sz="8" w:space="0" w:color="CCE0DA"/>
              <w:bottom w:val="single" w:sz="8" w:space="0" w:color="CCE0DA"/>
            </w:tcBorders>
          </w:tcPr>
          <w:p w14:paraId="47946B14" w14:textId="77777777" w:rsidR="0018496D" w:rsidRPr="00CA74C4" w:rsidRDefault="0018496D" w:rsidP="006D765D">
            <w:pPr>
              <w:pStyle w:val="Tablebodycopy"/>
              <w:ind w:left="453" w:right="238" w:hanging="340"/>
              <w:rPr>
                <w:rFonts w:cs="Arial"/>
              </w:rPr>
            </w:pPr>
            <w:r w:rsidRPr="00CA74C4">
              <w:rPr>
                <w:rFonts w:cs="Arial"/>
              </w:rPr>
              <w:t xml:space="preserve">e) </w:t>
            </w:r>
            <w:r w:rsidRPr="00CA74C4">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23DCCC6A" w14:textId="77777777" w:rsidR="0018496D" w:rsidRPr="00CA74C4" w:rsidRDefault="0018496D" w:rsidP="006D765D">
            <w:pPr>
              <w:spacing w:before="40"/>
              <w:ind w:left="113" w:right="113"/>
              <w:rPr>
                <w:rFonts w:cs="Arial"/>
              </w:rPr>
            </w:pPr>
            <w:r w:rsidRPr="00CA74C4">
              <w:rPr>
                <w:rFonts w:cs="Arial"/>
              </w:rPr>
              <w:t>None</w:t>
            </w:r>
          </w:p>
        </w:tc>
      </w:tr>
      <w:tr w:rsidR="0018496D" w:rsidRPr="00CA74C4" w14:paraId="52BD76BD" w14:textId="77777777" w:rsidTr="00332A65">
        <w:trPr>
          <w:trHeight w:val="397"/>
        </w:trPr>
        <w:tc>
          <w:tcPr>
            <w:tcW w:w="7665" w:type="dxa"/>
            <w:tcBorders>
              <w:left w:val="single" w:sz="8" w:space="0" w:color="CCE0DA"/>
              <w:bottom w:val="single" w:sz="8" w:space="0" w:color="CCE0DA"/>
            </w:tcBorders>
          </w:tcPr>
          <w:p w14:paraId="11BC2172" w14:textId="77777777" w:rsidR="0018496D" w:rsidRPr="00CA74C4" w:rsidRDefault="0018496D" w:rsidP="006D765D">
            <w:pPr>
              <w:pStyle w:val="Tablebodycopy"/>
              <w:ind w:left="453" w:right="238" w:hanging="340"/>
              <w:rPr>
                <w:rFonts w:cs="Arial"/>
              </w:rPr>
            </w:pPr>
            <w:r w:rsidRPr="00CA74C4">
              <w:rPr>
                <w:rFonts w:cs="Arial"/>
              </w:rPr>
              <w:t xml:space="preserve">f) </w:t>
            </w:r>
            <w:r w:rsidRPr="00CA74C4">
              <w:rPr>
                <w:rFonts w:cs="Arial"/>
              </w:rPr>
              <w:tab/>
              <w:t>Promotion of efficiency in the implementation and administration of the Code.</w:t>
            </w:r>
          </w:p>
        </w:tc>
        <w:tc>
          <w:tcPr>
            <w:tcW w:w="2410" w:type="dxa"/>
          </w:tcPr>
          <w:p w14:paraId="795BD313" w14:textId="77777777" w:rsidR="0018496D" w:rsidRPr="00CA74C4" w:rsidRDefault="0018496D" w:rsidP="006D765D">
            <w:pPr>
              <w:spacing w:before="40"/>
              <w:ind w:left="113" w:right="113"/>
              <w:rPr>
                <w:rFonts w:cs="Arial"/>
              </w:rPr>
            </w:pPr>
            <w:r w:rsidRPr="00CA74C4">
              <w:rPr>
                <w:rFonts w:cs="Arial"/>
              </w:rPr>
              <w:t>None</w:t>
            </w:r>
          </w:p>
        </w:tc>
      </w:tr>
      <w:tr w:rsidR="0018496D" w:rsidRPr="00CA74C4" w14:paraId="1A807E91" w14:textId="77777777" w:rsidTr="00332A65">
        <w:trPr>
          <w:trHeight w:val="397"/>
        </w:trPr>
        <w:tc>
          <w:tcPr>
            <w:tcW w:w="7665" w:type="dxa"/>
            <w:tcBorders>
              <w:left w:val="single" w:sz="8" w:space="0" w:color="CCE0DA"/>
              <w:bottom w:val="single" w:sz="8" w:space="0" w:color="CCE0DA"/>
            </w:tcBorders>
          </w:tcPr>
          <w:p w14:paraId="49810DCC" w14:textId="77777777" w:rsidR="0018496D" w:rsidRPr="00CA74C4" w:rsidRDefault="00EE5AFB" w:rsidP="00B97897">
            <w:pPr>
              <w:pStyle w:val="Tablebodycopy"/>
              <w:ind w:left="432" w:right="238" w:hanging="319"/>
              <w:rPr>
                <w:rFonts w:cs="Arial"/>
              </w:rPr>
            </w:pPr>
            <w:r>
              <w:rPr>
                <w:rFonts w:cs="Arial"/>
              </w:rPr>
              <w:t xml:space="preserve">g)  </w:t>
            </w:r>
            <w:r w:rsidR="0018496D" w:rsidRPr="00CA74C4">
              <w:rPr>
                <w:rFonts w:cs="Arial"/>
              </w:rPr>
              <w:t>Compliance with the Regulation and any relevant legally binding decisions of the European Commission and/or the Agency for the Co-operation of Energy Regulators.</w:t>
            </w:r>
          </w:p>
        </w:tc>
        <w:tc>
          <w:tcPr>
            <w:tcW w:w="2410" w:type="dxa"/>
          </w:tcPr>
          <w:p w14:paraId="76FB1C7A" w14:textId="77777777" w:rsidR="0018496D" w:rsidRPr="00CA74C4" w:rsidRDefault="0018496D" w:rsidP="006D765D">
            <w:pPr>
              <w:spacing w:before="40"/>
              <w:ind w:left="113" w:right="113"/>
              <w:rPr>
                <w:rFonts w:cs="Arial"/>
              </w:rPr>
            </w:pPr>
            <w:r w:rsidRPr="00CA74C4">
              <w:rPr>
                <w:rFonts w:cs="Arial"/>
              </w:rPr>
              <w:t>None</w:t>
            </w:r>
          </w:p>
        </w:tc>
      </w:tr>
    </w:tbl>
    <w:p w14:paraId="1883727D" w14:textId="73019FF3" w:rsidR="00D464C3" w:rsidRDefault="006F428E" w:rsidP="003A61D1">
      <w:pPr>
        <w:jc w:val="both"/>
      </w:pPr>
      <w:r>
        <w:t xml:space="preserve">The proposed Modification </w:t>
      </w:r>
      <w:r w:rsidR="006F50C5">
        <w:t xml:space="preserve">applies the same </w:t>
      </w:r>
      <w:r>
        <w:t xml:space="preserve">solution </w:t>
      </w:r>
      <w:r w:rsidR="006F50C5">
        <w:t xml:space="preserve">as was adopted </w:t>
      </w:r>
      <w:r>
        <w:t>for Winter</w:t>
      </w:r>
      <w:r w:rsidR="00320B78">
        <w:t>s</w:t>
      </w:r>
      <w:r>
        <w:t xml:space="preserve"> 2022/23 </w:t>
      </w:r>
      <w:r w:rsidR="00320B78">
        <w:t xml:space="preserve">and 2023/24 </w:t>
      </w:r>
      <w:r w:rsidR="006F50C5">
        <w:t>under Modification UNC</w:t>
      </w:r>
      <w:r w:rsidR="00104CFB">
        <w:t xml:space="preserve"> 0</w:t>
      </w:r>
      <w:r w:rsidR="006F50C5">
        <w:t xml:space="preserve">817 </w:t>
      </w:r>
      <w:r w:rsidR="00320B78">
        <w:t>and Modification UNC</w:t>
      </w:r>
      <w:r w:rsidR="00104CFB">
        <w:t xml:space="preserve"> 0</w:t>
      </w:r>
      <w:r w:rsidR="00320B78">
        <w:t>84</w:t>
      </w:r>
      <w:r w:rsidR="00104CFB">
        <w:t>6</w:t>
      </w:r>
      <w:r w:rsidR="00320B78">
        <w:t xml:space="preserve"> respectively</w:t>
      </w:r>
      <w:r>
        <w:t xml:space="preserve">, up until the end of </w:t>
      </w:r>
      <w:r w:rsidR="00A13997">
        <w:t>Marc</w:t>
      </w:r>
      <w:r w:rsidR="001B77B6">
        <w:t>h</w:t>
      </w:r>
      <w:r>
        <w:t xml:space="preserve"> 202</w:t>
      </w:r>
      <w:r w:rsidR="00320B78">
        <w:t>5</w:t>
      </w:r>
      <w:r w:rsidR="00F96455">
        <w:t xml:space="preserve">, </w:t>
      </w:r>
      <w:r w:rsidR="00320B78">
        <w:t>noting that in accordance with Modification UNC</w:t>
      </w:r>
      <w:r w:rsidR="00104CFB">
        <w:t xml:space="preserve"> 0</w:t>
      </w:r>
      <w:r w:rsidR="00320B78">
        <w:t>84</w:t>
      </w:r>
      <w:r w:rsidR="00104CFB">
        <w:t>6</w:t>
      </w:r>
      <w:r w:rsidR="00F96455">
        <w:t xml:space="preserve"> the redesignation mechanism will be available </w:t>
      </w:r>
      <w:r w:rsidR="00DE2A0D">
        <w:t xml:space="preserve">not just to </w:t>
      </w:r>
      <w:r w:rsidR="008B50FB">
        <w:t>CESL</w:t>
      </w:r>
      <w:r w:rsidR="00DE2A0D">
        <w:t xml:space="preserve"> but </w:t>
      </w:r>
      <w:r w:rsidR="00F96455">
        <w:t xml:space="preserve">to any </w:t>
      </w:r>
      <w:r w:rsidR="00DE2A0D">
        <w:t xml:space="preserve">Users with Available System Capacity at </w:t>
      </w:r>
      <w:r w:rsidR="00F96455">
        <w:t xml:space="preserve">Easington </w:t>
      </w:r>
      <w:r w:rsidR="00DE2A0D">
        <w:t xml:space="preserve">which </w:t>
      </w:r>
      <w:r w:rsidR="00034467">
        <w:t xml:space="preserve">they </w:t>
      </w:r>
      <w:r w:rsidR="00DE2A0D">
        <w:t xml:space="preserve">acquired prior to </w:t>
      </w:r>
      <w:r w:rsidR="003D6D83">
        <w:t>the Tariff Regulation Effective Date</w:t>
      </w:r>
      <w:r w:rsidR="009D00ED">
        <w:t xml:space="preserve">. </w:t>
      </w:r>
      <w:r w:rsidR="006F50C5">
        <w:t xml:space="preserve">At the Panel meeting of </w:t>
      </w:r>
      <w:r w:rsidR="00661F4F">
        <w:t>0</w:t>
      </w:r>
      <w:r w:rsidR="007A38FB">
        <w:t>8 September 2022,</w:t>
      </w:r>
      <w:r w:rsidR="006F50C5">
        <w:t xml:space="preserve"> a majority of the Panel recommended UNC</w:t>
      </w:r>
      <w:r w:rsidR="00104CFB">
        <w:t xml:space="preserve"> 0</w:t>
      </w:r>
      <w:r w:rsidR="006F50C5">
        <w:t xml:space="preserve">817 for approval on the grounds that it would better facilitate the relevant objectives. </w:t>
      </w:r>
      <w:r w:rsidR="00104CFB">
        <w:t xml:space="preserve">This was also the case with UNC 0846 at the Panel meeting of 17 August 2023. </w:t>
      </w:r>
      <w:r w:rsidR="00F409C8">
        <w:t xml:space="preserve">In deciding to approve the implementation of </w:t>
      </w:r>
      <w:r w:rsidR="00104CFB">
        <w:t xml:space="preserve">both </w:t>
      </w:r>
      <w:r w:rsidR="00F409C8">
        <w:t>UNC</w:t>
      </w:r>
      <w:r w:rsidR="00104CFB">
        <w:t xml:space="preserve"> 0</w:t>
      </w:r>
      <w:r w:rsidR="00F409C8">
        <w:t xml:space="preserve">817 </w:t>
      </w:r>
      <w:r w:rsidR="00104CFB">
        <w:t xml:space="preserve">and UNC 0846 </w:t>
      </w:r>
      <w:r w:rsidR="00F409C8">
        <w:t xml:space="preserve">the Authority </w:t>
      </w:r>
      <w:r w:rsidR="007D6BBA">
        <w:t xml:space="preserve">concluded </w:t>
      </w:r>
      <w:r w:rsidR="00F409C8">
        <w:t>that in its view the Modification</w:t>
      </w:r>
      <w:r w:rsidR="00104CFB">
        <w:t>s</w:t>
      </w:r>
      <w:r w:rsidR="00F409C8">
        <w:t xml:space="preserve"> ha</w:t>
      </w:r>
      <w:r w:rsidR="007D6BBA">
        <w:t>d</w:t>
      </w:r>
      <w:r w:rsidR="00F409C8">
        <w:t xml:space="preserve"> a neutral impact on the relevant objectives</w:t>
      </w:r>
      <w:r w:rsidR="007D6BBA">
        <w:t>, in other words that it has no negative impact upon them</w:t>
      </w:r>
      <w:r w:rsidR="006F310D">
        <w:t xml:space="preserve">. </w:t>
      </w:r>
      <w:r w:rsidR="003A61D1">
        <w:t xml:space="preserve">The Authority </w:t>
      </w:r>
      <w:r w:rsidR="007D6BBA">
        <w:t xml:space="preserve">also concluded that </w:t>
      </w:r>
      <w:r w:rsidR="00D464C3">
        <w:t>in approving UNC</w:t>
      </w:r>
      <w:r w:rsidR="00104CFB">
        <w:t xml:space="preserve"> 0</w:t>
      </w:r>
      <w:r w:rsidR="00D464C3">
        <w:t>817</w:t>
      </w:r>
      <w:r w:rsidR="00104CFB">
        <w:t xml:space="preserve"> and UNC 084</w:t>
      </w:r>
      <w:r w:rsidR="001A6E94">
        <w:t>6</w:t>
      </w:r>
      <w:r w:rsidR="00104CFB">
        <w:t>,</w:t>
      </w:r>
      <w:r w:rsidR="00D464C3">
        <w:t xml:space="preserve"> </w:t>
      </w:r>
      <w:r w:rsidR="007D6BBA">
        <w:t>on balance</w:t>
      </w:r>
      <w:r w:rsidR="00104CFB">
        <w:t>,</w:t>
      </w:r>
      <w:r w:rsidR="007D6BBA">
        <w:t xml:space="preserve"> the implementation of th</w:t>
      </w:r>
      <w:r w:rsidR="00104CFB">
        <w:t>e</w:t>
      </w:r>
      <w:r w:rsidR="007D6BBA">
        <w:t xml:space="preserve"> Modification</w:t>
      </w:r>
      <w:r w:rsidR="00104CFB">
        <w:t>s</w:t>
      </w:r>
      <w:r w:rsidR="007D6BBA">
        <w:t xml:space="preserve"> </w:t>
      </w:r>
      <w:r w:rsidR="00D464C3">
        <w:t>was</w:t>
      </w:r>
      <w:r w:rsidR="003A61D1">
        <w:t xml:space="preserve"> consi</w:t>
      </w:r>
      <w:r w:rsidR="00D464C3">
        <w:t>st</w:t>
      </w:r>
      <w:r w:rsidR="003A61D1">
        <w:t>en</w:t>
      </w:r>
      <w:r w:rsidR="00D464C3">
        <w:t>t</w:t>
      </w:r>
      <w:r w:rsidR="003A61D1">
        <w:t xml:space="preserve"> with its statutory duties to protect the interests of existing and future consumers in relation to gas conveyed through pipes</w:t>
      </w:r>
      <w:r w:rsidR="00D464C3">
        <w:t xml:space="preserve">. </w:t>
      </w:r>
    </w:p>
    <w:p w14:paraId="4E843919" w14:textId="3D6102E0" w:rsidR="00DD6B40" w:rsidRPr="00CA74C4" w:rsidRDefault="00DD6B40" w:rsidP="00DD6B40">
      <w:pPr>
        <w:pStyle w:val="Tablebodycopy"/>
        <w:ind w:left="453" w:right="238" w:hanging="340"/>
        <w:rPr>
          <w:rFonts w:cs="Arial"/>
        </w:rPr>
      </w:pPr>
      <w:r w:rsidRPr="00CA74C4">
        <w:rPr>
          <w:rFonts w:cs="Arial"/>
        </w:rPr>
        <w:t xml:space="preserve">a) </w:t>
      </w:r>
      <w:r w:rsidRPr="00CA74C4">
        <w:rPr>
          <w:rFonts w:cs="Arial"/>
        </w:rPr>
        <w:tab/>
        <w:t>Efficient and economic operation of the pipe-line system.</w:t>
      </w:r>
    </w:p>
    <w:p w14:paraId="16FC6002" w14:textId="51D2B1DE" w:rsidR="00180FB2" w:rsidRDefault="00DD6B40" w:rsidP="00BA2700">
      <w:pPr>
        <w:jc w:val="both"/>
        <w:rPr>
          <w:szCs w:val="20"/>
        </w:rPr>
      </w:pPr>
      <w:r w:rsidRPr="00520F93">
        <w:rPr>
          <w:szCs w:val="20"/>
        </w:rPr>
        <w:t xml:space="preserve">The Rough ASEP was established to comply with the UNC restrictions requiring the separation of Storage System Points from other System Points. </w:t>
      </w:r>
      <w:r w:rsidR="00430758" w:rsidRPr="00520F93">
        <w:rPr>
          <w:szCs w:val="20"/>
        </w:rPr>
        <w:t xml:space="preserve">Allowing </w:t>
      </w:r>
      <w:r w:rsidR="008B50FB">
        <w:rPr>
          <w:szCs w:val="20"/>
        </w:rPr>
        <w:t>CESL</w:t>
      </w:r>
      <w:r w:rsidR="00430758" w:rsidRPr="00520F93">
        <w:rPr>
          <w:szCs w:val="20"/>
        </w:rPr>
        <w:t xml:space="preserve"> to utilise Existing Entry Capacity it had acquired at Easington for the purpose of underpinning withdrawals from Rough will ensure storage </w:t>
      </w:r>
      <w:r w:rsidR="00520F93" w:rsidRPr="00520F93">
        <w:rPr>
          <w:szCs w:val="20"/>
        </w:rPr>
        <w:t xml:space="preserve">injections are at a lower cost than otherwise would be the case. </w:t>
      </w:r>
      <w:r w:rsidR="00DE2A0D">
        <w:rPr>
          <w:szCs w:val="20"/>
        </w:rPr>
        <w:t xml:space="preserve">Extending those rights to other Users </w:t>
      </w:r>
      <w:proofErr w:type="gramStart"/>
      <w:r w:rsidR="00DE2A0D">
        <w:rPr>
          <w:szCs w:val="20"/>
        </w:rPr>
        <w:t>in the event that</w:t>
      </w:r>
      <w:proofErr w:type="gramEnd"/>
      <w:r w:rsidR="00DE2A0D">
        <w:rPr>
          <w:szCs w:val="20"/>
        </w:rPr>
        <w:t xml:space="preserve"> they acquire capacity in Rough </w:t>
      </w:r>
      <w:r w:rsidR="00183448">
        <w:rPr>
          <w:szCs w:val="20"/>
        </w:rPr>
        <w:t xml:space="preserve">may also reduce the cost </w:t>
      </w:r>
      <w:r w:rsidR="00034467">
        <w:rPr>
          <w:szCs w:val="20"/>
        </w:rPr>
        <w:t xml:space="preserve">to those Users of accessing that capacity. </w:t>
      </w:r>
      <w:r w:rsidR="00520F93" w:rsidRPr="00520F93">
        <w:rPr>
          <w:szCs w:val="20"/>
        </w:rPr>
        <w:t xml:space="preserve">Reductions in </w:t>
      </w:r>
      <w:r w:rsidR="00034467">
        <w:rPr>
          <w:szCs w:val="20"/>
        </w:rPr>
        <w:t xml:space="preserve">the </w:t>
      </w:r>
      <w:r w:rsidR="001C032F">
        <w:rPr>
          <w:szCs w:val="20"/>
        </w:rPr>
        <w:t>withdrawal</w:t>
      </w:r>
      <w:r w:rsidR="00520F93" w:rsidRPr="00520F93">
        <w:rPr>
          <w:szCs w:val="20"/>
        </w:rPr>
        <w:t xml:space="preserve"> costs</w:t>
      </w:r>
      <w:r w:rsidR="00034467">
        <w:rPr>
          <w:szCs w:val="20"/>
        </w:rPr>
        <w:t xml:space="preserve"> of </w:t>
      </w:r>
      <w:r w:rsidR="008B50FB">
        <w:rPr>
          <w:szCs w:val="20"/>
        </w:rPr>
        <w:t>CESL</w:t>
      </w:r>
      <w:r w:rsidR="00034467">
        <w:rPr>
          <w:szCs w:val="20"/>
        </w:rPr>
        <w:t xml:space="preserve"> and/or other Users, </w:t>
      </w:r>
      <w:r w:rsidR="00520F93" w:rsidRPr="00520F93">
        <w:rPr>
          <w:szCs w:val="20"/>
        </w:rPr>
        <w:t xml:space="preserve">will facilitate </w:t>
      </w:r>
      <w:r w:rsidR="00C113CF">
        <w:rPr>
          <w:szCs w:val="20"/>
        </w:rPr>
        <w:t>the optimisation o</w:t>
      </w:r>
      <w:r w:rsidR="001C032F">
        <w:rPr>
          <w:szCs w:val="20"/>
        </w:rPr>
        <w:t>f</w:t>
      </w:r>
      <w:r w:rsidR="00C113CF">
        <w:rPr>
          <w:szCs w:val="20"/>
        </w:rPr>
        <w:t xml:space="preserve"> Rough storage operations thereby facilitating </w:t>
      </w:r>
      <w:r w:rsidR="00520F93" w:rsidRPr="00520F93">
        <w:rPr>
          <w:szCs w:val="20"/>
        </w:rPr>
        <w:t>physical security on more economic terms while reducing the overall cost of balancing the system.</w:t>
      </w:r>
      <w:r w:rsidR="00183448">
        <w:rPr>
          <w:szCs w:val="20"/>
        </w:rPr>
        <w:t xml:space="preserve">  </w:t>
      </w:r>
      <w:r w:rsidR="00ED4872">
        <w:rPr>
          <w:szCs w:val="20"/>
        </w:rPr>
        <w:t xml:space="preserve"> </w:t>
      </w:r>
    </w:p>
    <w:p w14:paraId="563299CC" w14:textId="123CCC2C" w:rsidR="009A4914" w:rsidRPr="009A4914" w:rsidRDefault="00180FB2" w:rsidP="00BA2700">
      <w:pPr>
        <w:jc w:val="both"/>
        <w:rPr>
          <w:rFonts w:cs="Arial"/>
          <w:szCs w:val="20"/>
        </w:rPr>
      </w:pPr>
      <w:r>
        <w:rPr>
          <w:szCs w:val="20"/>
        </w:rPr>
        <w:t>The Authority notes in its decision on UNC 0846 that it accepts that “</w:t>
      </w:r>
      <w:r w:rsidRPr="00180FB2">
        <w:rPr>
          <w:i/>
          <w:iCs/>
          <w:szCs w:val="20"/>
        </w:rPr>
        <w:t>some of the long-term capacity contracts held at Easington were bought for the purpose of withdrawing gas at Rough. However, we recognise that it is not possible to determine what percentage of these holdings were intended to be used at the storage facility versus the Easington Beach entry point.”</w:t>
      </w:r>
      <w:r w:rsidR="00183448" w:rsidRPr="00180FB2">
        <w:rPr>
          <w:i/>
          <w:iCs/>
          <w:szCs w:val="20"/>
        </w:rPr>
        <w:t xml:space="preserve"> </w:t>
      </w:r>
      <w:r>
        <w:rPr>
          <w:i/>
          <w:iCs/>
          <w:szCs w:val="20"/>
        </w:rPr>
        <w:t xml:space="preserve"> </w:t>
      </w:r>
      <w:r>
        <w:rPr>
          <w:szCs w:val="20"/>
        </w:rPr>
        <w:t xml:space="preserve">In the interests of transparency and to reinforce the assertion that the bookings were made to support the delivery of gas out of the Rough facility, </w:t>
      </w:r>
      <w:r w:rsidR="009A4914">
        <w:rPr>
          <w:szCs w:val="20"/>
        </w:rPr>
        <w:t xml:space="preserve">it is the case that </w:t>
      </w:r>
      <w:r w:rsidR="009A4914" w:rsidRPr="00307204">
        <w:rPr>
          <w:rFonts w:cs="Arial"/>
        </w:rPr>
        <w:t>CESL’s current entry capacity holding across Winter 24/25 is broadly equal to, or below, the maximum expected withdrawal rate</w:t>
      </w:r>
    </w:p>
    <w:p w14:paraId="748495A2" w14:textId="7CB3C551" w:rsidR="00180FB2" w:rsidRPr="00180FB2" w:rsidRDefault="00180FB2" w:rsidP="00BA2700">
      <w:pPr>
        <w:jc w:val="both"/>
        <w:rPr>
          <w:szCs w:val="20"/>
        </w:rPr>
      </w:pPr>
      <w:r>
        <w:rPr>
          <w:szCs w:val="20"/>
        </w:rPr>
        <w:t xml:space="preserve">The capacity holdings are below the historical peak </w:t>
      </w:r>
      <w:r w:rsidR="00701A29">
        <w:rPr>
          <w:szCs w:val="20"/>
        </w:rPr>
        <w:t>deliverability</w:t>
      </w:r>
      <w:r>
        <w:rPr>
          <w:szCs w:val="20"/>
        </w:rPr>
        <w:t xml:space="preserve"> rate of 455 GWh/d, </w:t>
      </w:r>
      <w:r w:rsidR="00701A29">
        <w:rPr>
          <w:szCs w:val="20"/>
        </w:rPr>
        <w:t xml:space="preserve">reflecting the fact that </w:t>
      </w:r>
      <w:r w:rsidR="008B50FB">
        <w:rPr>
          <w:szCs w:val="20"/>
        </w:rPr>
        <w:t>CESL</w:t>
      </w:r>
      <w:r w:rsidR="00701A29">
        <w:rPr>
          <w:szCs w:val="20"/>
        </w:rPr>
        <w:t xml:space="preserve"> has reduced its capacity requirements to better align with expected needs.  As such, based on the evidence </w:t>
      </w:r>
      <w:proofErr w:type="gramStart"/>
      <w:r w:rsidR="00701A29">
        <w:rPr>
          <w:szCs w:val="20"/>
        </w:rPr>
        <w:t>it is clear that the</w:t>
      </w:r>
      <w:proofErr w:type="gramEnd"/>
      <w:r w:rsidR="00701A29">
        <w:rPr>
          <w:szCs w:val="20"/>
        </w:rPr>
        <w:t xml:space="preserve"> entry capacity acquired by </w:t>
      </w:r>
      <w:r w:rsidR="008B50FB">
        <w:rPr>
          <w:szCs w:val="20"/>
        </w:rPr>
        <w:t>CESL</w:t>
      </w:r>
      <w:r w:rsidR="00701A29">
        <w:rPr>
          <w:szCs w:val="20"/>
        </w:rPr>
        <w:t xml:space="preserve"> was done do for the single purpose of supporting flows from the Rough facility thereby reinforcing the claim that the Modification Proposal better facilitates the achievement of this Relevant Objective.</w:t>
      </w:r>
    </w:p>
    <w:p w14:paraId="30629748" w14:textId="77777777" w:rsidR="00520F93" w:rsidRPr="00BA2700" w:rsidRDefault="00520F93" w:rsidP="00BA2700">
      <w:pPr>
        <w:pStyle w:val="Tablebodycopy"/>
        <w:ind w:left="453" w:right="238" w:hanging="340"/>
        <w:rPr>
          <w:rFonts w:cs="Arial"/>
        </w:rPr>
      </w:pPr>
      <w:r w:rsidRPr="00BA2700">
        <w:rPr>
          <w:rFonts w:cs="Arial"/>
        </w:rPr>
        <w:t xml:space="preserve">d) </w:t>
      </w:r>
      <w:r w:rsidRPr="00BA2700">
        <w:rPr>
          <w:rFonts w:cs="Arial"/>
        </w:rPr>
        <w:tab/>
        <w:t>Securing of effective competition:</w:t>
      </w:r>
    </w:p>
    <w:p w14:paraId="515265BE" w14:textId="77777777" w:rsidR="00520F93" w:rsidRPr="00BA2700" w:rsidRDefault="00520F93" w:rsidP="00BA2700">
      <w:pPr>
        <w:pStyle w:val="Tablebodycopy"/>
        <w:ind w:left="793" w:right="238" w:hanging="340"/>
        <w:rPr>
          <w:rFonts w:cs="Arial"/>
        </w:rPr>
      </w:pPr>
      <w:r w:rsidRPr="00BA2700">
        <w:rPr>
          <w:rFonts w:cs="Arial"/>
        </w:rPr>
        <w:t>(i)</w:t>
      </w:r>
      <w:r w:rsidRPr="00BA2700">
        <w:rPr>
          <w:rFonts w:cs="Arial"/>
        </w:rPr>
        <w:tab/>
        <w:t>between relevant shippers;</w:t>
      </w:r>
    </w:p>
    <w:p w14:paraId="6EF08185" w14:textId="70F63F53" w:rsidR="009D00ED" w:rsidRDefault="00520F93" w:rsidP="00BA2700">
      <w:pPr>
        <w:jc w:val="both"/>
        <w:rPr>
          <w:szCs w:val="20"/>
        </w:rPr>
      </w:pPr>
      <w:r>
        <w:rPr>
          <w:szCs w:val="20"/>
        </w:rPr>
        <w:lastRenderedPageBreak/>
        <w:t xml:space="preserve">Without this </w:t>
      </w:r>
      <w:r w:rsidR="00CA3333">
        <w:rPr>
          <w:szCs w:val="20"/>
        </w:rPr>
        <w:t>M</w:t>
      </w:r>
      <w:r>
        <w:rPr>
          <w:szCs w:val="20"/>
        </w:rPr>
        <w:t xml:space="preserve">odification, </w:t>
      </w:r>
      <w:r w:rsidR="008B50FB">
        <w:rPr>
          <w:szCs w:val="20"/>
        </w:rPr>
        <w:t>CESL</w:t>
      </w:r>
      <w:r>
        <w:rPr>
          <w:szCs w:val="20"/>
        </w:rPr>
        <w:t xml:space="preserve"> would be denied access to entry capacity it had acquired for the purpose of underpinning withdrawals from Rough. </w:t>
      </w:r>
      <w:r w:rsidR="00964185">
        <w:rPr>
          <w:szCs w:val="20"/>
        </w:rPr>
        <w:t xml:space="preserve">Not only would </w:t>
      </w:r>
      <w:r w:rsidR="008B50FB">
        <w:rPr>
          <w:szCs w:val="20"/>
        </w:rPr>
        <w:t>CESL</w:t>
      </w:r>
      <w:r w:rsidR="00964185">
        <w:rPr>
          <w:szCs w:val="20"/>
        </w:rPr>
        <w:t xml:space="preserve"> be exposed to higher costs, </w:t>
      </w:r>
      <w:proofErr w:type="gramStart"/>
      <w:r w:rsidR="00964185">
        <w:rPr>
          <w:szCs w:val="20"/>
        </w:rPr>
        <w:t>as a result of</w:t>
      </w:r>
      <w:proofErr w:type="gramEnd"/>
      <w:r w:rsidR="00964185">
        <w:rPr>
          <w:szCs w:val="20"/>
        </w:rPr>
        <w:t xml:space="preserve"> having to acquire additional entry capacity, t</w:t>
      </w:r>
      <w:r>
        <w:rPr>
          <w:szCs w:val="20"/>
        </w:rPr>
        <w:t xml:space="preserve">his </w:t>
      </w:r>
      <w:r w:rsidR="001E0BF0">
        <w:rPr>
          <w:szCs w:val="20"/>
        </w:rPr>
        <w:t>expropriation of rights</w:t>
      </w:r>
      <w:r w:rsidR="00E340B2">
        <w:rPr>
          <w:szCs w:val="20"/>
        </w:rPr>
        <w:t xml:space="preserve"> also</w:t>
      </w:r>
      <w:r w:rsidR="001E0BF0">
        <w:rPr>
          <w:szCs w:val="20"/>
        </w:rPr>
        <w:t xml:space="preserve"> undermines the entry capacity regime and discriminates against a</w:t>
      </w:r>
      <w:r w:rsidR="004658AF">
        <w:rPr>
          <w:szCs w:val="20"/>
        </w:rPr>
        <w:t xml:space="preserve">ny </w:t>
      </w:r>
      <w:r w:rsidR="001E0BF0">
        <w:rPr>
          <w:szCs w:val="20"/>
        </w:rPr>
        <w:t>User</w:t>
      </w:r>
      <w:r w:rsidR="004658AF">
        <w:rPr>
          <w:szCs w:val="20"/>
        </w:rPr>
        <w:t>s</w:t>
      </w:r>
      <w:r w:rsidR="001E0BF0">
        <w:rPr>
          <w:szCs w:val="20"/>
        </w:rPr>
        <w:t xml:space="preserve"> </w:t>
      </w:r>
      <w:r w:rsidR="004658AF">
        <w:rPr>
          <w:szCs w:val="20"/>
        </w:rPr>
        <w:t>which have acquired entry capacity at the Easington ASEP prior to its disaggregation</w:t>
      </w:r>
      <w:r w:rsidR="001E0BF0">
        <w:rPr>
          <w:szCs w:val="20"/>
        </w:rPr>
        <w:t xml:space="preserve">. </w:t>
      </w:r>
      <w:r w:rsidR="004658AF">
        <w:rPr>
          <w:szCs w:val="20"/>
        </w:rPr>
        <w:t>Reducing the use that can be made of capacity after its acquisition discriminates against Users that have acquired such capacity</w:t>
      </w:r>
      <w:r w:rsidR="00034467">
        <w:rPr>
          <w:szCs w:val="20"/>
        </w:rPr>
        <w:t xml:space="preserve">, and that discrimination inevitably as an adverse impact on competition between those shippers who are affected and those which are not. </w:t>
      </w:r>
      <w:r w:rsidR="00F40DB5">
        <w:rPr>
          <w:szCs w:val="20"/>
        </w:rPr>
        <w:t xml:space="preserve">Moreover, </w:t>
      </w:r>
      <w:r w:rsidR="009D00ED">
        <w:rPr>
          <w:szCs w:val="20"/>
        </w:rPr>
        <w:t xml:space="preserve">the continuation of the </w:t>
      </w:r>
      <w:r w:rsidR="00F40DB5">
        <w:rPr>
          <w:szCs w:val="20"/>
        </w:rPr>
        <w:t>UNC</w:t>
      </w:r>
      <w:r w:rsidR="009D00ED">
        <w:rPr>
          <w:szCs w:val="20"/>
        </w:rPr>
        <w:t xml:space="preserve"> 0</w:t>
      </w:r>
      <w:r w:rsidR="00F40DB5">
        <w:rPr>
          <w:szCs w:val="20"/>
        </w:rPr>
        <w:t>8</w:t>
      </w:r>
      <w:r w:rsidR="009D00ED">
        <w:rPr>
          <w:szCs w:val="20"/>
        </w:rPr>
        <w:t>46</w:t>
      </w:r>
      <w:r w:rsidR="00F40DB5">
        <w:rPr>
          <w:szCs w:val="20"/>
        </w:rPr>
        <w:t xml:space="preserve"> solution to all Users which held Capacity at Rough as at </w:t>
      </w:r>
      <w:r w:rsidR="00731F91">
        <w:rPr>
          <w:szCs w:val="20"/>
        </w:rPr>
        <w:t>the</w:t>
      </w:r>
      <w:r w:rsidR="00731F91" w:rsidRPr="00F96455">
        <w:rPr>
          <w:rFonts w:cs="Arial"/>
        </w:rPr>
        <w:t xml:space="preserve"> Tariff </w:t>
      </w:r>
      <w:r w:rsidR="00731F91">
        <w:rPr>
          <w:rFonts w:cs="Arial"/>
        </w:rPr>
        <w:t xml:space="preserve">Regulation </w:t>
      </w:r>
      <w:r w:rsidR="00731F91" w:rsidRPr="00F96455">
        <w:rPr>
          <w:rFonts w:cs="Arial"/>
        </w:rPr>
        <w:t>Effective Date</w:t>
      </w:r>
      <w:r w:rsidR="00F40DB5">
        <w:rPr>
          <w:szCs w:val="20"/>
        </w:rPr>
        <w:t xml:space="preserve">, avoids any suggestion of preferential treatment in favour of </w:t>
      </w:r>
      <w:r w:rsidR="008B50FB">
        <w:rPr>
          <w:szCs w:val="20"/>
        </w:rPr>
        <w:t>CESL</w:t>
      </w:r>
      <w:r w:rsidR="00F40DB5">
        <w:rPr>
          <w:szCs w:val="20"/>
        </w:rPr>
        <w:t xml:space="preserve">. </w:t>
      </w:r>
      <w:r w:rsidR="009D00ED">
        <w:rPr>
          <w:szCs w:val="20"/>
        </w:rPr>
        <w:t xml:space="preserve">In line with the Authority </w:t>
      </w:r>
      <w:r w:rsidR="005D0BEA">
        <w:rPr>
          <w:szCs w:val="20"/>
        </w:rPr>
        <w:t>decision on</w:t>
      </w:r>
      <w:r w:rsidR="009D00ED">
        <w:rPr>
          <w:szCs w:val="20"/>
        </w:rPr>
        <w:t xml:space="preserve"> UNC 084</w:t>
      </w:r>
      <w:r w:rsidR="00E777F9">
        <w:rPr>
          <w:szCs w:val="20"/>
        </w:rPr>
        <w:t>6</w:t>
      </w:r>
      <w:r w:rsidR="009D00ED">
        <w:rPr>
          <w:szCs w:val="20"/>
        </w:rPr>
        <w:t xml:space="preserve"> “</w:t>
      </w:r>
      <w:r w:rsidR="009D00ED" w:rsidRPr="005D0BEA">
        <w:rPr>
          <w:i/>
          <w:iCs/>
          <w:szCs w:val="20"/>
        </w:rPr>
        <w:t>the capacity allocation mechanism is in place to allow any unused capacity in the facility to be made available to other users of potential users and in doing so support competition</w:t>
      </w:r>
      <w:r w:rsidR="005D0BEA">
        <w:rPr>
          <w:szCs w:val="20"/>
        </w:rPr>
        <w:t>.”</w:t>
      </w:r>
      <w:r w:rsidR="00F40DB5">
        <w:rPr>
          <w:szCs w:val="20"/>
        </w:rPr>
        <w:t xml:space="preserve">  If </w:t>
      </w:r>
      <w:r w:rsidR="008B50FB">
        <w:rPr>
          <w:szCs w:val="20"/>
        </w:rPr>
        <w:t>CESL</w:t>
      </w:r>
      <w:r w:rsidR="00F40DB5">
        <w:rPr>
          <w:szCs w:val="20"/>
        </w:rPr>
        <w:t xml:space="preserve"> does not utilise the full storage capacity at Rough</w:t>
      </w:r>
      <w:r w:rsidR="00333D07">
        <w:rPr>
          <w:szCs w:val="20"/>
        </w:rPr>
        <w:t>,</w:t>
      </w:r>
      <w:r w:rsidR="00F40DB5">
        <w:rPr>
          <w:szCs w:val="20"/>
        </w:rPr>
        <w:t xml:space="preserve"> other Users holding capacity at </w:t>
      </w:r>
      <w:r w:rsidR="00333D07">
        <w:rPr>
          <w:szCs w:val="20"/>
        </w:rPr>
        <w:t xml:space="preserve">the </w:t>
      </w:r>
      <w:r w:rsidR="00F40DB5">
        <w:rPr>
          <w:szCs w:val="20"/>
        </w:rPr>
        <w:t>Easington</w:t>
      </w:r>
      <w:r w:rsidR="00333D07">
        <w:rPr>
          <w:szCs w:val="20"/>
        </w:rPr>
        <w:t xml:space="preserve"> ASEP</w:t>
      </w:r>
      <w:r w:rsidR="00F40DB5">
        <w:rPr>
          <w:szCs w:val="20"/>
        </w:rPr>
        <w:t xml:space="preserve"> as at that date w</w:t>
      </w:r>
      <w:r w:rsidR="00333D07">
        <w:rPr>
          <w:szCs w:val="20"/>
        </w:rPr>
        <w:t xml:space="preserve">ould </w:t>
      </w:r>
      <w:r w:rsidR="00F40DB5">
        <w:rPr>
          <w:szCs w:val="20"/>
        </w:rPr>
        <w:t xml:space="preserve">be able to utilise that capacity in the same way as </w:t>
      </w:r>
      <w:r w:rsidR="008B50FB">
        <w:rPr>
          <w:szCs w:val="20"/>
        </w:rPr>
        <w:t>CESL</w:t>
      </w:r>
      <w:r w:rsidR="00F40DB5">
        <w:rPr>
          <w:szCs w:val="20"/>
        </w:rPr>
        <w:t xml:space="preserve">. </w:t>
      </w:r>
      <w:proofErr w:type="gramStart"/>
      <w:r w:rsidR="00F40DB5">
        <w:rPr>
          <w:szCs w:val="20"/>
        </w:rPr>
        <w:t>In the event that</w:t>
      </w:r>
      <w:proofErr w:type="gramEnd"/>
      <w:r w:rsidR="00F40DB5">
        <w:rPr>
          <w:szCs w:val="20"/>
        </w:rPr>
        <w:t xml:space="preserve"> </w:t>
      </w:r>
      <w:r w:rsidR="00333D07">
        <w:rPr>
          <w:szCs w:val="20"/>
        </w:rPr>
        <w:t xml:space="preserve">a </w:t>
      </w:r>
      <w:r w:rsidR="00F40DB5">
        <w:rPr>
          <w:szCs w:val="20"/>
        </w:rPr>
        <w:t>User do</w:t>
      </w:r>
      <w:r w:rsidR="00333D07">
        <w:rPr>
          <w:szCs w:val="20"/>
        </w:rPr>
        <w:t>es</w:t>
      </w:r>
      <w:r w:rsidR="00F40DB5">
        <w:rPr>
          <w:szCs w:val="20"/>
        </w:rPr>
        <w:t xml:space="preserve"> not have surplus Entry Capacity at </w:t>
      </w:r>
      <w:r w:rsidR="00333D07">
        <w:rPr>
          <w:szCs w:val="20"/>
        </w:rPr>
        <w:t xml:space="preserve">the </w:t>
      </w:r>
      <w:r w:rsidR="00F40DB5">
        <w:rPr>
          <w:szCs w:val="20"/>
        </w:rPr>
        <w:t xml:space="preserve">Easington </w:t>
      </w:r>
      <w:r w:rsidR="00333D07">
        <w:rPr>
          <w:szCs w:val="20"/>
        </w:rPr>
        <w:t>ASEP,</w:t>
      </w:r>
      <w:r w:rsidR="00F40DB5">
        <w:rPr>
          <w:szCs w:val="20"/>
        </w:rPr>
        <w:t xml:space="preserve"> </w:t>
      </w:r>
      <w:r w:rsidR="00333D07">
        <w:rPr>
          <w:szCs w:val="20"/>
        </w:rPr>
        <w:t xml:space="preserve">it would </w:t>
      </w:r>
      <w:r w:rsidR="00F40DB5">
        <w:rPr>
          <w:szCs w:val="20"/>
        </w:rPr>
        <w:t xml:space="preserve">still </w:t>
      </w:r>
      <w:r w:rsidR="00913CF4">
        <w:rPr>
          <w:szCs w:val="20"/>
        </w:rPr>
        <w:t>be able to bid on a short</w:t>
      </w:r>
      <w:r w:rsidR="00877F87">
        <w:rPr>
          <w:szCs w:val="20"/>
        </w:rPr>
        <w:t>-</w:t>
      </w:r>
      <w:r w:rsidR="00913CF4">
        <w:rPr>
          <w:szCs w:val="20"/>
        </w:rPr>
        <w:t xml:space="preserve">term basis for Entry Capacity in the </w:t>
      </w:r>
      <w:r w:rsidR="00913CF4" w:rsidRPr="00913CF4">
        <w:rPr>
          <w:szCs w:val="20"/>
        </w:rPr>
        <w:t>Rolling Monthly NTS Entry Capacity</w:t>
      </w:r>
      <w:r w:rsidR="00913CF4">
        <w:rPr>
          <w:szCs w:val="20"/>
        </w:rPr>
        <w:t xml:space="preserve"> auctions.</w:t>
      </w:r>
      <w:r w:rsidR="00333D07">
        <w:rPr>
          <w:szCs w:val="20"/>
        </w:rPr>
        <w:t xml:space="preserve"> A full resolution of the uncertainty associated with the discretion retained by NGT as to the release of capacity on that basis, would require the establishment of baseline capacity for Rough ASEP which would give rise to further problems discussed above</w:t>
      </w:r>
      <w:r w:rsidR="009D00ED">
        <w:rPr>
          <w:szCs w:val="20"/>
        </w:rPr>
        <w:t>.</w:t>
      </w:r>
    </w:p>
    <w:p w14:paraId="4D6D1353" w14:textId="1D5A6D66" w:rsidR="00FF1BE9" w:rsidRDefault="00324D86" w:rsidP="005D0BEA">
      <w:pPr>
        <w:jc w:val="both"/>
        <w:rPr>
          <w:szCs w:val="20"/>
        </w:rPr>
      </w:pPr>
      <w:r>
        <w:rPr>
          <w:szCs w:val="20"/>
        </w:rPr>
        <w:t>In its decision on UNC</w:t>
      </w:r>
      <w:r w:rsidR="005D0BEA">
        <w:rPr>
          <w:szCs w:val="20"/>
        </w:rPr>
        <w:t xml:space="preserve"> 0846</w:t>
      </w:r>
      <w:r>
        <w:rPr>
          <w:szCs w:val="20"/>
        </w:rPr>
        <w:t xml:space="preserve"> the Authority </w:t>
      </w:r>
      <w:r w:rsidR="005728BC">
        <w:rPr>
          <w:szCs w:val="20"/>
        </w:rPr>
        <w:t xml:space="preserve">noted that </w:t>
      </w:r>
      <w:r w:rsidR="005D0BEA">
        <w:rPr>
          <w:szCs w:val="20"/>
        </w:rPr>
        <w:t>“</w:t>
      </w:r>
      <w:r w:rsidR="005D0BEA" w:rsidRPr="005D0BEA">
        <w:rPr>
          <w:i/>
          <w:iCs/>
          <w:szCs w:val="20"/>
        </w:rPr>
        <w:t>approving UNC 0846 will remove uncertainty surrounding the charging arrangements at Rough. We also note that in the circumstances under consideration, there is no risk of cross-subsidisation or revenue shortfall occurring due to capacity displacement</w:t>
      </w:r>
      <w:r w:rsidR="005D0BEA">
        <w:rPr>
          <w:szCs w:val="20"/>
        </w:rPr>
        <w:t xml:space="preserve">.”  In our opinion, the combined effect of maintaining </w:t>
      </w:r>
      <w:r w:rsidR="00BC4246">
        <w:rPr>
          <w:szCs w:val="20"/>
        </w:rPr>
        <w:t>capacity</w:t>
      </w:r>
      <w:r w:rsidR="005D0BEA">
        <w:rPr>
          <w:szCs w:val="20"/>
        </w:rPr>
        <w:t xml:space="preserve"> rights for the purpose for which they were originally acquired coupled with permitting all Users access to the proposed capacity allocation mechanism supports the achievement of this objective. </w:t>
      </w:r>
    </w:p>
    <w:p w14:paraId="27EC20F0" w14:textId="35C03116" w:rsidR="00520F93" w:rsidRDefault="00B019C3" w:rsidP="00BA2700">
      <w:pPr>
        <w:jc w:val="both"/>
        <w:rPr>
          <w:rFonts w:cs="Arial"/>
          <w:i/>
        </w:rPr>
      </w:pPr>
      <w:r w:rsidRPr="00BA2700">
        <w:rPr>
          <w:rFonts w:cs="Arial"/>
        </w:rPr>
        <w:t xml:space="preserve">For information, there is no change to the NTS Charging </w:t>
      </w:r>
      <w:r w:rsidR="007F369C">
        <w:rPr>
          <w:rFonts w:cs="Arial"/>
        </w:rPr>
        <w:t>M</w:t>
      </w:r>
      <w:r w:rsidRPr="00BA2700">
        <w:rPr>
          <w:rFonts w:cs="Arial"/>
        </w:rPr>
        <w:t xml:space="preserve">ethodology. The Modification is required to ensure that the NTS Charging methodology applies as intended notwithstanding the establishment of a Rough Storage ASEP. On this basis, the Relevant Charging Methodology Objectives have not been assessed.  </w:t>
      </w:r>
      <w:r w:rsidRPr="00BA2700">
        <w:rPr>
          <w:rFonts w:cs="Arial"/>
          <w:i/>
        </w:rPr>
        <w:t xml:space="preserve">  </w:t>
      </w:r>
    </w:p>
    <w:p w14:paraId="65E5D5C3" w14:textId="5536ACB0" w:rsidR="00BC4246" w:rsidRPr="00BC4246" w:rsidRDefault="00BC4246" w:rsidP="00BA2700">
      <w:pPr>
        <w:jc w:val="both"/>
        <w:rPr>
          <w:rFonts w:cs="Arial"/>
          <w:color w:val="008576"/>
        </w:rPr>
      </w:pPr>
      <w:r w:rsidRPr="00BC4246">
        <w:rPr>
          <w:rFonts w:cs="Arial"/>
          <w:color w:val="008576"/>
        </w:rPr>
        <w:t>The Authority’s principal objective and statutory duties</w:t>
      </w:r>
    </w:p>
    <w:p w14:paraId="1EA89E70" w14:textId="56730750" w:rsidR="00BC4246" w:rsidRDefault="00BC4246" w:rsidP="00BA2700">
      <w:pPr>
        <w:jc w:val="both"/>
      </w:pPr>
      <w:r>
        <w:t>In its decisio</w:t>
      </w:r>
      <w:r w:rsidR="00620622">
        <w:t xml:space="preserve">ns regarding UNC 0817 and UNC 0846, the Authority stated that approvals of the Modifications </w:t>
      </w:r>
      <w:r w:rsidR="629E342A">
        <w:t>were</w:t>
      </w:r>
      <w:r w:rsidR="00620622">
        <w:t xml:space="preserve"> consistent with their statutory duties given that they:</w:t>
      </w:r>
    </w:p>
    <w:p w14:paraId="5DEC4F01" w14:textId="02005806" w:rsidR="00620622" w:rsidRDefault="00620622" w:rsidP="00620622">
      <w:pPr>
        <w:pStyle w:val="ListParagraph"/>
        <w:numPr>
          <w:ilvl w:val="0"/>
          <w:numId w:val="36"/>
        </w:numPr>
        <w:jc w:val="both"/>
      </w:pPr>
      <w:r>
        <w:t>Would not lead to higher reserve price for other NTS Users, given the operation of the capacity neutrality mechanism; and</w:t>
      </w:r>
    </w:p>
    <w:p w14:paraId="6F4EA899" w14:textId="467DC43E" w:rsidR="00620622" w:rsidRPr="00620622" w:rsidRDefault="00620622" w:rsidP="00620622">
      <w:pPr>
        <w:pStyle w:val="ListParagraph"/>
        <w:numPr>
          <w:ilvl w:val="0"/>
          <w:numId w:val="36"/>
        </w:numPr>
        <w:jc w:val="both"/>
      </w:pPr>
      <w:r>
        <w:t>Would encourage increased injections of gas into storage (while we recognise that there is some uncertainty surrounding this point.)</w:t>
      </w:r>
    </w:p>
    <w:p w14:paraId="02E420FB" w14:textId="11A02E0B" w:rsidR="00620622" w:rsidRDefault="00620622" w:rsidP="00BA2700">
      <w:pPr>
        <w:jc w:val="both"/>
        <w:rPr>
          <w:szCs w:val="20"/>
        </w:rPr>
      </w:pPr>
      <w:r>
        <w:rPr>
          <w:szCs w:val="20"/>
        </w:rPr>
        <w:t>On the basis that this Modification Proposal is an extension of the arrangements of these Modification Proposals we recommend that the same statements apply.</w:t>
      </w:r>
    </w:p>
    <w:p w14:paraId="2368F262" w14:textId="77777777" w:rsidR="004A64DF" w:rsidRDefault="004A64DF" w:rsidP="004A64DF">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 Assessment of Relevant Objectives</w:t>
      </w:r>
    </w:p>
    <w:p w14:paraId="0C275014" w14:textId="77777777" w:rsidR="004A64DF" w:rsidRPr="00B32D70" w:rsidRDefault="004A64DF" w:rsidP="004A64DF">
      <w:pPr>
        <w:pStyle w:val="Heading4"/>
        <w:keepLines w:val="0"/>
        <w:numPr>
          <w:ilvl w:val="0"/>
          <w:numId w:val="0"/>
        </w:numPr>
        <w:spacing w:before="120"/>
        <w:rPr>
          <w:rFonts w:ascii="Arial" w:eastAsia="Times New Roman" w:hAnsi="Arial" w:cs="Arial"/>
          <w:b w:val="0"/>
          <w:bCs w:val="0"/>
          <w:iCs w:val="0"/>
          <w:color w:val="00B274"/>
          <w:szCs w:val="20"/>
        </w:rPr>
      </w:pPr>
      <w:r w:rsidRPr="00B32D70">
        <w:rPr>
          <w:rFonts w:ascii="Arial" w:eastAsia="Times New Roman" w:hAnsi="Arial" w:cs="Arial"/>
          <w:b w:val="0"/>
          <w:bCs w:val="0"/>
          <w:iCs w:val="0"/>
          <w:color w:val="00B274"/>
          <w:szCs w:val="20"/>
        </w:rPr>
        <w:t xml:space="preserve">The Workgroup </w:t>
      </w:r>
      <w:r>
        <w:rPr>
          <w:rFonts w:ascii="Arial" w:eastAsia="Times New Roman" w:hAnsi="Arial" w:cs="Arial"/>
          <w:b w:val="0"/>
          <w:bCs w:val="0"/>
          <w:iCs w:val="0"/>
          <w:color w:val="00B274"/>
          <w:szCs w:val="20"/>
        </w:rPr>
        <w:t>must provide an assessment of how the Relevant Objectives are furthered and respond to what the proposer has provided</w:t>
      </w:r>
    </w:p>
    <w:p w14:paraId="5B37C4C3" w14:textId="77777777" w:rsidR="004A64DF" w:rsidRPr="008D54E0" w:rsidRDefault="004A64DF" w:rsidP="004A64DF">
      <w:pPr>
        <w:rPr>
          <w:rFonts w:cs="Arial"/>
        </w:rPr>
      </w:pPr>
      <w:r w:rsidRPr="008D54E0">
        <w:rPr>
          <w:rFonts w:cs="Arial"/>
        </w:rPr>
        <w:t>Insert text here</w:t>
      </w:r>
    </w:p>
    <w:p w14:paraId="27DF8B90" w14:textId="77777777" w:rsidR="00450385" w:rsidRPr="00CA74C4" w:rsidRDefault="00C31A20" w:rsidP="00761C07">
      <w:pPr>
        <w:pStyle w:val="Heading02"/>
        <w:rPr>
          <w:noProof/>
        </w:rPr>
      </w:pPr>
      <w:bookmarkStart w:id="11" w:name="_Toc169090697"/>
      <w:r w:rsidRPr="00CA74C4">
        <w:rPr>
          <w:noProof/>
        </w:rPr>
        <w:t>Imple</w:t>
      </w:r>
      <w:r w:rsidR="00461C2F" w:rsidRPr="00CA74C4">
        <w:rPr>
          <w:noProof/>
        </w:rPr>
        <w:t>me</w:t>
      </w:r>
      <w:r w:rsidRPr="00CA74C4">
        <w:rPr>
          <w:noProof/>
        </w:rPr>
        <w:t>ntation</w:t>
      </w:r>
      <w:bookmarkEnd w:id="11"/>
    </w:p>
    <w:p w14:paraId="45F9E86E" w14:textId="31E8341C" w:rsidR="00D76054" w:rsidRPr="00CA74C4" w:rsidRDefault="008B50FB" w:rsidP="00BA2700">
      <w:pPr>
        <w:jc w:val="both"/>
        <w:rPr>
          <w:rFonts w:cs="Arial"/>
        </w:rPr>
      </w:pPr>
      <w:r>
        <w:rPr>
          <w:szCs w:val="20"/>
        </w:rPr>
        <w:t>CESL</w:t>
      </w:r>
      <w:r w:rsidR="002B26AA">
        <w:rPr>
          <w:szCs w:val="20"/>
        </w:rPr>
        <w:t xml:space="preserve"> will need </w:t>
      </w:r>
      <w:r w:rsidR="002B26AA" w:rsidRPr="002B26AA">
        <w:rPr>
          <w:szCs w:val="20"/>
        </w:rPr>
        <w:t xml:space="preserve">Entry Capacity </w:t>
      </w:r>
      <w:r w:rsidR="005A1FA4">
        <w:rPr>
          <w:szCs w:val="20"/>
        </w:rPr>
        <w:t xml:space="preserve">to </w:t>
      </w:r>
      <w:r w:rsidR="002B26AA">
        <w:rPr>
          <w:szCs w:val="20"/>
        </w:rPr>
        <w:t xml:space="preserve">support withdrawals from Rough Storage from </w:t>
      </w:r>
      <w:r w:rsidR="00661F4F">
        <w:rPr>
          <w:szCs w:val="20"/>
        </w:rPr>
        <w:t>0</w:t>
      </w:r>
      <w:r w:rsidR="002B26AA">
        <w:rPr>
          <w:szCs w:val="20"/>
        </w:rPr>
        <w:t>1 October 202</w:t>
      </w:r>
      <w:r w:rsidR="00701A29">
        <w:rPr>
          <w:szCs w:val="20"/>
        </w:rPr>
        <w:t>4</w:t>
      </w:r>
      <w:r w:rsidR="00D54DCB">
        <w:rPr>
          <w:szCs w:val="20"/>
        </w:rPr>
        <w:t>. Consequently</w:t>
      </w:r>
      <w:r w:rsidR="002B26AA">
        <w:rPr>
          <w:szCs w:val="20"/>
        </w:rPr>
        <w:t xml:space="preserve">, </w:t>
      </w:r>
      <w:r w:rsidR="00F51D29">
        <w:rPr>
          <w:szCs w:val="20"/>
        </w:rPr>
        <w:t>the Modification will need to be implemented no later than</w:t>
      </w:r>
      <w:r w:rsidR="0057305E">
        <w:rPr>
          <w:szCs w:val="20"/>
        </w:rPr>
        <w:t xml:space="preserve"> </w:t>
      </w:r>
      <w:r w:rsidR="00661F4F">
        <w:rPr>
          <w:szCs w:val="20"/>
        </w:rPr>
        <w:t>0</w:t>
      </w:r>
      <w:r w:rsidR="0057305E">
        <w:rPr>
          <w:szCs w:val="20"/>
        </w:rPr>
        <w:t xml:space="preserve">1 September </w:t>
      </w:r>
      <w:r w:rsidR="00877F87">
        <w:rPr>
          <w:szCs w:val="20"/>
        </w:rPr>
        <w:t>202</w:t>
      </w:r>
      <w:r w:rsidR="00701A29">
        <w:rPr>
          <w:szCs w:val="20"/>
        </w:rPr>
        <w:t>4</w:t>
      </w:r>
      <w:r w:rsidR="00877F87">
        <w:rPr>
          <w:szCs w:val="20"/>
        </w:rPr>
        <w:t xml:space="preserve"> </w:t>
      </w:r>
      <w:r w:rsidR="00D54DCB">
        <w:rPr>
          <w:szCs w:val="20"/>
        </w:rPr>
        <w:t>so</w:t>
      </w:r>
      <w:r w:rsidR="0057305E">
        <w:rPr>
          <w:szCs w:val="20"/>
        </w:rPr>
        <w:t xml:space="preserve"> that </w:t>
      </w:r>
      <w:r>
        <w:rPr>
          <w:szCs w:val="20"/>
        </w:rPr>
        <w:t>CESL</w:t>
      </w:r>
      <w:r w:rsidR="00877F87">
        <w:rPr>
          <w:szCs w:val="20"/>
        </w:rPr>
        <w:t xml:space="preserve"> </w:t>
      </w:r>
      <w:r w:rsidR="0057305E">
        <w:rPr>
          <w:szCs w:val="20"/>
        </w:rPr>
        <w:t xml:space="preserve">may </w:t>
      </w:r>
      <w:r w:rsidR="00877F87">
        <w:rPr>
          <w:szCs w:val="20"/>
        </w:rPr>
        <w:t>nominat</w:t>
      </w:r>
      <w:r w:rsidR="0057305E">
        <w:rPr>
          <w:szCs w:val="20"/>
        </w:rPr>
        <w:t xml:space="preserve">e </w:t>
      </w:r>
      <w:r w:rsidR="00D54DCB">
        <w:rPr>
          <w:szCs w:val="20"/>
        </w:rPr>
        <w:t xml:space="preserve">the </w:t>
      </w:r>
      <w:r w:rsidR="00D54DCB">
        <w:rPr>
          <w:szCs w:val="20"/>
        </w:rPr>
        <w:lastRenderedPageBreak/>
        <w:t xml:space="preserve">amount of capacity it is redesignating to the Rough ASEP in October by the relevant </w:t>
      </w:r>
      <w:r w:rsidR="0057305E" w:rsidRPr="0057305E">
        <w:rPr>
          <w:szCs w:val="20"/>
        </w:rPr>
        <w:t>rolling monthly surrender date</w:t>
      </w:r>
      <w:r w:rsidR="00D54DCB">
        <w:rPr>
          <w:szCs w:val="20"/>
        </w:rPr>
        <w:t>.</w:t>
      </w:r>
      <w:r w:rsidR="007F369C">
        <w:rPr>
          <w:szCs w:val="20"/>
        </w:rPr>
        <w:t xml:space="preserve"> It is anticipated that </w:t>
      </w:r>
      <w:r w:rsidR="004658AF">
        <w:rPr>
          <w:szCs w:val="20"/>
        </w:rPr>
        <w:t xml:space="preserve">any Users that </w:t>
      </w:r>
      <w:r w:rsidR="001C2B78">
        <w:rPr>
          <w:szCs w:val="20"/>
        </w:rPr>
        <w:t xml:space="preserve">are </w:t>
      </w:r>
      <w:r w:rsidR="004658AF">
        <w:rPr>
          <w:szCs w:val="20"/>
        </w:rPr>
        <w:t xml:space="preserve">interested in taking up unutilised capacity in Rough would be looking at doing so within similar timescales. </w:t>
      </w:r>
      <w:r w:rsidR="007F369C">
        <w:rPr>
          <w:szCs w:val="20"/>
        </w:rPr>
        <w:t xml:space="preserve"> </w:t>
      </w:r>
    </w:p>
    <w:p w14:paraId="1F56AAFD" w14:textId="77777777" w:rsidR="00F007A0" w:rsidRPr="00CA74C4" w:rsidRDefault="00F007A0" w:rsidP="00761C07">
      <w:pPr>
        <w:pStyle w:val="Heading02"/>
      </w:pPr>
      <w:bookmarkStart w:id="12" w:name="_Toc156882583"/>
      <w:bookmarkStart w:id="13" w:name="_Toc163008071"/>
      <w:bookmarkStart w:id="14" w:name="_Toc169090698"/>
      <w:r w:rsidRPr="00CA74C4">
        <w:t>Legal Text</w:t>
      </w:r>
      <w:bookmarkEnd w:id="12"/>
      <w:bookmarkEnd w:id="13"/>
      <w:bookmarkEnd w:id="14"/>
    </w:p>
    <w:p w14:paraId="5AEA7C62" w14:textId="77777777" w:rsidR="006D765D" w:rsidRPr="00CA74C4" w:rsidRDefault="006D765D" w:rsidP="006D765D">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 Commentary</w:t>
      </w:r>
    </w:p>
    <w:p w14:paraId="1082FAB8" w14:textId="39C63C12" w:rsidR="004348D0" w:rsidRDefault="00AD6E9E" w:rsidP="004348D0">
      <w:pPr>
        <w:jc w:val="both"/>
        <w:rPr>
          <w:rFonts w:cs="Arial"/>
        </w:rPr>
      </w:pPr>
      <w:r>
        <w:rPr>
          <w:rFonts w:cs="Arial"/>
        </w:rPr>
        <w:t xml:space="preserve">The legal text will consist of </w:t>
      </w:r>
      <w:r w:rsidR="004348D0">
        <w:rPr>
          <w:rFonts w:cs="Arial"/>
        </w:rPr>
        <w:t>revision</w:t>
      </w:r>
      <w:r w:rsidR="00572B38">
        <w:rPr>
          <w:rFonts w:cs="Arial"/>
        </w:rPr>
        <w:t>s</w:t>
      </w:r>
      <w:r w:rsidR="004348D0">
        <w:rPr>
          <w:rFonts w:cs="Arial"/>
        </w:rPr>
        <w:t xml:space="preserve"> of paragraph </w:t>
      </w:r>
      <w:r w:rsidR="004348D0" w:rsidRPr="004348D0">
        <w:rPr>
          <w:rFonts w:cs="Arial"/>
        </w:rPr>
        <w:t>30 of the Transition Document Part</w:t>
      </w:r>
      <w:r w:rsidR="00B96802">
        <w:rPr>
          <w:rFonts w:cs="Arial"/>
        </w:rPr>
        <w:t xml:space="preserve"> IIC - </w:t>
      </w:r>
      <w:r w:rsidR="00B96802">
        <w:t>Transitional Rules</w:t>
      </w:r>
      <w:r w:rsidR="00077CAB" w:rsidRPr="00077CAB">
        <w:t xml:space="preserve"> </w:t>
      </w:r>
      <w:proofErr w:type="gramStart"/>
      <w:r w:rsidR="00077CAB" w:rsidRPr="00077CAB">
        <w:t>so as to</w:t>
      </w:r>
      <w:proofErr w:type="gramEnd"/>
      <w:r w:rsidR="00077CAB" w:rsidRPr="00077CAB">
        <w:t xml:space="preserve"> apply in respect of Winter 202</w:t>
      </w:r>
      <w:r w:rsidR="00701A29">
        <w:t>4</w:t>
      </w:r>
      <w:r w:rsidR="00077CAB" w:rsidRPr="00077CAB">
        <w:t>/2</w:t>
      </w:r>
      <w:r w:rsidR="00701A29">
        <w:t>5</w:t>
      </w:r>
      <w:r w:rsidR="00077CAB">
        <w:t xml:space="preserve"> and so as</w:t>
      </w:r>
      <w:r w:rsidR="004348D0">
        <w:rPr>
          <w:rFonts w:cs="Arial"/>
        </w:rPr>
        <w:t xml:space="preserve"> </w:t>
      </w:r>
      <w:r w:rsidR="00572B38">
        <w:rPr>
          <w:rFonts w:cs="Arial"/>
        </w:rPr>
        <w:t xml:space="preserve">to extend </w:t>
      </w:r>
      <w:r w:rsidR="008B50FB">
        <w:rPr>
          <w:rFonts w:cs="Arial"/>
        </w:rPr>
        <w:t>CESL</w:t>
      </w:r>
      <w:r w:rsidR="00077CAB">
        <w:rPr>
          <w:rFonts w:cs="Arial"/>
        </w:rPr>
        <w:t xml:space="preserve">’s </w:t>
      </w:r>
      <w:r w:rsidR="00572B38">
        <w:rPr>
          <w:rFonts w:cs="Arial"/>
        </w:rPr>
        <w:t xml:space="preserve">rights to redesignate NTS Entry Capacity to the Rough ASEP to any User that acquired such Capacity at the Easington ASEP prior to </w:t>
      </w:r>
      <w:r w:rsidR="006B5C85">
        <w:rPr>
          <w:rFonts w:cs="Arial"/>
        </w:rPr>
        <w:t xml:space="preserve">the </w:t>
      </w:r>
      <w:r w:rsidR="00077CAB" w:rsidRPr="00077CAB">
        <w:rPr>
          <w:rFonts w:cs="Arial"/>
        </w:rPr>
        <w:t xml:space="preserve">Tariff Regulation </w:t>
      </w:r>
      <w:r w:rsidR="00077CAB">
        <w:rPr>
          <w:rFonts w:cs="Arial"/>
        </w:rPr>
        <w:t>Effective Date.</w:t>
      </w:r>
      <w:r w:rsidR="00572B38">
        <w:rPr>
          <w:rFonts w:cs="Arial"/>
        </w:rPr>
        <w:t xml:space="preserve"> </w:t>
      </w:r>
    </w:p>
    <w:p w14:paraId="7B4B1320" w14:textId="19F5775C" w:rsidR="00FF6EC9" w:rsidRDefault="00FF6EC9" w:rsidP="00FF6EC9">
      <w:pPr>
        <w:rPr>
          <w:rStyle w:val="Hyperlink"/>
          <w:rFonts w:cs="Arial"/>
        </w:rPr>
      </w:pPr>
      <w:r w:rsidRPr="008D54E0">
        <w:rPr>
          <w:rFonts w:cs="Arial"/>
          <w:bCs/>
          <w:i/>
          <w:iCs/>
          <w:color w:val="00B274"/>
          <w:szCs w:val="20"/>
        </w:rPr>
        <w:t xml:space="preserve">Legal text will be drawn up by the </w:t>
      </w:r>
      <w:r w:rsidR="005D283C">
        <w:rPr>
          <w:rFonts w:cs="Arial"/>
          <w:bCs/>
          <w:i/>
          <w:iCs/>
          <w:color w:val="00B274"/>
          <w:szCs w:val="20"/>
        </w:rPr>
        <w:t>NGT</w:t>
      </w:r>
      <w:r w:rsidRPr="008D54E0">
        <w:rPr>
          <w:rFonts w:cs="Arial"/>
          <w:bCs/>
          <w:i/>
          <w:iCs/>
          <w:color w:val="00B274"/>
          <w:szCs w:val="20"/>
        </w:rPr>
        <w:t xml:space="preserve"> in line with the</w:t>
      </w:r>
      <w:r w:rsidRPr="008D54E0">
        <w:rPr>
          <w:rFonts w:cs="Arial"/>
        </w:rPr>
        <w:t xml:space="preserve"> </w:t>
      </w:r>
      <w:hyperlink r:id="rId20" w:history="1">
        <w:r w:rsidRPr="008D54E0">
          <w:rPr>
            <w:rStyle w:val="Hyperlink"/>
            <w:rFonts w:cs="Arial"/>
          </w:rPr>
          <w:t>Legal Text Guidance Document</w:t>
        </w:r>
      </w:hyperlink>
      <w:r w:rsidRPr="008D54E0">
        <w:rPr>
          <w:rStyle w:val="Hyperlink"/>
          <w:rFonts w:cs="Arial"/>
        </w:rPr>
        <w:t>.</w:t>
      </w:r>
    </w:p>
    <w:p w14:paraId="0A29A0B3" w14:textId="7DE87200" w:rsidR="00FF6EC9" w:rsidRDefault="00FF6EC9" w:rsidP="00FF6EC9">
      <w:pPr>
        <w:rPr>
          <w:rFonts w:cs="Arial"/>
        </w:rPr>
      </w:pPr>
      <w:r w:rsidRPr="0088780C">
        <w:t>L</w:t>
      </w:r>
      <w:r w:rsidRPr="0088780C">
        <w:rPr>
          <w:rFonts w:cs="Arial"/>
        </w:rPr>
        <w:t xml:space="preserve">egal Text has been provided by </w:t>
      </w:r>
      <w:r w:rsidR="005D283C">
        <w:rPr>
          <w:rFonts w:cs="Arial"/>
        </w:rPr>
        <w:t>National Gas Transmission</w:t>
      </w:r>
      <w:r w:rsidRPr="0088780C">
        <w:rPr>
          <w:rFonts w:cs="Arial"/>
        </w:rPr>
        <w:t xml:space="preserve"> and is published </w:t>
      </w:r>
      <w:r w:rsidR="000B1AEC">
        <w:rPr>
          <w:rFonts w:cs="Arial"/>
        </w:rPr>
        <w:t xml:space="preserve">at: </w:t>
      </w:r>
      <w:hyperlink r:id="rId21" w:history="1">
        <w:r w:rsidR="001A6B5B" w:rsidRPr="001A6B5B">
          <w:rPr>
            <w:rStyle w:val="Hyperlink"/>
            <w:rFonts w:cs="Arial"/>
          </w:rPr>
          <w:t>https://www.gasgovernance.co.uk/0878</w:t>
        </w:r>
      </w:hyperlink>
      <w:r w:rsidRPr="0088780C">
        <w:rPr>
          <w:rFonts w:cs="Arial"/>
        </w:rPr>
        <w:t xml:space="preserve"> </w:t>
      </w:r>
    </w:p>
    <w:p w14:paraId="7A06A00E" w14:textId="77777777" w:rsidR="00FF6EC9" w:rsidRPr="008D54E0" w:rsidRDefault="00FF6EC9" w:rsidP="00FF6EC9">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 Assessment</w:t>
      </w:r>
    </w:p>
    <w:p w14:paraId="6B373FA8" w14:textId="77777777" w:rsidR="00FF6EC9" w:rsidRDefault="00FF6EC9" w:rsidP="00FF6EC9">
      <w:pPr>
        <w:keepNext/>
        <w:outlineLvl w:val="3"/>
        <w:rPr>
          <w:i/>
          <w:noProof/>
          <w:color w:val="00B274"/>
        </w:rPr>
      </w:pPr>
      <w:r>
        <w:rPr>
          <w:i/>
          <w:noProof/>
          <w:color w:val="00B274"/>
        </w:rPr>
        <w:t xml:space="preserve">Workgroup’s </w:t>
      </w:r>
      <w:r w:rsidRPr="00020683">
        <w:rPr>
          <w:i/>
          <w:noProof/>
          <w:color w:val="00B274"/>
        </w:rPr>
        <w:t xml:space="preserve">Assessment </w:t>
      </w:r>
      <w:r>
        <w:rPr>
          <w:i/>
          <w:noProof/>
          <w:color w:val="00B274"/>
        </w:rPr>
        <w:t>of the proposed changes and how these meet the intent of the Solution.</w:t>
      </w:r>
    </w:p>
    <w:p w14:paraId="4191F290" w14:textId="77777777" w:rsidR="00FF6EC9" w:rsidRPr="0088780C" w:rsidRDefault="00FF6EC9" w:rsidP="00FF6EC9">
      <w:pPr>
        <w:rPr>
          <w:rFonts w:cs="Arial"/>
        </w:rPr>
      </w:pPr>
      <w:r w:rsidRPr="0088780C" w:rsidDel="00A7121D">
        <w:rPr>
          <w:rFonts w:cs="Arial"/>
        </w:rPr>
        <w:t>The Workgroup has considered the Legal Text and is satisfied that it meets the intent of the Solution.</w:t>
      </w:r>
    </w:p>
    <w:p w14:paraId="171352C2" w14:textId="77777777" w:rsidR="00FF6EC9" w:rsidRPr="00CA74C4" w:rsidRDefault="00FF6EC9" w:rsidP="00FF6EC9">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 Commentary</w:t>
      </w:r>
    </w:p>
    <w:p w14:paraId="5B5AAB26" w14:textId="77777777" w:rsidR="00FF6EC9" w:rsidRPr="00CA74C4" w:rsidRDefault="00FF6EC9" w:rsidP="00FF6EC9">
      <w:pPr>
        <w:rPr>
          <w:rFonts w:cs="Arial"/>
        </w:rPr>
      </w:pPr>
      <w:r w:rsidRPr="00CA74C4">
        <w:rPr>
          <w:rFonts w:cs="Arial"/>
        </w:rPr>
        <w:t>Insert text here</w:t>
      </w:r>
      <w:r>
        <w:rPr>
          <w:rFonts w:cs="Arial"/>
        </w:rPr>
        <w:t>.</w:t>
      </w:r>
    </w:p>
    <w:p w14:paraId="4064C65E" w14:textId="77777777" w:rsidR="00FF6EC9" w:rsidRPr="00CA74C4" w:rsidRDefault="00FF6EC9" w:rsidP="00FF6EC9">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w:t>
      </w:r>
    </w:p>
    <w:p w14:paraId="751ADDC2" w14:textId="77777777" w:rsidR="00FF6EC9" w:rsidRDefault="00FF6EC9" w:rsidP="00FF6EC9">
      <w:pPr>
        <w:rPr>
          <w:rFonts w:cs="Arial"/>
        </w:rPr>
      </w:pPr>
      <w:r w:rsidRPr="00CA74C4">
        <w:rPr>
          <w:rFonts w:cs="Arial"/>
        </w:rPr>
        <w:t>Insert text here</w:t>
      </w:r>
      <w:r>
        <w:rPr>
          <w:rFonts w:cs="Arial"/>
        </w:rPr>
        <w:t>.</w:t>
      </w:r>
    </w:p>
    <w:p w14:paraId="3F923305" w14:textId="77777777" w:rsidR="00BB1701" w:rsidRPr="00CA74C4" w:rsidRDefault="00BB1701" w:rsidP="00BB1701">
      <w:pPr>
        <w:pStyle w:val="Heading02"/>
      </w:pPr>
      <w:bookmarkStart w:id="15" w:name="_Toc157431034"/>
      <w:bookmarkStart w:id="16" w:name="_Toc169090699"/>
      <w:r w:rsidRPr="00CA74C4">
        <w:t>Recommendations</w:t>
      </w:r>
      <w:bookmarkEnd w:id="15"/>
      <w:bookmarkEnd w:id="16"/>
      <w:r w:rsidRPr="00CA74C4">
        <w:t xml:space="preserve"> </w:t>
      </w:r>
    </w:p>
    <w:p w14:paraId="66BC14D1" w14:textId="77777777" w:rsidR="00BB1701" w:rsidRPr="00EB32BB" w:rsidRDefault="00BB1701" w:rsidP="00BB1701">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Workgroup’s Recommendation to Panel</w:t>
      </w:r>
    </w:p>
    <w:p w14:paraId="58777323" w14:textId="4DDDA43B" w:rsidR="00BB1701" w:rsidRDefault="00BB1701" w:rsidP="00BB1701">
      <w:r w:rsidRPr="008C182E">
        <w:t xml:space="preserve">The Workgroup </w:t>
      </w:r>
      <w:r>
        <w:t>asks Panel to agree that t</w:t>
      </w:r>
      <w:r w:rsidRPr="008C182E">
        <w:t xml:space="preserve">his </w:t>
      </w:r>
      <w:r>
        <w:t>M</w:t>
      </w:r>
      <w:r w:rsidRPr="008C182E">
        <w:t xml:space="preserve">odification should </w:t>
      </w:r>
      <w:r>
        <w:t>proceed to</w:t>
      </w:r>
      <w:r w:rsidRPr="008C182E">
        <w:t xml:space="preserve"> consultation.</w:t>
      </w:r>
    </w:p>
    <w:p w14:paraId="4BC0F407" w14:textId="77777777" w:rsidR="00BB1701" w:rsidRPr="00E337D4" w:rsidRDefault="00BB1701" w:rsidP="00BB1701">
      <w:pPr>
        <w:pStyle w:val="Heading02"/>
      </w:pPr>
      <w:bookmarkStart w:id="17" w:name="_Toc83103130"/>
      <w:bookmarkStart w:id="18" w:name="_Toc83277564"/>
      <w:bookmarkStart w:id="19" w:name="_Toc83795992"/>
      <w:bookmarkStart w:id="20" w:name="_Toc157431035"/>
      <w:bookmarkStart w:id="21" w:name="_Toc169090700"/>
      <w:r w:rsidRPr="00E337D4">
        <w:t xml:space="preserve">Appended </w:t>
      </w:r>
      <w:r w:rsidRPr="00BD06F6">
        <w:t>Representations</w:t>
      </w:r>
      <w:bookmarkEnd w:id="17"/>
      <w:bookmarkEnd w:id="18"/>
      <w:bookmarkEnd w:id="19"/>
      <w:bookmarkEnd w:id="20"/>
      <w:bookmarkEnd w:id="21"/>
    </w:p>
    <w:p w14:paraId="48C9E086" w14:textId="597ACB8B" w:rsidR="00F34649" w:rsidRPr="00BB1701" w:rsidRDefault="00BB1701" w:rsidP="00BB1701">
      <w:pPr>
        <w:rPr>
          <w:rFonts w:cs="Arial"/>
        </w:rPr>
      </w:pPr>
      <w:r w:rsidRPr="00435708">
        <w:rPr>
          <w:rFonts w:cs="Arial"/>
        </w:rPr>
        <w:t>Initial Representation</w:t>
      </w:r>
      <w:r>
        <w:rPr>
          <w:rFonts w:cs="Arial"/>
        </w:rPr>
        <w:t>s</w:t>
      </w:r>
      <w:r w:rsidRPr="00435708">
        <w:rPr>
          <w:rFonts w:cs="Arial"/>
        </w:rPr>
        <w:t xml:space="preserve"> –</w:t>
      </w:r>
      <w:r>
        <w:rPr>
          <w:rFonts w:cs="Arial"/>
        </w:rPr>
        <w:t xml:space="preserve"> None</w:t>
      </w:r>
    </w:p>
    <w:sectPr w:rsidR="00F34649" w:rsidRPr="00BB1701" w:rsidSect="00632F18">
      <w:headerReference w:type="default" r:id="rId22"/>
      <w:footerReference w:type="default" r:id="rId23"/>
      <w:footerReference w:type="first" r:id="rId24"/>
      <w:type w:val="continuous"/>
      <w:pgSz w:w="11906" w:h="16838"/>
      <w:pgMar w:top="1197" w:right="962" w:bottom="567" w:left="1134" w:header="2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53C691" w14:textId="77777777" w:rsidR="00AF1EAA" w:rsidRDefault="00AF1EAA">
      <w:pPr>
        <w:spacing w:line="240" w:lineRule="auto"/>
      </w:pPr>
      <w:r>
        <w:separator/>
      </w:r>
    </w:p>
    <w:p w14:paraId="4EF5A14F" w14:textId="77777777" w:rsidR="00AF1EAA" w:rsidRDefault="00AF1EAA"/>
  </w:endnote>
  <w:endnote w:type="continuationSeparator" w:id="0">
    <w:p w14:paraId="157B7B94" w14:textId="77777777" w:rsidR="00AF1EAA" w:rsidRDefault="00AF1EAA">
      <w:pPr>
        <w:spacing w:line="240" w:lineRule="auto"/>
      </w:pPr>
      <w:r>
        <w:continuationSeparator/>
      </w:r>
    </w:p>
    <w:p w14:paraId="3D40AB84" w14:textId="77777777" w:rsidR="00AF1EAA" w:rsidRDefault="00AF1EAA"/>
  </w:endnote>
  <w:endnote w:type="continuationNotice" w:id="1">
    <w:p w14:paraId="386423C1" w14:textId="77777777" w:rsidR="00AF1EAA" w:rsidRDefault="00AF1EA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FC2FF" w14:textId="3A6E8148" w:rsidR="005521A7" w:rsidRDefault="005521A7" w:rsidP="00EA3F0B">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lang w:val="en-US"/>
      </w:rPr>
    </w:pPr>
    <w:r>
      <w:rPr>
        <w:rFonts w:cs="Arial"/>
        <w:sz w:val="16"/>
        <w:szCs w:val="16"/>
      </w:rPr>
      <w:t>UNC 0</w:t>
    </w:r>
    <w:r w:rsidR="008A4C03">
      <w:rPr>
        <w:rFonts w:cs="Arial"/>
        <w:sz w:val="16"/>
        <w:szCs w:val="16"/>
      </w:rPr>
      <w:t>8</w:t>
    </w:r>
    <w:r w:rsidR="00632F18">
      <w:rPr>
        <w:rFonts w:cs="Arial"/>
        <w:sz w:val="16"/>
        <w:szCs w:val="16"/>
      </w:rPr>
      <w:t>7</w:t>
    </w:r>
    <w:r w:rsidR="005C6FC0">
      <w:rPr>
        <w:rFonts w:cs="Arial"/>
        <w:sz w:val="16"/>
        <w:szCs w:val="16"/>
      </w:rPr>
      <w:t>8</w:t>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882B71">
      <w:rPr>
        <w:rFonts w:cs="Arial"/>
        <w:noProof/>
        <w:sz w:val="16"/>
        <w:szCs w:val="16"/>
        <w:lang w:val="en-US"/>
      </w:rPr>
      <w:t>1</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882B71">
      <w:rPr>
        <w:rFonts w:cs="Arial"/>
        <w:noProof/>
        <w:sz w:val="16"/>
        <w:szCs w:val="16"/>
        <w:lang w:val="en-US"/>
      </w:rPr>
      <w:t>10</w:t>
    </w:r>
    <w:r w:rsidRPr="000660DF">
      <w:rPr>
        <w:rFonts w:cs="Arial"/>
        <w:sz w:val="16"/>
        <w:szCs w:val="16"/>
        <w:lang w:val="en-US"/>
      </w:rPr>
      <w:fldChar w:fldCharType="end"/>
    </w:r>
    <w:r>
      <w:rPr>
        <w:rFonts w:cs="Arial"/>
        <w:sz w:val="16"/>
        <w:szCs w:val="16"/>
        <w:lang w:val="en-US"/>
      </w:rPr>
      <w:tab/>
      <w:t xml:space="preserve">Version </w:t>
    </w:r>
    <w:r w:rsidR="00C143A7">
      <w:rPr>
        <w:rFonts w:cs="Arial"/>
        <w:sz w:val="16"/>
        <w:szCs w:val="16"/>
        <w:lang w:val="en-US"/>
      </w:rPr>
      <w:t>0.1</w:t>
    </w:r>
  </w:p>
  <w:p w14:paraId="300D936D" w14:textId="2030A18F" w:rsidR="00882B71" w:rsidRDefault="00C143A7" w:rsidP="0056041A">
    <w:pPr>
      <w:pStyle w:val="Footer"/>
      <w:pBdr>
        <w:top w:val="single" w:sz="4" w:space="1" w:color="auto"/>
      </w:pBdr>
      <w:tabs>
        <w:tab w:val="clear" w:pos="4320"/>
        <w:tab w:val="clear" w:pos="8640"/>
        <w:tab w:val="center" w:pos="4962"/>
        <w:tab w:val="right" w:pos="9356"/>
      </w:tabs>
      <w:spacing w:before="0" w:after="0" w:line="240" w:lineRule="auto"/>
      <w:rPr>
        <w:rFonts w:cs="Arial"/>
        <w:sz w:val="16"/>
        <w:szCs w:val="16"/>
        <w:lang w:val="en-US"/>
      </w:rPr>
    </w:pPr>
    <w:r>
      <w:rPr>
        <w:rFonts w:cs="Arial"/>
        <w:sz w:val="16"/>
        <w:szCs w:val="16"/>
        <w:lang w:val="en-US"/>
      </w:rPr>
      <w:t>Workgroup Report</w:t>
    </w:r>
    <w:r w:rsidR="005521A7">
      <w:rPr>
        <w:rFonts w:cs="Arial"/>
        <w:sz w:val="16"/>
        <w:szCs w:val="16"/>
        <w:lang w:val="en-US"/>
      </w:rPr>
      <w:tab/>
    </w:r>
    <w:r w:rsidR="005521A7">
      <w:rPr>
        <w:rFonts w:cs="Arial"/>
        <w:sz w:val="16"/>
        <w:szCs w:val="16"/>
      </w:rPr>
      <w:tab/>
    </w:r>
    <w:r>
      <w:rPr>
        <w:rFonts w:cs="Arial"/>
        <w:sz w:val="16"/>
        <w:szCs w:val="16"/>
        <w:lang w:val="en-US"/>
      </w:rPr>
      <w:t xml:space="preserve">04 July </w:t>
    </w:r>
    <w:r w:rsidR="007A38FB">
      <w:rPr>
        <w:rFonts w:cs="Arial"/>
        <w:sz w:val="16"/>
        <w:szCs w:val="16"/>
        <w:lang w:val="en-US"/>
      </w:rPr>
      <w:t>202</w:t>
    </w:r>
    <w:r w:rsidR="005C6FC0">
      <w:rPr>
        <w:rFonts w:cs="Arial"/>
        <w:sz w:val="16"/>
        <w:szCs w:val="16"/>
        <w:lang w:val="en-US"/>
      </w:rPr>
      <w:t>4</w:t>
    </w:r>
  </w:p>
  <w:p w14:paraId="1AFBA4B8" w14:textId="6DA1398D" w:rsidR="00882B71" w:rsidRDefault="009A43BC">
    <w:pPr>
      <w:pStyle w:val="Footer"/>
      <w:jc w:val="right"/>
    </w:pPr>
    <w:r>
      <w:rPr>
        <w:noProof/>
      </w:rPr>
      <mc:AlternateContent>
        <mc:Choice Requires="wps">
          <w:drawing>
            <wp:anchor distT="0" distB="0" distL="114300" distR="114300" simplePos="0" relativeHeight="251684352" behindDoc="0" locked="0" layoutInCell="1" allowOverlap="1" wp14:anchorId="6AAE7142" wp14:editId="248DC3E7">
              <wp:simplePos x="0" y="0"/>
              <wp:positionH relativeFrom="margin">
                <wp:align>right</wp:align>
              </wp:positionH>
              <wp:positionV relativeFrom="paragraph">
                <wp:posOffset>137160</wp:posOffset>
              </wp:positionV>
              <wp:extent cx="2560320" cy="2559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887BA" w14:textId="7E621511" w:rsidR="00882B71" w:rsidRDefault="00882B71">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E7142" id="_x0000_t202" coordsize="21600,21600" o:spt="202" path="m,l,21600r21600,l21600,xe">
              <v:stroke joinstyle="miter"/>
              <v:path gradientshapeok="t" o:connecttype="rect"/>
            </v:shapetype>
            <v:shape id="Text Box 15" o:spid="_x0000_s1027" type="#_x0000_t202" style="position:absolute;left:0;text-align:left;margin-left:150.4pt;margin-top:10.8pt;width:201.6pt;height:20.15pt;z-index:251684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" filled="f" stroked="f">
              <v:textbox inset="0,0,0,0">
                <w:txbxContent>
                  <w:p w14:paraId="307887BA" w14:textId="7E621511" w:rsidR="00882B71" w:rsidRDefault="00882B71">
                    <w:pPr>
                      <w:pStyle w:val="MacPacTraile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24B704" w14:textId="077F406A" w:rsidR="00882B71" w:rsidRDefault="009A43BC">
    <w:pPr>
      <w:pStyle w:val="Footer"/>
      <w:jc w:val="right"/>
    </w:pPr>
    <w:r>
      <w:rPr>
        <w:noProof/>
      </w:rPr>
      <mc:AlternateContent>
        <mc:Choice Requires="wps">
          <w:drawing>
            <wp:anchor distT="0" distB="0" distL="114300" distR="114300" simplePos="0" relativeHeight="251658241" behindDoc="0" locked="0" layoutInCell="1" allowOverlap="1" wp14:anchorId="248D5C56" wp14:editId="36737C95">
              <wp:simplePos x="0" y="0"/>
              <wp:positionH relativeFrom="margin">
                <wp:align>right</wp:align>
              </wp:positionH>
              <wp:positionV relativeFrom="paragraph">
                <wp:posOffset>137160</wp:posOffset>
              </wp:positionV>
              <wp:extent cx="2560320" cy="25590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C0C88" w14:textId="686E5C55" w:rsidR="00882B71" w:rsidRDefault="00882B71">
                          <w:pPr>
                            <w:pStyle w:val="MacPacTrailer"/>
                          </w:pPr>
                          <w:r>
                            <w:t>C:\Users\pbrennan\Documents\WWA Temp\Centrica\Rough\UNC Modification_Roughv7.docx</w:t>
                          </w:r>
                        </w:p>
                        <w:p w14:paraId="7519AD92" w14:textId="10BE4B2F" w:rsidR="00882B71" w:rsidRDefault="00882B71">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D5C56" id="_x0000_t202" coordsize="21600,21600" o:spt="202" path="m,l,21600r21600,l21600,xe">
              <v:stroke joinstyle="miter"/>
              <v:path gradientshapeok="t" o:connecttype="rect"/>
            </v:shapetype>
            <v:shape id="Text Box 14" o:spid="_x0000_s1028" type="#_x0000_t202" style="position:absolute;left:0;text-align:left;margin-left:150.4pt;margin-top:10.8pt;width:201.6pt;height:20.1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" filled="f" stroked="f">
              <v:textbox inset="0,0,0,0">
                <w:txbxContent>
                  <w:p w14:paraId="5E1C0C88" w14:textId="686E5C55" w:rsidR="00882B71" w:rsidRDefault="00882B71">
                    <w:pPr>
                      <w:pStyle w:val="MacPacTrailer"/>
                    </w:pPr>
                    <w:r>
                      <w:t>C:\Users\pbrennan\Documents\WWA Temp\Centrica\Rough\UNC Modification_Roughv7.docx</w:t>
                    </w:r>
                  </w:p>
                  <w:p w14:paraId="7519AD92" w14:textId="10BE4B2F" w:rsidR="00882B71" w:rsidRDefault="00882B71">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8A8927" w14:textId="77777777" w:rsidR="00AF1EAA" w:rsidRDefault="00AF1EAA">
      <w:pPr>
        <w:spacing w:line="240" w:lineRule="auto"/>
      </w:pPr>
      <w:r>
        <w:separator/>
      </w:r>
    </w:p>
    <w:p w14:paraId="65BC7608" w14:textId="77777777" w:rsidR="00AF1EAA" w:rsidRDefault="00AF1EAA"/>
  </w:footnote>
  <w:footnote w:type="continuationSeparator" w:id="0">
    <w:p w14:paraId="159516DE" w14:textId="77777777" w:rsidR="00AF1EAA" w:rsidRDefault="00AF1EAA">
      <w:pPr>
        <w:spacing w:line="240" w:lineRule="auto"/>
      </w:pPr>
      <w:r>
        <w:continuationSeparator/>
      </w:r>
    </w:p>
    <w:p w14:paraId="139B0C02" w14:textId="77777777" w:rsidR="00AF1EAA" w:rsidRDefault="00AF1EAA"/>
  </w:footnote>
  <w:footnote w:type="continuationNotice" w:id="1">
    <w:p w14:paraId="2C663413" w14:textId="77777777" w:rsidR="00AF1EAA" w:rsidRDefault="00AF1EAA">
      <w:pPr>
        <w:spacing w:before="0" w:after="0" w:line="240" w:lineRule="auto"/>
      </w:pPr>
    </w:p>
  </w:footnote>
  <w:footnote w:id="2">
    <w:p w14:paraId="4907C5D0" w14:textId="6E8D5003" w:rsidR="00A115CD" w:rsidRDefault="00A115CD">
      <w:pPr>
        <w:pStyle w:val="FootnoteText"/>
      </w:pPr>
      <w:r>
        <w:rPr>
          <w:rStyle w:val="FootnoteReference"/>
        </w:rPr>
        <w:footnoteRef/>
      </w:r>
      <w:r>
        <w:t xml:space="preserve"> </w:t>
      </w:r>
      <w:hyperlink r:id="rId1" w:history="1">
        <w:r w:rsidRPr="00436771">
          <w:rPr>
            <w:rStyle w:val="Hyperlink"/>
          </w:rPr>
          <w:t>https://www.gasgovernance.co.uk/0817</w:t>
        </w:r>
      </w:hyperlink>
      <w:r>
        <w:t xml:space="preserve"> </w:t>
      </w:r>
    </w:p>
  </w:footnote>
  <w:footnote w:id="3">
    <w:p w14:paraId="4F80A444" w14:textId="0267C1CD" w:rsidR="00A115CD" w:rsidRDefault="00A115CD">
      <w:pPr>
        <w:pStyle w:val="FootnoteText"/>
      </w:pPr>
      <w:r>
        <w:rPr>
          <w:rStyle w:val="FootnoteReference"/>
        </w:rPr>
        <w:footnoteRef/>
      </w:r>
      <w:r>
        <w:t xml:space="preserve"> </w:t>
      </w:r>
      <w:hyperlink r:id="rId2" w:history="1">
        <w:r w:rsidRPr="00436771">
          <w:rPr>
            <w:rStyle w:val="Hyperlink"/>
          </w:rPr>
          <w:t>https://www.gasgovernance.co.uk/0846</w:t>
        </w:r>
      </w:hyperlink>
      <w:r>
        <w:t xml:space="preserve"> </w:t>
      </w:r>
    </w:p>
  </w:footnote>
  <w:footnote w:id="4">
    <w:p w14:paraId="5A246DF8" w14:textId="77777777" w:rsidR="005873E7" w:rsidRDefault="005873E7" w:rsidP="005873E7">
      <w:pPr>
        <w:pStyle w:val="FootnoteText"/>
      </w:pPr>
      <w:r>
        <w:rPr>
          <w:rStyle w:val="FootnoteReference"/>
        </w:rPr>
        <w:footnoteRef/>
      </w:r>
      <w:r>
        <w:t xml:space="preserve"> Commission Regulation (EU) No 984/2013 of 14 October 2013 establishing a Network Code on Capacity</w:t>
      </w:r>
    </w:p>
    <w:p w14:paraId="429B9F1B" w14:textId="77777777" w:rsidR="005873E7" w:rsidRDefault="005873E7" w:rsidP="005873E7">
      <w:pPr>
        <w:pStyle w:val="FootnoteText"/>
      </w:pPr>
      <w:r>
        <w:t>Allocation Mechanisms in Gas Transmission Systems and supplementing Regulation (EC) No 715/2009 of the</w:t>
      </w:r>
    </w:p>
    <w:p w14:paraId="6733AABE" w14:textId="77777777" w:rsidR="005873E7" w:rsidRDefault="005873E7" w:rsidP="005873E7">
      <w:pPr>
        <w:pStyle w:val="FootnoteText"/>
      </w:pPr>
      <w:r>
        <w:t>European Parliament and of the Council.</w:t>
      </w:r>
    </w:p>
  </w:footnote>
  <w:footnote w:id="5">
    <w:p w14:paraId="2710C084" w14:textId="77777777" w:rsidR="00790C30" w:rsidRDefault="00790C30" w:rsidP="00790C30">
      <w:pPr>
        <w:pStyle w:val="FootnoteText"/>
      </w:pPr>
      <w:r>
        <w:rPr>
          <w:rStyle w:val="FootnoteReference"/>
        </w:rPr>
        <w:footnoteRef/>
      </w:r>
      <w:r>
        <w:t xml:space="preserve"> Commission Regulation (EU) No 984/2013 of 14 October 2013 establishing a Network Code on Capacity</w:t>
      </w:r>
    </w:p>
    <w:p w14:paraId="48B65C40" w14:textId="77777777" w:rsidR="00790C30" w:rsidRDefault="00790C30" w:rsidP="00790C30">
      <w:pPr>
        <w:pStyle w:val="FootnoteText"/>
      </w:pPr>
      <w:r>
        <w:t>Allocation Mechanisms in Gas Transmission Systems and supplementing Regulation (EC) No 715/2009 of the</w:t>
      </w:r>
    </w:p>
    <w:p w14:paraId="053DD14A" w14:textId="16FDCF7E" w:rsidR="00790C30" w:rsidRDefault="00790C30" w:rsidP="00790C30">
      <w:pPr>
        <w:pStyle w:val="FootnoteText"/>
      </w:pPr>
      <w:r>
        <w:t>European Parliament and of the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4DD5F" w14:textId="28C634B1" w:rsidR="005521A7" w:rsidRDefault="005521A7" w:rsidP="007C1163">
    <w:pPr>
      <w:pStyle w:val="Header"/>
      <w:tabs>
        <w:tab w:val="left" w:pos="2160"/>
      </w:tabs>
      <w:jc w:val="right"/>
    </w:pPr>
    <w:r>
      <w:rPr>
        <w:noProof/>
        <w:lang w:val="en-US" w:eastAsia="en-US"/>
      </w:rPr>
      <w:drawing>
        <wp:anchor distT="0" distB="0" distL="114300" distR="114300" simplePos="0" relativeHeight="251658240" behindDoc="0" locked="0" layoutInCell="1" allowOverlap="1" wp14:anchorId="4EEADFF1" wp14:editId="239DF42C">
          <wp:simplePos x="0" y="0"/>
          <wp:positionH relativeFrom="column">
            <wp:posOffset>-194945</wp:posOffset>
          </wp:positionH>
          <wp:positionV relativeFrom="paragraph">
            <wp:posOffset>212090</wp:posOffset>
          </wp:positionV>
          <wp:extent cx="2057400" cy="274320"/>
          <wp:effectExtent l="0" t="0" r="0" b="0"/>
          <wp:wrapSquare wrapText="right"/>
          <wp:docPr id="2145434937" name="Picture 2145434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3D4D37" w14:textId="77777777" w:rsidR="005521A7" w:rsidRDefault="005521A7" w:rsidP="007C1163">
    <w:pPr>
      <w:pStyle w:val="Header"/>
      <w:spacing w:after="0"/>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831E3F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76A91"/>
    <w:multiLevelType w:val="hybridMultilevel"/>
    <w:tmpl w:val="C4DCB7B4"/>
    <w:lvl w:ilvl="0" w:tplc="DE505EDE">
      <w:numFmt w:val="bullet"/>
      <w:lvlText w:val="•"/>
      <w:lvlJc w:val="left"/>
      <w:pPr>
        <w:ind w:left="473" w:hanging="360"/>
      </w:pPr>
      <w:rPr>
        <w:rFonts w:ascii="Arial" w:eastAsia="Times New Roman" w:hAnsi="Aria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 w15:restartNumberingAfterBreak="0">
    <w:nsid w:val="015A7DA1"/>
    <w:multiLevelType w:val="hybridMultilevel"/>
    <w:tmpl w:val="ADCC0F34"/>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3" w15:restartNumberingAfterBreak="0">
    <w:nsid w:val="06314909"/>
    <w:multiLevelType w:val="multilevel"/>
    <w:tmpl w:val="340CFED8"/>
    <w:lvl w:ilvl="0">
      <w:start w:val="1"/>
      <w:numFmt w:val="decimal"/>
      <w:pStyle w:val="Heading0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06EE0302"/>
    <w:multiLevelType w:val="hybridMultilevel"/>
    <w:tmpl w:val="1E620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94418A0"/>
    <w:multiLevelType w:val="hybridMultilevel"/>
    <w:tmpl w:val="9EDC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8"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10403A"/>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F23A6"/>
    <w:multiLevelType w:val="hybridMultilevel"/>
    <w:tmpl w:val="B74C4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83831"/>
    <w:multiLevelType w:val="hybridMultilevel"/>
    <w:tmpl w:val="C066C3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F8E0D42"/>
    <w:multiLevelType w:val="hybridMultilevel"/>
    <w:tmpl w:val="A0380CF6"/>
    <w:lvl w:ilvl="0" w:tplc="8A041C2A">
      <w:start w:val="1"/>
      <w:numFmt w:val="bullet"/>
      <w:pStyle w:val="CACoPBulletLevel1"/>
      <w:lvlText w:val=""/>
      <w:lvlJc w:val="left"/>
      <w:pPr>
        <w:ind w:left="720" w:hanging="360"/>
      </w:pPr>
      <w:rPr>
        <w:rFonts w:ascii="Symbol" w:hAnsi="Symbol" w:hint="default"/>
        <w:color w:val="ED7D31"/>
      </w:rPr>
    </w:lvl>
    <w:lvl w:ilvl="1" w:tplc="0AD2708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6150646"/>
    <w:multiLevelType w:val="hybridMultilevel"/>
    <w:tmpl w:val="A116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091D8D"/>
    <w:multiLevelType w:val="hybridMultilevel"/>
    <w:tmpl w:val="1A3E0F08"/>
    <w:lvl w:ilvl="0" w:tplc="A6B04C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1F3FE2"/>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6C166E"/>
    <w:multiLevelType w:val="hybridMultilevel"/>
    <w:tmpl w:val="0C0699E8"/>
    <w:lvl w:ilvl="0" w:tplc="08090011">
      <w:start w:val="1"/>
      <w:numFmt w:val="decimal"/>
      <w:lvlText w:val="%1)"/>
      <w:lvlJc w:val="left"/>
      <w:pPr>
        <w:ind w:left="77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1" w15:restartNumberingAfterBreak="0">
    <w:nsid w:val="55A273EC"/>
    <w:multiLevelType w:val="hybridMultilevel"/>
    <w:tmpl w:val="E7EAA534"/>
    <w:lvl w:ilvl="0" w:tplc="0114B7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23" w15:restartNumberingAfterBreak="0">
    <w:nsid w:val="5D030D06"/>
    <w:multiLevelType w:val="hybridMultilevel"/>
    <w:tmpl w:val="C2E2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25"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3713C07"/>
    <w:multiLevelType w:val="hybridMultilevel"/>
    <w:tmpl w:val="4C5C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446884"/>
    <w:multiLevelType w:val="hybridMultilevel"/>
    <w:tmpl w:val="CB9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32"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7C855798"/>
    <w:multiLevelType w:val="hybridMultilevel"/>
    <w:tmpl w:val="39D4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C25E24"/>
    <w:multiLevelType w:val="hybridMultilevel"/>
    <w:tmpl w:val="A6CEC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913838"/>
    <w:multiLevelType w:val="hybridMultilevel"/>
    <w:tmpl w:val="FB081A12"/>
    <w:lvl w:ilvl="0" w:tplc="0114B7BA">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num w:numId="1" w16cid:durableId="237594744">
    <w:abstractNumId w:val="31"/>
  </w:num>
  <w:num w:numId="2" w16cid:durableId="886144565">
    <w:abstractNumId w:val="27"/>
  </w:num>
  <w:num w:numId="3" w16cid:durableId="1003895480">
    <w:abstractNumId w:val="13"/>
  </w:num>
  <w:num w:numId="4" w16cid:durableId="1142036728">
    <w:abstractNumId w:val="15"/>
  </w:num>
  <w:num w:numId="5" w16cid:durableId="700127343">
    <w:abstractNumId w:val="8"/>
  </w:num>
  <w:num w:numId="6" w16cid:durableId="485125323">
    <w:abstractNumId w:val="29"/>
  </w:num>
  <w:num w:numId="7" w16cid:durableId="398098339">
    <w:abstractNumId w:val="17"/>
  </w:num>
  <w:num w:numId="8" w16cid:durableId="324431633">
    <w:abstractNumId w:val="10"/>
  </w:num>
  <w:num w:numId="9" w16cid:durableId="1390298856">
    <w:abstractNumId w:val="26"/>
  </w:num>
  <w:num w:numId="10" w16cid:durableId="1171794851">
    <w:abstractNumId w:val="24"/>
  </w:num>
  <w:num w:numId="11" w16cid:durableId="1647320120">
    <w:abstractNumId w:val="7"/>
  </w:num>
  <w:num w:numId="12" w16cid:durableId="1567836179">
    <w:abstractNumId w:val="6"/>
  </w:num>
  <w:num w:numId="13" w16cid:durableId="48116381">
    <w:abstractNumId w:val="25"/>
  </w:num>
  <w:num w:numId="14" w16cid:durableId="423112706">
    <w:abstractNumId w:val="3"/>
  </w:num>
  <w:num w:numId="15" w16cid:durableId="1098066127">
    <w:abstractNumId w:val="5"/>
  </w:num>
  <w:num w:numId="16" w16cid:durableId="1634405084">
    <w:abstractNumId w:val="30"/>
  </w:num>
  <w:num w:numId="17" w16cid:durableId="1306466578">
    <w:abstractNumId w:val="32"/>
  </w:num>
  <w:num w:numId="18" w16cid:durableId="581455064">
    <w:abstractNumId w:val="22"/>
  </w:num>
  <w:num w:numId="19" w16cid:durableId="1846674031">
    <w:abstractNumId w:val="9"/>
  </w:num>
  <w:num w:numId="20" w16cid:durableId="1253204380">
    <w:abstractNumId w:val="14"/>
  </w:num>
  <w:num w:numId="21" w16cid:durableId="1787187926">
    <w:abstractNumId w:val="19"/>
  </w:num>
  <w:num w:numId="22" w16cid:durableId="462116755">
    <w:abstractNumId w:val="4"/>
  </w:num>
  <w:num w:numId="23" w16cid:durableId="1893349023">
    <w:abstractNumId w:val="2"/>
  </w:num>
  <w:num w:numId="24" w16cid:durableId="1324117608">
    <w:abstractNumId w:val="0"/>
  </w:num>
  <w:num w:numId="25" w16cid:durableId="1789856417">
    <w:abstractNumId w:val="35"/>
  </w:num>
  <w:num w:numId="26" w16cid:durableId="1528790782">
    <w:abstractNumId w:val="21"/>
  </w:num>
  <w:num w:numId="27" w16cid:durableId="2003242214">
    <w:abstractNumId w:val="1"/>
  </w:num>
  <w:num w:numId="28" w16cid:durableId="2003972124">
    <w:abstractNumId w:val="23"/>
  </w:num>
  <w:num w:numId="29" w16cid:durableId="1591962067">
    <w:abstractNumId w:val="12"/>
  </w:num>
  <w:num w:numId="30" w16cid:durableId="556286914">
    <w:abstractNumId w:val="34"/>
  </w:num>
  <w:num w:numId="31" w16cid:durableId="1200624128">
    <w:abstractNumId w:val="33"/>
  </w:num>
  <w:num w:numId="32" w16cid:durableId="1192694661">
    <w:abstractNumId w:val="16"/>
  </w:num>
  <w:num w:numId="33" w16cid:durableId="1972856326">
    <w:abstractNumId w:val="20"/>
  </w:num>
  <w:num w:numId="34" w16cid:durableId="321201168">
    <w:abstractNumId w:val="3"/>
  </w:num>
  <w:num w:numId="35" w16cid:durableId="1052846831">
    <w:abstractNumId w:val="18"/>
  </w:num>
  <w:num w:numId="36" w16cid:durableId="1839222562">
    <w:abstractNumId w:val="11"/>
  </w:num>
  <w:num w:numId="37" w16cid:durableId="1432698737">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9"/>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AyMTE3MDU0tLQ0tTRS0lEKTi0uzszPAykwrgUAD238YywAAAA="/>
    <w:docVar w:name="ForteTempFile" w:val="C:\Users\devsbrown\AppData\Local\Temp\5f917560-d6bb-458a-abf9-eaf7831fa6c1.docx"/>
    <w:docVar w:name="zzmp10LastTrailerInserted" w:val="^`~#mp!@.⌅⌒#⌛└┥539~xŔmN⌎Â1⌘„À¥p¤⌚⌔⌗FrW[⌈⌙»!⌔ÅNCj⌞ §§µã@&lt;―iq-⌙TE´È1û⌜æÎ%C{⌐èÔ£‹h&gt;3Æ*‚R„b⌌+‰ÚsæÇF*¤C‛{è‼ŠFÚ¿Í‛#¨źÌT․\ÊÀ¨øs(¢®ªôƓùLÁ˞ˆVQ‼©¥⌏¶SXsŔ:'(&amp;Wpß´:&lt;O|Sm⌟ ¥-­þBOÒ¾—lJ„ŔBX)Y³èÒ4ÍG⌚gôR⌔½–;íÎ‣=Ý¼Ò⌛Fû¿´j¿jÈ⌋²òC8V8S011"/>
    <w:docVar w:name="zzmp10LastTrailerInserted_5142" w:val="^`~#mp!@.⌅⌒#⌛└┥539~xŔmN⌎Â1⌘„À¥p¤⌚⌔⌗FrW[⌈⌙»!⌔ÅNCj⌞ §§µã@&lt;―iq-⌙TE´È1û⌜æÎ%C{⌐èÔ£‹h&gt;3Æ*‚R„b⌌+‰ÚsæÇF*¤C‛{è‼ŠFÚ¿Í‛#¨źÌT․\ÊÀ¨øs(¢®ªôƓùLÁ˞ˆVQ‼©¥⌏¶SXsŔ:'(&amp;Wpß´:&lt;O|Sm⌟ ¥-­þBOÒ¾—lJ„ŔBX)Y³èÒ4ÍG⌚gôR⌔½–;íÎ‣=Ý¼Ò⌛Fû¿´j¿jÈ⌋²òC8V8S011"/>
    <w:docVar w:name="zzmp10mSEGsValidated" w:val="1"/>
    <w:docVar w:name="zzmpCompatibilityMode" w:val="15"/>
  </w:docVars>
  <w:rsids>
    <w:rsidRoot w:val="00731B99"/>
    <w:rsid w:val="0000132F"/>
    <w:rsid w:val="0000215A"/>
    <w:rsid w:val="0000274D"/>
    <w:rsid w:val="00002AEA"/>
    <w:rsid w:val="00003462"/>
    <w:rsid w:val="00004426"/>
    <w:rsid w:val="00004A78"/>
    <w:rsid w:val="00005C2A"/>
    <w:rsid w:val="0000619E"/>
    <w:rsid w:val="0000643D"/>
    <w:rsid w:val="0001312A"/>
    <w:rsid w:val="000131C0"/>
    <w:rsid w:val="00014A06"/>
    <w:rsid w:val="00016022"/>
    <w:rsid w:val="00016BFA"/>
    <w:rsid w:val="00017F43"/>
    <w:rsid w:val="00021E27"/>
    <w:rsid w:val="0002309B"/>
    <w:rsid w:val="0002527E"/>
    <w:rsid w:val="00025826"/>
    <w:rsid w:val="00026A6A"/>
    <w:rsid w:val="00030277"/>
    <w:rsid w:val="00034467"/>
    <w:rsid w:val="000363FA"/>
    <w:rsid w:val="00041A17"/>
    <w:rsid w:val="00041D10"/>
    <w:rsid w:val="000427B0"/>
    <w:rsid w:val="00044278"/>
    <w:rsid w:val="00044FE1"/>
    <w:rsid w:val="00045F75"/>
    <w:rsid w:val="00047987"/>
    <w:rsid w:val="000524F8"/>
    <w:rsid w:val="000546C7"/>
    <w:rsid w:val="00054C47"/>
    <w:rsid w:val="00055793"/>
    <w:rsid w:val="0005617C"/>
    <w:rsid w:val="000561DC"/>
    <w:rsid w:val="00057C9D"/>
    <w:rsid w:val="0006088F"/>
    <w:rsid w:val="00061CF2"/>
    <w:rsid w:val="00062865"/>
    <w:rsid w:val="00062E0D"/>
    <w:rsid w:val="000666B0"/>
    <w:rsid w:val="00067678"/>
    <w:rsid w:val="000715C2"/>
    <w:rsid w:val="00071625"/>
    <w:rsid w:val="0007217E"/>
    <w:rsid w:val="00075FA7"/>
    <w:rsid w:val="000775A5"/>
    <w:rsid w:val="00077CAB"/>
    <w:rsid w:val="000818C8"/>
    <w:rsid w:val="00082292"/>
    <w:rsid w:val="00082674"/>
    <w:rsid w:val="00082F1D"/>
    <w:rsid w:val="00084725"/>
    <w:rsid w:val="00085099"/>
    <w:rsid w:val="00087004"/>
    <w:rsid w:val="000922F8"/>
    <w:rsid w:val="00092D84"/>
    <w:rsid w:val="0009601F"/>
    <w:rsid w:val="00096C4E"/>
    <w:rsid w:val="000A36A8"/>
    <w:rsid w:val="000A487E"/>
    <w:rsid w:val="000B0043"/>
    <w:rsid w:val="000B007D"/>
    <w:rsid w:val="000B1AEC"/>
    <w:rsid w:val="000B2E3D"/>
    <w:rsid w:val="000B5CFC"/>
    <w:rsid w:val="000B5D6C"/>
    <w:rsid w:val="000B668E"/>
    <w:rsid w:val="000C0DD1"/>
    <w:rsid w:val="000C7811"/>
    <w:rsid w:val="000D1ECA"/>
    <w:rsid w:val="000D2D4A"/>
    <w:rsid w:val="000D51D4"/>
    <w:rsid w:val="000D5720"/>
    <w:rsid w:val="000D6401"/>
    <w:rsid w:val="000D7F1E"/>
    <w:rsid w:val="000E0100"/>
    <w:rsid w:val="000E034A"/>
    <w:rsid w:val="000E0BB2"/>
    <w:rsid w:val="000E2951"/>
    <w:rsid w:val="000E2E48"/>
    <w:rsid w:val="000E326B"/>
    <w:rsid w:val="000E3F5B"/>
    <w:rsid w:val="000E4A04"/>
    <w:rsid w:val="000E76BF"/>
    <w:rsid w:val="000F2512"/>
    <w:rsid w:val="000F44A3"/>
    <w:rsid w:val="000F7566"/>
    <w:rsid w:val="00103E4D"/>
    <w:rsid w:val="00104CFB"/>
    <w:rsid w:val="00105188"/>
    <w:rsid w:val="001060C1"/>
    <w:rsid w:val="00111F27"/>
    <w:rsid w:val="001121CF"/>
    <w:rsid w:val="00112F45"/>
    <w:rsid w:val="001156C4"/>
    <w:rsid w:val="00116E9B"/>
    <w:rsid w:val="001216C5"/>
    <w:rsid w:val="001223C1"/>
    <w:rsid w:val="00122D68"/>
    <w:rsid w:val="0012496E"/>
    <w:rsid w:val="00127709"/>
    <w:rsid w:val="00131DF3"/>
    <w:rsid w:val="00132A8F"/>
    <w:rsid w:val="001334B8"/>
    <w:rsid w:val="00135667"/>
    <w:rsid w:val="00141245"/>
    <w:rsid w:val="00141554"/>
    <w:rsid w:val="00142F98"/>
    <w:rsid w:val="00143041"/>
    <w:rsid w:val="00143204"/>
    <w:rsid w:val="0014327C"/>
    <w:rsid w:val="001445A0"/>
    <w:rsid w:val="001451F4"/>
    <w:rsid w:val="0014624E"/>
    <w:rsid w:val="00150AE6"/>
    <w:rsid w:val="00153B91"/>
    <w:rsid w:val="00155BFF"/>
    <w:rsid w:val="00164A36"/>
    <w:rsid w:val="00164E30"/>
    <w:rsid w:val="001655EA"/>
    <w:rsid w:val="00166B50"/>
    <w:rsid w:val="001703AA"/>
    <w:rsid w:val="001706E6"/>
    <w:rsid w:val="00172837"/>
    <w:rsid w:val="00174D21"/>
    <w:rsid w:val="00175CBA"/>
    <w:rsid w:val="00180FB2"/>
    <w:rsid w:val="00182A0C"/>
    <w:rsid w:val="00182FC4"/>
    <w:rsid w:val="00183448"/>
    <w:rsid w:val="0018496D"/>
    <w:rsid w:val="0018581B"/>
    <w:rsid w:val="00187E2F"/>
    <w:rsid w:val="0019117F"/>
    <w:rsid w:val="001937A0"/>
    <w:rsid w:val="00193F47"/>
    <w:rsid w:val="001963C1"/>
    <w:rsid w:val="00197A37"/>
    <w:rsid w:val="001A2047"/>
    <w:rsid w:val="001A5839"/>
    <w:rsid w:val="001A6B5B"/>
    <w:rsid w:val="001A6E94"/>
    <w:rsid w:val="001A6F74"/>
    <w:rsid w:val="001A7E2F"/>
    <w:rsid w:val="001B2D7A"/>
    <w:rsid w:val="001B3E04"/>
    <w:rsid w:val="001B6620"/>
    <w:rsid w:val="001B6BEA"/>
    <w:rsid w:val="001B77B6"/>
    <w:rsid w:val="001C01D5"/>
    <w:rsid w:val="001C032F"/>
    <w:rsid w:val="001C0AAE"/>
    <w:rsid w:val="001C0C6E"/>
    <w:rsid w:val="001C182C"/>
    <w:rsid w:val="001C1CD8"/>
    <w:rsid w:val="001C207A"/>
    <w:rsid w:val="001C2B78"/>
    <w:rsid w:val="001C665E"/>
    <w:rsid w:val="001D0B92"/>
    <w:rsid w:val="001D0D07"/>
    <w:rsid w:val="001D2BFA"/>
    <w:rsid w:val="001D3EFD"/>
    <w:rsid w:val="001D59BA"/>
    <w:rsid w:val="001D5C1B"/>
    <w:rsid w:val="001D653B"/>
    <w:rsid w:val="001D7EC5"/>
    <w:rsid w:val="001E0BF0"/>
    <w:rsid w:val="001E32D7"/>
    <w:rsid w:val="001E434D"/>
    <w:rsid w:val="001E5D9F"/>
    <w:rsid w:val="001E680A"/>
    <w:rsid w:val="001E6DCF"/>
    <w:rsid w:val="001F0629"/>
    <w:rsid w:val="001F16E3"/>
    <w:rsid w:val="001F36FC"/>
    <w:rsid w:val="001F3812"/>
    <w:rsid w:val="001F4DA0"/>
    <w:rsid w:val="001F6DA9"/>
    <w:rsid w:val="001F7908"/>
    <w:rsid w:val="001F7ABC"/>
    <w:rsid w:val="001F7CE9"/>
    <w:rsid w:val="001F7D0E"/>
    <w:rsid w:val="002036BB"/>
    <w:rsid w:val="002047E2"/>
    <w:rsid w:val="00205E60"/>
    <w:rsid w:val="00206321"/>
    <w:rsid w:val="00210BEC"/>
    <w:rsid w:val="002112ED"/>
    <w:rsid w:val="00211D85"/>
    <w:rsid w:val="002126D4"/>
    <w:rsid w:val="00212BF5"/>
    <w:rsid w:val="00213E73"/>
    <w:rsid w:val="0021418F"/>
    <w:rsid w:val="002148B6"/>
    <w:rsid w:val="00215877"/>
    <w:rsid w:val="002161A4"/>
    <w:rsid w:val="00217E61"/>
    <w:rsid w:val="00221099"/>
    <w:rsid w:val="00221627"/>
    <w:rsid w:val="002228C8"/>
    <w:rsid w:val="00224658"/>
    <w:rsid w:val="00225131"/>
    <w:rsid w:val="00225F2B"/>
    <w:rsid w:val="00226B44"/>
    <w:rsid w:val="002272EF"/>
    <w:rsid w:val="002308B2"/>
    <w:rsid w:val="0023244D"/>
    <w:rsid w:val="00232D5E"/>
    <w:rsid w:val="002331DA"/>
    <w:rsid w:val="00236DCB"/>
    <w:rsid w:val="002370BD"/>
    <w:rsid w:val="0024000A"/>
    <w:rsid w:val="00240472"/>
    <w:rsid w:val="002426A7"/>
    <w:rsid w:val="00242E07"/>
    <w:rsid w:val="00251679"/>
    <w:rsid w:val="00251C61"/>
    <w:rsid w:val="00251F86"/>
    <w:rsid w:val="00252278"/>
    <w:rsid w:val="00256075"/>
    <w:rsid w:val="00256110"/>
    <w:rsid w:val="00256566"/>
    <w:rsid w:val="00260032"/>
    <w:rsid w:val="00260556"/>
    <w:rsid w:val="00260BAE"/>
    <w:rsid w:val="00260C2C"/>
    <w:rsid w:val="002612FD"/>
    <w:rsid w:val="002626D7"/>
    <w:rsid w:val="00263600"/>
    <w:rsid w:val="00266BC0"/>
    <w:rsid w:val="00272979"/>
    <w:rsid w:val="00274FFD"/>
    <w:rsid w:val="002758A6"/>
    <w:rsid w:val="002758FE"/>
    <w:rsid w:val="00281CF1"/>
    <w:rsid w:val="00281F45"/>
    <w:rsid w:val="0028655D"/>
    <w:rsid w:val="00286CBD"/>
    <w:rsid w:val="00290E44"/>
    <w:rsid w:val="00290F86"/>
    <w:rsid w:val="00291083"/>
    <w:rsid w:val="00294DED"/>
    <w:rsid w:val="002966A9"/>
    <w:rsid w:val="002A369F"/>
    <w:rsid w:val="002A7031"/>
    <w:rsid w:val="002B134D"/>
    <w:rsid w:val="002B26AA"/>
    <w:rsid w:val="002B4393"/>
    <w:rsid w:val="002B4FCA"/>
    <w:rsid w:val="002B6556"/>
    <w:rsid w:val="002B6671"/>
    <w:rsid w:val="002B68DB"/>
    <w:rsid w:val="002C1553"/>
    <w:rsid w:val="002C22C1"/>
    <w:rsid w:val="002C39D1"/>
    <w:rsid w:val="002C4C65"/>
    <w:rsid w:val="002D1CC0"/>
    <w:rsid w:val="002D25F9"/>
    <w:rsid w:val="002D330E"/>
    <w:rsid w:val="002D4AED"/>
    <w:rsid w:val="002D5DFC"/>
    <w:rsid w:val="002D6272"/>
    <w:rsid w:val="002E2ECA"/>
    <w:rsid w:val="002E4509"/>
    <w:rsid w:val="002E4ADC"/>
    <w:rsid w:val="002E5FE4"/>
    <w:rsid w:val="002E7709"/>
    <w:rsid w:val="002F0224"/>
    <w:rsid w:val="002F084F"/>
    <w:rsid w:val="002F13B8"/>
    <w:rsid w:val="002F357D"/>
    <w:rsid w:val="002F3AB8"/>
    <w:rsid w:val="002F40F9"/>
    <w:rsid w:val="002F5EF5"/>
    <w:rsid w:val="002F6CD0"/>
    <w:rsid w:val="00301DAF"/>
    <w:rsid w:val="003020A2"/>
    <w:rsid w:val="00302F67"/>
    <w:rsid w:val="0030347F"/>
    <w:rsid w:val="00305AC5"/>
    <w:rsid w:val="00306BF5"/>
    <w:rsid w:val="00306F39"/>
    <w:rsid w:val="00307204"/>
    <w:rsid w:val="0031249E"/>
    <w:rsid w:val="00313E9E"/>
    <w:rsid w:val="00313EDF"/>
    <w:rsid w:val="00313FE4"/>
    <w:rsid w:val="00316676"/>
    <w:rsid w:val="00320457"/>
    <w:rsid w:val="00320B78"/>
    <w:rsid w:val="003221E9"/>
    <w:rsid w:val="003235C6"/>
    <w:rsid w:val="003241A3"/>
    <w:rsid w:val="003246C7"/>
    <w:rsid w:val="003248D1"/>
    <w:rsid w:val="00324D86"/>
    <w:rsid w:val="003261A6"/>
    <w:rsid w:val="0033097B"/>
    <w:rsid w:val="00331631"/>
    <w:rsid w:val="00332A65"/>
    <w:rsid w:val="00332FE3"/>
    <w:rsid w:val="00333474"/>
    <w:rsid w:val="0033366C"/>
    <w:rsid w:val="00333D07"/>
    <w:rsid w:val="00336821"/>
    <w:rsid w:val="00341683"/>
    <w:rsid w:val="00341CAD"/>
    <w:rsid w:val="00344FDC"/>
    <w:rsid w:val="00345CAD"/>
    <w:rsid w:val="00351769"/>
    <w:rsid w:val="00351960"/>
    <w:rsid w:val="003522B5"/>
    <w:rsid w:val="00352A27"/>
    <w:rsid w:val="00353885"/>
    <w:rsid w:val="00354285"/>
    <w:rsid w:val="0035487C"/>
    <w:rsid w:val="00354D43"/>
    <w:rsid w:val="003557B1"/>
    <w:rsid w:val="00355D82"/>
    <w:rsid w:val="00356A50"/>
    <w:rsid w:val="00357570"/>
    <w:rsid w:val="00360E65"/>
    <w:rsid w:val="003614E2"/>
    <w:rsid w:val="00362030"/>
    <w:rsid w:val="00363FE9"/>
    <w:rsid w:val="0036715B"/>
    <w:rsid w:val="003677FD"/>
    <w:rsid w:val="00367F60"/>
    <w:rsid w:val="0037034E"/>
    <w:rsid w:val="003711F3"/>
    <w:rsid w:val="00377573"/>
    <w:rsid w:val="00377752"/>
    <w:rsid w:val="00380C64"/>
    <w:rsid w:val="00381EB7"/>
    <w:rsid w:val="00382814"/>
    <w:rsid w:val="00386096"/>
    <w:rsid w:val="00386528"/>
    <w:rsid w:val="003906B1"/>
    <w:rsid w:val="00390D19"/>
    <w:rsid w:val="00390D7B"/>
    <w:rsid w:val="003920ED"/>
    <w:rsid w:val="003971AB"/>
    <w:rsid w:val="003A016A"/>
    <w:rsid w:val="003A2AA8"/>
    <w:rsid w:val="003A2BCC"/>
    <w:rsid w:val="003A3114"/>
    <w:rsid w:val="003A4FC7"/>
    <w:rsid w:val="003A5C76"/>
    <w:rsid w:val="003A61D1"/>
    <w:rsid w:val="003A6CCA"/>
    <w:rsid w:val="003B064C"/>
    <w:rsid w:val="003B0780"/>
    <w:rsid w:val="003B0A42"/>
    <w:rsid w:val="003B1A71"/>
    <w:rsid w:val="003B1F7E"/>
    <w:rsid w:val="003B2FAB"/>
    <w:rsid w:val="003B4359"/>
    <w:rsid w:val="003B44D0"/>
    <w:rsid w:val="003B5816"/>
    <w:rsid w:val="003B7D57"/>
    <w:rsid w:val="003C1BBC"/>
    <w:rsid w:val="003C1E4D"/>
    <w:rsid w:val="003C22DF"/>
    <w:rsid w:val="003C2E56"/>
    <w:rsid w:val="003C3910"/>
    <w:rsid w:val="003C3E68"/>
    <w:rsid w:val="003C457B"/>
    <w:rsid w:val="003C62E6"/>
    <w:rsid w:val="003C6AB2"/>
    <w:rsid w:val="003C6D82"/>
    <w:rsid w:val="003D01DB"/>
    <w:rsid w:val="003D0281"/>
    <w:rsid w:val="003D0C5A"/>
    <w:rsid w:val="003D277E"/>
    <w:rsid w:val="003D2ED4"/>
    <w:rsid w:val="003D41D8"/>
    <w:rsid w:val="003D5877"/>
    <w:rsid w:val="003D6504"/>
    <w:rsid w:val="003D689D"/>
    <w:rsid w:val="003D6BD4"/>
    <w:rsid w:val="003D6CF5"/>
    <w:rsid w:val="003D6D83"/>
    <w:rsid w:val="003D6F3E"/>
    <w:rsid w:val="003E0757"/>
    <w:rsid w:val="003E0916"/>
    <w:rsid w:val="003E0B53"/>
    <w:rsid w:val="003E16D8"/>
    <w:rsid w:val="003E1B16"/>
    <w:rsid w:val="003E2E2E"/>
    <w:rsid w:val="003E66EC"/>
    <w:rsid w:val="003F030F"/>
    <w:rsid w:val="003F0B70"/>
    <w:rsid w:val="003F163F"/>
    <w:rsid w:val="003F2A86"/>
    <w:rsid w:val="003F7B9F"/>
    <w:rsid w:val="00402861"/>
    <w:rsid w:val="004028D5"/>
    <w:rsid w:val="004045E4"/>
    <w:rsid w:val="00410750"/>
    <w:rsid w:val="00411384"/>
    <w:rsid w:val="004121CC"/>
    <w:rsid w:val="0041259C"/>
    <w:rsid w:val="00413790"/>
    <w:rsid w:val="00416FC8"/>
    <w:rsid w:val="00417D78"/>
    <w:rsid w:val="00420FB8"/>
    <w:rsid w:val="00421B40"/>
    <w:rsid w:val="00422258"/>
    <w:rsid w:val="00422788"/>
    <w:rsid w:val="00425097"/>
    <w:rsid w:val="0042584E"/>
    <w:rsid w:val="00426FD6"/>
    <w:rsid w:val="00430758"/>
    <w:rsid w:val="00430E90"/>
    <w:rsid w:val="00432081"/>
    <w:rsid w:val="00432637"/>
    <w:rsid w:val="00432932"/>
    <w:rsid w:val="00433909"/>
    <w:rsid w:val="00433CFE"/>
    <w:rsid w:val="004342A7"/>
    <w:rsid w:val="004348D0"/>
    <w:rsid w:val="00435C42"/>
    <w:rsid w:val="00435CF2"/>
    <w:rsid w:val="00436AEA"/>
    <w:rsid w:val="00436E84"/>
    <w:rsid w:val="0044099A"/>
    <w:rsid w:val="004428DE"/>
    <w:rsid w:val="00446636"/>
    <w:rsid w:val="00446C45"/>
    <w:rsid w:val="00447064"/>
    <w:rsid w:val="00447C11"/>
    <w:rsid w:val="00450385"/>
    <w:rsid w:val="004504EA"/>
    <w:rsid w:val="004509D7"/>
    <w:rsid w:val="00452CA5"/>
    <w:rsid w:val="004539F0"/>
    <w:rsid w:val="00456869"/>
    <w:rsid w:val="00456F5F"/>
    <w:rsid w:val="004570AC"/>
    <w:rsid w:val="004579CF"/>
    <w:rsid w:val="0046001A"/>
    <w:rsid w:val="00461C2F"/>
    <w:rsid w:val="00463EF6"/>
    <w:rsid w:val="004654ED"/>
    <w:rsid w:val="004658AF"/>
    <w:rsid w:val="00465988"/>
    <w:rsid w:val="00472110"/>
    <w:rsid w:val="00473B9D"/>
    <w:rsid w:val="004766B1"/>
    <w:rsid w:val="0048065C"/>
    <w:rsid w:val="00480E2E"/>
    <w:rsid w:val="00481711"/>
    <w:rsid w:val="00481AF8"/>
    <w:rsid w:val="00484BB9"/>
    <w:rsid w:val="0048657A"/>
    <w:rsid w:val="00491C25"/>
    <w:rsid w:val="00491D53"/>
    <w:rsid w:val="004958FC"/>
    <w:rsid w:val="004A105A"/>
    <w:rsid w:val="004A22E8"/>
    <w:rsid w:val="004A2F77"/>
    <w:rsid w:val="004A3386"/>
    <w:rsid w:val="004A3AB1"/>
    <w:rsid w:val="004A41F8"/>
    <w:rsid w:val="004A5970"/>
    <w:rsid w:val="004A631D"/>
    <w:rsid w:val="004A64DF"/>
    <w:rsid w:val="004A78B7"/>
    <w:rsid w:val="004B02C1"/>
    <w:rsid w:val="004B0EA7"/>
    <w:rsid w:val="004B27FB"/>
    <w:rsid w:val="004B376C"/>
    <w:rsid w:val="004B53C8"/>
    <w:rsid w:val="004B6187"/>
    <w:rsid w:val="004B7673"/>
    <w:rsid w:val="004B7960"/>
    <w:rsid w:val="004B7ABF"/>
    <w:rsid w:val="004C1719"/>
    <w:rsid w:val="004C2158"/>
    <w:rsid w:val="004C2609"/>
    <w:rsid w:val="004C2B25"/>
    <w:rsid w:val="004C316C"/>
    <w:rsid w:val="004C4371"/>
    <w:rsid w:val="004C4CC5"/>
    <w:rsid w:val="004C6117"/>
    <w:rsid w:val="004C66D0"/>
    <w:rsid w:val="004D09F0"/>
    <w:rsid w:val="004D0D74"/>
    <w:rsid w:val="004D149E"/>
    <w:rsid w:val="004D1C38"/>
    <w:rsid w:val="004D1CB3"/>
    <w:rsid w:val="004D430C"/>
    <w:rsid w:val="004E053C"/>
    <w:rsid w:val="004E2468"/>
    <w:rsid w:val="004E29C5"/>
    <w:rsid w:val="004E4E97"/>
    <w:rsid w:val="004E7CD7"/>
    <w:rsid w:val="004F0009"/>
    <w:rsid w:val="004F103F"/>
    <w:rsid w:val="004F4A12"/>
    <w:rsid w:val="00500707"/>
    <w:rsid w:val="00500B49"/>
    <w:rsid w:val="005023B5"/>
    <w:rsid w:val="00504E6C"/>
    <w:rsid w:val="005054CF"/>
    <w:rsid w:val="005079E0"/>
    <w:rsid w:val="00511BF9"/>
    <w:rsid w:val="00512745"/>
    <w:rsid w:val="00513062"/>
    <w:rsid w:val="00513631"/>
    <w:rsid w:val="0051566C"/>
    <w:rsid w:val="005177DA"/>
    <w:rsid w:val="00520F93"/>
    <w:rsid w:val="005251AD"/>
    <w:rsid w:val="005264BF"/>
    <w:rsid w:val="00527545"/>
    <w:rsid w:val="005304C2"/>
    <w:rsid w:val="005310CC"/>
    <w:rsid w:val="00531B35"/>
    <w:rsid w:val="005352A6"/>
    <w:rsid w:val="005357A0"/>
    <w:rsid w:val="00535A56"/>
    <w:rsid w:val="005361C7"/>
    <w:rsid w:val="00536E8C"/>
    <w:rsid w:val="00540357"/>
    <w:rsid w:val="00540FA5"/>
    <w:rsid w:val="0054336E"/>
    <w:rsid w:val="0054544B"/>
    <w:rsid w:val="0054683B"/>
    <w:rsid w:val="005469C0"/>
    <w:rsid w:val="0055068A"/>
    <w:rsid w:val="005521A7"/>
    <w:rsid w:val="005561E6"/>
    <w:rsid w:val="005563CC"/>
    <w:rsid w:val="0055672D"/>
    <w:rsid w:val="00557981"/>
    <w:rsid w:val="0056041A"/>
    <w:rsid w:val="00560EF2"/>
    <w:rsid w:val="00561385"/>
    <w:rsid w:val="00563F6D"/>
    <w:rsid w:val="005644E7"/>
    <w:rsid w:val="005649CA"/>
    <w:rsid w:val="005674F0"/>
    <w:rsid w:val="005703B3"/>
    <w:rsid w:val="005728BC"/>
    <w:rsid w:val="00572B38"/>
    <w:rsid w:val="0057305E"/>
    <w:rsid w:val="005731C6"/>
    <w:rsid w:val="0057437B"/>
    <w:rsid w:val="00574870"/>
    <w:rsid w:val="005814FE"/>
    <w:rsid w:val="005815ED"/>
    <w:rsid w:val="00581CC9"/>
    <w:rsid w:val="00582FAE"/>
    <w:rsid w:val="0058370E"/>
    <w:rsid w:val="005873E7"/>
    <w:rsid w:val="00587E1E"/>
    <w:rsid w:val="00591431"/>
    <w:rsid w:val="005917AD"/>
    <w:rsid w:val="00593B35"/>
    <w:rsid w:val="00595E7B"/>
    <w:rsid w:val="00597D29"/>
    <w:rsid w:val="005A0143"/>
    <w:rsid w:val="005A1E00"/>
    <w:rsid w:val="005A1FA4"/>
    <w:rsid w:val="005A4046"/>
    <w:rsid w:val="005A4F5D"/>
    <w:rsid w:val="005A5719"/>
    <w:rsid w:val="005A5B98"/>
    <w:rsid w:val="005A6174"/>
    <w:rsid w:val="005A7145"/>
    <w:rsid w:val="005A7A64"/>
    <w:rsid w:val="005A7C55"/>
    <w:rsid w:val="005B0B30"/>
    <w:rsid w:val="005B105E"/>
    <w:rsid w:val="005B2B19"/>
    <w:rsid w:val="005B378E"/>
    <w:rsid w:val="005B50E8"/>
    <w:rsid w:val="005C0A61"/>
    <w:rsid w:val="005C1AEE"/>
    <w:rsid w:val="005C2175"/>
    <w:rsid w:val="005C22EF"/>
    <w:rsid w:val="005C6FC0"/>
    <w:rsid w:val="005D0BEA"/>
    <w:rsid w:val="005D283C"/>
    <w:rsid w:val="005D437A"/>
    <w:rsid w:val="005D4418"/>
    <w:rsid w:val="005D4631"/>
    <w:rsid w:val="005D4958"/>
    <w:rsid w:val="005D4A2B"/>
    <w:rsid w:val="005D62CB"/>
    <w:rsid w:val="005D72CA"/>
    <w:rsid w:val="005E028C"/>
    <w:rsid w:val="005E0CEE"/>
    <w:rsid w:val="005E103C"/>
    <w:rsid w:val="005E3915"/>
    <w:rsid w:val="005E661A"/>
    <w:rsid w:val="005F1846"/>
    <w:rsid w:val="005F1F9D"/>
    <w:rsid w:val="005F22A8"/>
    <w:rsid w:val="005F2DA8"/>
    <w:rsid w:val="005F3932"/>
    <w:rsid w:val="005F394F"/>
    <w:rsid w:val="005F4AE3"/>
    <w:rsid w:val="005F4E3C"/>
    <w:rsid w:val="00600B78"/>
    <w:rsid w:val="00601A46"/>
    <w:rsid w:val="00603A78"/>
    <w:rsid w:val="00604188"/>
    <w:rsid w:val="006074E1"/>
    <w:rsid w:val="006074EC"/>
    <w:rsid w:val="00610C8D"/>
    <w:rsid w:val="00610FF5"/>
    <w:rsid w:val="00613074"/>
    <w:rsid w:val="0061374A"/>
    <w:rsid w:val="00620543"/>
    <w:rsid w:val="00620622"/>
    <w:rsid w:val="0062062A"/>
    <w:rsid w:val="00621E88"/>
    <w:rsid w:val="00622259"/>
    <w:rsid w:val="00622DC8"/>
    <w:rsid w:val="00623022"/>
    <w:rsid w:val="00624FA6"/>
    <w:rsid w:val="00625362"/>
    <w:rsid w:val="00625946"/>
    <w:rsid w:val="00627983"/>
    <w:rsid w:val="00630F15"/>
    <w:rsid w:val="00631710"/>
    <w:rsid w:val="0063186C"/>
    <w:rsid w:val="00631EBB"/>
    <w:rsid w:val="0063277A"/>
    <w:rsid w:val="00632F18"/>
    <w:rsid w:val="006337CC"/>
    <w:rsid w:val="00634A6F"/>
    <w:rsid w:val="00635957"/>
    <w:rsid w:val="006361BA"/>
    <w:rsid w:val="006377B6"/>
    <w:rsid w:val="00637CD6"/>
    <w:rsid w:val="006446DD"/>
    <w:rsid w:val="00645C6D"/>
    <w:rsid w:val="00647335"/>
    <w:rsid w:val="00650186"/>
    <w:rsid w:val="006508CA"/>
    <w:rsid w:val="00652D78"/>
    <w:rsid w:val="006533C3"/>
    <w:rsid w:val="006551B8"/>
    <w:rsid w:val="0066162C"/>
    <w:rsid w:val="00661F4F"/>
    <w:rsid w:val="006626EC"/>
    <w:rsid w:val="006635C0"/>
    <w:rsid w:val="00664250"/>
    <w:rsid w:val="00665358"/>
    <w:rsid w:val="006653B5"/>
    <w:rsid w:val="0066788B"/>
    <w:rsid w:val="00672274"/>
    <w:rsid w:val="00672390"/>
    <w:rsid w:val="006735F4"/>
    <w:rsid w:val="00674356"/>
    <w:rsid w:val="0067455A"/>
    <w:rsid w:val="00674659"/>
    <w:rsid w:val="00675E83"/>
    <w:rsid w:val="00676075"/>
    <w:rsid w:val="00676DA6"/>
    <w:rsid w:val="00682158"/>
    <w:rsid w:val="0068509B"/>
    <w:rsid w:val="006876B6"/>
    <w:rsid w:val="00691A06"/>
    <w:rsid w:val="00694865"/>
    <w:rsid w:val="00697683"/>
    <w:rsid w:val="00697F01"/>
    <w:rsid w:val="006A0767"/>
    <w:rsid w:val="006A0D54"/>
    <w:rsid w:val="006A14C3"/>
    <w:rsid w:val="006A5279"/>
    <w:rsid w:val="006B16FB"/>
    <w:rsid w:val="006B5C85"/>
    <w:rsid w:val="006B68D8"/>
    <w:rsid w:val="006B6D83"/>
    <w:rsid w:val="006B7093"/>
    <w:rsid w:val="006B7672"/>
    <w:rsid w:val="006B7D4F"/>
    <w:rsid w:val="006C05AA"/>
    <w:rsid w:val="006C1856"/>
    <w:rsid w:val="006C38C7"/>
    <w:rsid w:val="006C4B34"/>
    <w:rsid w:val="006C5683"/>
    <w:rsid w:val="006C73DB"/>
    <w:rsid w:val="006D016E"/>
    <w:rsid w:val="006D0CC1"/>
    <w:rsid w:val="006D0E98"/>
    <w:rsid w:val="006D0FB6"/>
    <w:rsid w:val="006D1F16"/>
    <w:rsid w:val="006D6BCB"/>
    <w:rsid w:val="006D75CD"/>
    <w:rsid w:val="006D765D"/>
    <w:rsid w:val="006E035D"/>
    <w:rsid w:val="006E351A"/>
    <w:rsid w:val="006E3F92"/>
    <w:rsid w:val="006E7327"/>
    <w:rsid w:val="006E7560"/>
    <w:rsid w:val="006E7A7E"/>
    <w:rsid w:val="006F19E3"/>
    <w:rsid w:val="006F310D"/>
    <w:rsid w:val="006F378F"/>
    <w:rsid w:val="006F3DC0"/>
    <w:rsid w:val="006F428E"/>
    <w:rsid w:val="006F4689"/>
    <w:rsid w:val="006F4798"/>
    <w:rsid w:val="006F49D2"/>
    <w:rsid w:val="006F50C5"/>
    <w:rsid w:val="006F7D7E"/>
    <w:rsid w:val="0070075B"/>
    <w:rsid w:val="007015FF"/>
    <w:rsid w:val="00701A29"/>
    <w:rsid w:val="00701B10"/>
    <w:rsid w:val="00701D85"/>
    <w:rsid w:val="00701E18"/>
    <w:rsid w:val="0070250B"/>
    <w:rsid w:val="0070453A"/>
    <w:rsid w:val="00706916"/>
    <w:rsid w:val="0070774A"/>
    <w:rsid w:val="00710E92"/>
    <w:rsid w:val="0071167B"/>
    <w:rsid w:val="00714BBD"/>
    <w:rsid w:val="00714EDE"/>
    <w:rsid w:val="0071547D"/>
    <w:rsid w:val="007209C8"/>
    <w:rsid w:val="00722FCE"/>
    <w:rsid w:val="0072385C"/>
    <w:rsid w:val="00726171"/>
    <w:rsid w:val="00731B99"/>
    <w:rsid w:val="00731F91"/>
    <w:rsid w:val="00733D46"/>
    <w:rsid w:val="00733F4B"/>
    <w:rsid w:val="00734630"/>
    <w:rsid w:val="007374B9"/>
    <w:rsid w:val="00740A8F"/>
    <w:rsid w:val="00742876"/>
    <w:rsid w:val="0074690E"/>
    <w:rsid w:val="00746B4F"/>
    <w:rsid w:val="00747A24"/>
    <w:rsid w:val="0075232F"/>
    <w:rsid w:val="007607E8"/>
    <w:rsid w:val="007608FF"/>
    <w:rsid w:val="00760BD6"/>
    <w:rsid w:val="00761C07"/>
    <w:rsid w:val="007626D9"/>
    <w:rsid w:val="00763A16"/>
    <w:rsid w:val="00765357"/>
    <w:rsid w:val="00770558"/>
    <w:rsid w:val="007716B1"/>
    <w:rsid w:val="00771ACE"/>
    <w:rsid w:val="00771ECF"/>
    <w:rsid w:val="00772942"/>
    <w:rsid w:val="00773463"/>
    <w:rsid w:val="00774F15"/>
    <w:rsid w:val="00775EF4"/>
    <w:rsid w:val="0077666F"/>
    <w:rsid w:val="0077778C"/>
    <w:rsid w:val="00780130"/>
    <w:rsid w:val="007826E3"/>
    <w:rsid w:val="00784486"/>
    <w:rsid w:val="00784E8D"/>
    <w:rsid w:val="00790C30"/>
    <w:rsid w:val="0079113B"/>
    <w:rsid w:val="007915C7"/>
    <w:rsid w:val="007942CF"/>
    <w:rsid w:val="007948C3"/>
    <w:rsid w:val="007965D8"/>
    <w:rsid w:val="00797AA8"/>
    <w:rsid w:val="007A053F"/>
    <w:rsid w:val="007A0FB2"/>
    <w:rsid w:val="007A38FB"/>
    <w:rsid w:val="007A4F58"/>
    <w:rsid w:val="007A551B"/>
    <w:rsid w:val="007A64A7"/>
    <w:rsid w:val="007A6725"/>
    <w:rsid w:val="007A72D6"/>
    <w:rsid w:val="007A7ADD"/>
    <w:rsid w:val="007B002D"/>
    <w:rsid w:val="007B0BC5"/>
    <w:rsid w:val="007B21CC"/>
    <w:rsid w:val="007B2962"/>
    <w:rsid w:val="007B4476"/>
    <w:rsid w:val="007B7DD0"/>
    <w:rsid w:val="007C00DA"/>
    <w:rsid w:val="007C0E16"/>
    <w:rsid w:val="007C1163"/>
    <w:rsid w:val="007C178D"/>
    <w:rsid w:val="007C50D3"/>
    <w:rsid w:val="007C6698"/>
    <w:rsid w:val="007D073E"/>
    <w:rsid w:val="007D47BD"/>
    <w:rsid w:val="007D5A19"/>
    <w:rsid w:val="007D6BBA"/>
    <w:rsid w:val="007D7C47"/>
    <w:rsid w:val="007D7FFB"/>
    <w:rsid w:val="007E1A43"/>
    <w:rsid w:val="007E3C0E"/>
    <w:rsid w:val="007E572E"/>
    <w:rsid w:val="007E718E"/>
    <w:rsid w:val="007EE700"/>
    <w:rsid w:val="007F128F"/>
    <w:rsid w:val="007F1674"/>
    <w:rsid w:val="007F1EF5"/>
    <w:rsid w:val="007F369C"/>
    <w:rsid w:val="007F5280"/>
    <w:rsid w:val="00802120"/>
    <w:rsid w:val="008023A6"/>
    <w:rsid w:val="008115C5"/>
    <w:rsid w:val="00812C70"/>
    <w:rsid w:val="0081418A"/>
    <w:rsid w:val="008149B0"/>
    <w:rsid w:val="00814B51"/>
    <w:rsid w:val="00815C88"/>
    <w:rsid w:val="008177D7"/>
    <w:rsid w:val="00821CBD"/>
    <w:rsid w:val="00822737"/>
    <w:rsid w:val="00822D9F"/>
    <w:rsid w:val="00826203"/>
    <w:rsid w:val="008272A5"/>
    <w:rsid w:val="008277A6"/>
    <w:rsid w:val="00833183"/>
    <w:rsid w:val="0083470D"/>
    <w:rsid w:val="0083557B"/>
    <w:rsid w:val="00836673"/>
    <w:rsid w:val="00837D85"/>
    <w:rsid w:val="008423A3"/>
    <w:rsid w:val="00845258"/>
    <w:rsid w:val="00846074"/>
    <w:rsid w:val="00846D9D"/>
    <w:rsid w:val="00850706"/>
    <w:rsid w:val="0085211A"/>
    <w:rsid w:val="008529E6"/>
    <w:rsid w:val="00856C0B"/>
    <w:rsid w:val="00860C22"/>
    <w:rsid w:val="00860EB2"/>
    <w:rsid w:val="0086142A"/>
    <w:rsid w:val="00861D88"/>
    <w:rsid w:val="00862D16"/>
    <w:rsid w:val="0087362B"/>
    <w:rsid w:val="008747BD"/>
    <w:rsid w:val="00876FA4"/>
    <w:rsid w:val="00877F87"/>
    <w:rsid w:val="00880168"/>
    <w:rsid w:val="00880E1A"/>
    <w:rsid w:val="00881359"/>
    <w:rsid w:val="008827FC"/>
    <w:rsid w:val="00882B71"/>
    <w:rsid w:val="00882D3C"/>
    <w:rsid w:val="008847ED"/>
    <w:rsid w:val="00887D24"/>
    <w:rsid w:val="00892D3B"/>
    <w:rsid w:val="00895154"/>
    <w:rsid w:val="0089619B"/>
    <w:rsid w:val="00897EDC"/>
    <w:rsid w:val="008A17EB"/>
    <w:rsid w:val="008A1B66"/>
    <w:rsid w:val="008A2F12"/>
    <w:rsid w:val="008A4252"/>
    <w:rsid w:val="008A4C03"/>
    <w:rsid w:val="008A5134"/>
    <w:rsid w:val="008A564C"/>
    <w:rsid w:val="008B12FF"/>
    <w:rsid w:val="008B50FB"/>
    <w:rsid w:val="008B532F"/>
    <w:rsid w:val="008B6CCD"/>
    <w:rsid w:val="008B7593"/>
    <w:rsid w:val="008C32AB"/>
    <w:rsid w:val="008C40CE"/>
    <w:rsid w:val="008C493E"/>
    <w:rsid w:val="008C5774"/>
    <w:rsid w:val="008C579E"/>
    <w:rsid w:val="008C67A9"/>
    <w:rsid w:val="008C77EA"/>
    <w:rsid w:val="008C7CDF"/>
    <w:rsid w:val="008D07AF"/>
    <w:rsid w:val="008D0FCF"/>
    <w:rsid w:val="008D37F6"/>
    <w:rsid w:val="008D3A63"/>
    <w:rsid w:val="008D4614"/>
    <w:rsid w:val="008D5B54"/>
    <w:rsid w:val="008D6266"/>
    <w:rsid w:val="008D7983"/>
    <w:rsid w:val="008D7EFA"/>
    <w:rsid w:val="008E0FD2"/>
    <w:rsid w:val="008E3BE0"/>
    <w:rsid w:val="008F00E4"/>
    <w:rsid w:val="008F09A9"/>
    <w:rsid w:val="008F2D94"/>
    <w:rsid w:val="008F48D5"/>
    <w:rsid w:val="008F51FF"/>
    <w:rsid w:val="00900963"/>
    <w:rsid w:val="00903695"/>
    <w:rsid w:val="0090492C"/>
    <w:rsid w:val="0090780A"/>
    <w:rsid w:val="009121FF"/>
    <w:rsid w:val="009129DC"/>
    <w:rsid w:val="00913148"/>
    <w:rsid w:val="0091314E"/>
    <w:rsid w:val="009131C7"/>
    <w:rsid w:val="00913CF4"/>
    <w:rsid w:val="0091665F"/>
    <w:rsid w:val="00916C89"/>
    <w:rsid w:val="009205D5"/>
    <w:rsid w:val="009208D8"/>
    <w:rsid w:val="00922DBD"/>
    <w:rsid w:val="0092387F"/>
    <w:rsid w:val="00923B0E"/>
    <w:rsid w:val="00925F3A"/>
    <w:rsid w:val="00926505"/>
    <w:rsid w:val="009265C0"/>
    <w:rsid w:val="00926F0E"/>
    <w:rsid w:val="00930194"/>
    <w:rsid w:val="00933892"/>
    <w:rsid w:val="00935573"/>
    <w:rsid w:val="009356A2"/>
    <w:rsid w:val="0093617A"/>
    <w:rsid w:val="00936D97"/>
    <w:rsid w:val="00936FDF"/>
    <w:rsid w:val="0093726B"/>
    <w:rsid w:val="00940E25"/>
    <w:rsid w:val="00941323"/>
    <w:rsid w:val="00941587"/>
    <w:rsid w:val="009463CA"/>
    <w:rsid w:val="009469BE"/>
    <w:rsid w:val="00947197"/>
    <w:rsid w:val="00947690"/>
    <w:rsid w:val="0094797C"/>
    <w:rsid w:val="00947DC2"/>
    <w:rsid w:val="00951DCC"/>
    <w:rsid w:val="00951FDE"/>
    <w:rsid w:val="00954FC6"/>
    <w:rsid w:val="00957FBC"/>
    <w:rsid w:val="00960420"/>
    <w:rsid w:val="00960714"/>
    <w:rsid w:val="0096091A"/>
    <w:rsid w:val="0096255F"/>
    <w:rsid w:val="009636D9"/>
    <w:rsid w:val="00964185"/>
    <w:rsid w:val="009669F2"/>
    <w:rsid w:val="00967C6A"/>
    <w:rsid w:val="009704FB"/>
    <w:rsid w:val="00971C95"/>
    <w:rsid w:val="0097527E"/>
    <w:rsid w:val="009803E3"/>
    <w:rsid w:val="009807AB"/>
    <w:rsid w:val="009832ED"/>
    <w:rsid w:val="00985745"/>
    <w:rsid w:val="00985FC1"/>
    <w:rsid w:val="00991785"/>
    <w:rsid w:val="00993E9F"/>
    <w:rsid w:val="00994B34"/>
    <w:rsid w:val="00994EF3"/>
    <w:rsid w:val="00995804"/>
    <w:rsid w:val="00996402"/>
    <w:rsid w:val="00997577"/>
    <w:rsid w:val="009A03A4"/>
    <w:rsid w:val="009A200B"/>
    <w:rsid w:val="009A43BC"/>
    <w:rsid w:val="009A4809"/>
    <w:rsid w:val="009A4914"/>
    <w:rsid w:val="009A4EB4"/>
    <w:rsid w:val="009B006E"/>
    <w:rsid w:val="009B3BBA"/>
    <w:rsid w:val="009B4260"/>
    <w:rsid w:val="009B54CB"/>
    <w:rsid w:val="009B6FAC"/>
    <w:rsid w:val="009C1C52"/>
    <w:rsid w:val="009C2EA4"/>
    <w:rsid w:val="009C30DB"/>
    <w:rsid w:val="009C7CDB"/>
    <w:rsid w:val="009D00ED"/>
    <w:rsid w:val="009D1A9A"/>
    <w:rsid w:val="009D3D9D"/>
    <w:rsid w:val="009D6859"/>
    <w:rsid w:val="009D7913"/>
    <w:rsid w:val="009D7B56"/>
    <w:rsid w:val="009E1A09"/>
    <w:rsid w:val="009E2C8B"/>
    <w:rsid w:val="009E318C"/>
    <w:rsid w:val="009E4D2D"/>
    <w:rsid w:val="009E5604"/>
    <w:rsid w:val="009E63A4"/>
    <w:rsid w:val="009E7589"/>
    <w:rsid w:val="009E76C1"/>
    <w:rsid w:val="009E777D"/>
    <w:rsid w:val="009F2F77"/>
    <w:rsid w:val="009F3981"/>
    <w:rsid w:val="009F4D87"/>
    <w:rsid w:val="009F5485"/>
    <w:rsid w:val="009F70E9"/>
    <w:rsid w:val="00A00B4A"/>
    <w:rsid w:val="00A0777B"/>
    <w:rsid w:val="00A101DF"/>
    <w:rsid w:val="00A10251"/>
    <w:rsid w:val="00A1053C"/>
    <w:rsid w:val="00A115CD"/>
    <w:rsid w:val="00A11BE8"/>
    <w:rsid w:val="00A12A74"/>
    <w:rsid w:val="00A13230"/>
    <w:rsid w:val="00A137C2"/>
    <w:rsid w:val="00A13997"/>
    <w:rsid w:val="00A15AA8"/>
    <w:rsid w:val="00A16360"/>
    <w:rsid w:val="00A17BC1"/>
    <w:rsid w:val="00A21AD2"/>
    <w:rsid w:val="00A229FB"/>
    <w:rsid w:val="00A25B5F"/>
    <w:rsid w:val="00A25D84"/>
    <w:rsid w:val="00A31D12"/>
    <w:rsid w:val="00A32B69"/>
    <w:rsid w:val="00A35D2D"/>
    <w:rsid w:val="00A36AD9"/>
    <w:rsid w:val="00A42B81"/>
    <w:rsid w:val="00A42C37"/>
    <w:rsid w:val="00A4337D"/>
    <w:rsid w:val="00A507CF"/>
    <w:rsid w:val="00A50878"/>
    <w:rsid w:val="00A51787"/>
    <w:rsid w:val="00A56ED0"/>
    <w:rsid w:val="00A579D3"/>
    <w:rsid w:val="00A66894"/>
    <w:rsid w:val="00A722BC"/>
    <w:rsid w:val="00A7740F"/>
    <w:rsid w:val="00A809BC"/>
    <w:rsid w:val="00A80EE0"/>
    <w:rsid w:val="00A81AA5"/>
    <w:rsid w:val="00A840D6"/>
    <w:rsid w:val="00A84B41"/>
    <w:rsid w:val="00A85694"/>
    <w:rsid w:val="00A87028"/>
    <w:rsid w:val="00A90299"/>
    <w:rsid w:val="00A93BF0"/>
    <w:rsid w:val="00A94C94"/>
    <w:rsid w:val="00A96295"/>
    <w:rsid w:val="00A968AB"/>
    <w:rsid w:val="00A97DD5"/>
    <w:rsid w:val="00AA463E"/>
    <w:rsid w:val="00AA69EF"/>
    <w:rsid w:val="00AB2DA2"/>
    <w:rsid w:val="00AB3915"/>
    <w:rsid w:val="00AB40C7"/>
    <w:rsid w:val="00AB4598"/>
    <w:rsid w:val="00AB4DE5"/>
    <w:rsid w:val="00AB7B24"/>
    <w:rsid w:val="00AC0309"/>
    <w:rsid w:val="00AC0716"/>
    <w:rsid w:val="00AC32DE"/>
    <w:rsid w:val="00AC571A"/>
    <w:rsid w:val="00AC5A43"/>
    <w:rsid w:val="00AC5BEF"/>
    <w:rsid w:val="00AC68BE"/>
    <w:rsid w:val="00AD0028"/>
    <w:rsid w:val="00AD3477"/>
    <w:rsid w:val="00AD5C29"/>
    <w:rsid w:val="00AD6E9E"/>
    <w:rsid w:val="00AD70C9"/>
    <w:rsid w:val="00AE08B0"/>
    <w:rsid w:val="00AE2F29"/>
    <w:rsid w:val="00AE4FA9"/>
    <w:rsid w:val="00AE5F4A"/>
    <w:rsid w:val="00AE6FFE"/>
    <w:rsid w:val="00AE7B8C"/>
    <w:rsid w:val="00AE7C82"/>
    <w:rsid w:val="00AF1EAA"/>
    <w:rsid w:val="00AF2785"/>
    <w:rsid w:val="00AF2CAB"/>
    <w:rsid w:val="00AF30A5"/>
    <w:rsid w:val="00AF3186"/>
    <w:rsid w:val="00AF4AA4"/>
    <w:rsid w:val="00AF53BC"/>
    <w:rsid w:val="00AF5B6E"/>
    <w:rsid w:val="00B00597"/>
    <w:rsid w:val="00B019C3"/>
    <w:rsid w:val="00B057CB"/>
    <w:rsid w:val="00B10136"/>
    <w:rsid w:val="00B11637"/>
    <w:rsid w:val="00B116B8"/>
    <w:rsid w:val="00B1631F"/>
    <w:rsid w:val="00B2145E"/>
    <w:rsid w:val="00B21621"/>
    <w:rsid w:val="00B2215B"/>
    <w:rsid w:val="00B23615"/>
    <w:rsid w:val="00B23EB4"/>
    <w:rsid w:val="00B24BD1"/>
    <w:rsid w:val="00B27FD9"/>
    <w:rsid w:val="00B30CA1"/>
    <w:rsid w:val="00B320DC"/>
    <w:rsid w:val="00B35A8E"/>
    <w:rsid w:val="00B36981"/>
    <w:rsid w:val="00B37860"/>
    <w:rsid w:val="00B40062"/>
    <w:rsid w:val="00B4014F"/>
    <w:rsid w:val="00B40ED7"/>
    <w:rsid w:val="00B45635"/>
    <w:rsid w:val="00B50F34"/>
    <w:rsid w:val="00B515C7"/>
    <w:rsid w:val="00B52044"/>
    <w:rsid w:val="00B53898"/>
    <w:rsid w:val="00B539A1"/>
    <w:rsid w:val="00B53C15"/>
    <w:rsid w:val="00B544C1"/>
    <w:rsid w:val="00B54D71"/>
    <w:rsid w:val="00B553C7"/>
    <w:rsid w:val="00B57DA6"/>
    <w:rsid w:val="00B60C73"/>
    <w:rsid w:val="00B615CC"/>
    <w:rsid w:val="00B6291B"/>
    <w:rsid w:val="00B6539C"/>
    <w:rsid w:val="00B7023F"/>
    <w:rsid w:val="00B704A1"/>
    <w:rsid w:val="00B7268A"/>
    <w:rsid w:val="00B74B83"/>
    <w:rsid w:val="00B762A2"/>
    <w:rsid w:val="00B7630C"/>
    <w:rsid w:val="00B80F64"/>
    <w:rsid w:val="00B81F70"/>
    <w:rsid w:val="00B828CB"/>
    <w:rsid w:val="00B82A8E"/>
    <w:rsid w:val="00B83B08"/>
    <w:rsid w:val="00B85482"/>
    <w:rsid w:val="00B91175"/>
    <w:rsid w:val="00B93137"/>
    <w:rsid w:val="00B9451F"/>
    <w:rsid w:val="00B955C4"/>
    <w:rsid w:val="00B95DEB"/>
    <w:rsid w:val="00B96436"/>
    <w:rsid w:val="00B96802"/>
    <w:rsid w:val="00B97699"/>
    <w:rsid w:val="00B97897"/>
    <w:rsid w:val="00BA08D0"/>
    <w:rsid w:val="00BA1172"/>
    <w:rsid w:val="00BA2700"/>
    <w:rsid w:val="00BA2D51"/>
    <w:rsid w:val="00BA761F"/>
    <w:rsid w:val="00BB1701"/>
    <w:rsid w:val="00BB1DDE"/>
    <w:rsid w:val="00BB32F0"/>
    <w:rsid w:val="00BB473F"/>
    <w:rsid w:val="00BC05A6"/>
    <w:rsid w:val="00BC10C2"/>
    <w:rsid w:val="00BC1448"/>
    <w:rsid w:val="00BC1CFB"/>
    <w:rsid w:val="00BC4246"/>
    <w:rsid w:val="00BD10A6"/>
    <w:rsid w:val="00BD2110"/>
    <w:rsid w:val="00BD2895"/>
    <w:rsid w:val="00BD3393"/>
    <w:rsid w:val="00BD3B36"/>
    <w:rsid w:val="00BD3CB9"/>
    <w:rsid w:val="00BD3E31"/>
    <w:rsid w:val="00BD6DCD"/>
    <w:rsid w:val="00BD7115"/>
    <w:rsid w:val="00BD78DB"/>
    <w:rsid w:val="00BE1FA8"/>
    <w:rsid w:val="00BE50AA"/>
    <w:rsid w:val="00BE5121"/>
    <w:rsid w:val="00BE7048"/>
    <w:rsid w:val="00BE7316"/>
    <w:rsid w:val="00BE7C55"/>
    <w:rsid w:val="00BF00E3"/>
    <w:rsid w:val="00BF0C5F"/>
    <w:rsid w:val="00BF26D4"/>
    <w:rsid w:val="00C04C22"/>
    <w:rsid w:val="00C0630B"/>
    <w:rsid w:val="00C06503"/>
    <w:rsid w:val="00C066B2"/>
    <w:rsid w:val="00C10827"/>
    <w:rsid w:val="00C113CF"/>
    <w:rsid w:val="00C11964"/>
    <w:rsid w:val="00C12D3D"/>
    <w:rsid w:val="00C14277"/>
    <w:rsid w:val="00C143A7"/>
    <w:rsid w:val="00C15032"/>
    <w:rsid w:val="00C1663C"/>
    <w:rsid w:val="00C236F4"/>
    <w:rsid w:val="00C25C0F"/>
    <w:rsid w:val="00C271C9"/>
    <w:rsid w:val="00C31A20"/>
    <w:rsid w:val="00C3321C"/>
    <w:rsid w:val="00C346F5"/>
    <w:rsid w:val="00C356E8"/>
    <w:rsid w:val="00C40685"/>
    <w:rsid w:val="00C4388A"/>
    <w:rsid w:val="00C471ED"/>
    <w:rsid w:val="00C5056D"/>
    <w:rsid w:val="00C50F95"/>
    <w:rsid w:val="00C607C9"/>
    <w:rsid w:val="00C64A49"/>
    <w:rsid w:val="00C64B15"/>
    <w:rsid w:val="00C653FE"/>
    <w:rsid w:val="00C65823"/>
    <w:rsid w:val="00C6615E"/>
    <w:rsid w:val="00C67F24"/>
    <w:rsid w:val="00C72782"/>
    <w:rsid w:val="00C730A2"/>
    <w:rsid w:val="00C73A91"/>
    <w:rsid w:val="00C74710"/>
    <w:rsid w:val="00C75154"/>
    <w:rsid w:val="00C75F0E"/>
    <w:rsid w:val="00C75F85"/>
    <w:rsid w:val="00C76D9F"/>
    <w:rsid w:val="00C809A6"/>
    <w:rsid w:val="00C83898"/>
    <w:rsid w:val="00C867BC"/>
    <w:rsid w:val="00C924ED"/>
    <w:rsid w:val="00C93A21"/>
    <w:rsid w:val="00C94E7B"/>
    <w:rsid w:val="00C954D7"/>
    <w:rsid w:val="00CA3333"/>
    <w:rsid w:val="00CA3630"/>
    <w:rsid w:val="00CA4EA1"/>
    <w:rsid w:val="00CA5E1B"/>
    <w:rsid w:val="00CA6E30"/>
    <w:rsid w:val="00CA6F12"/>
    <w:rsid w:val="00CA74C4"/>
    <w:rsid w:val="00CA75DC"/>
    <w:rsid w:val="00CA7800"/>
    <w:rsid w:val="00CA7D25"/>
    <w:rsid w:val="00CB070F"/>
    <w:rsid w:val="00CB1EC5"/>
    <w:rsid w:val="00CB5849"/>
    <w:rsid w:val="00CB5D46"/>
    <w:rsid w:val="00CB5E73"/>
    <w:rsid w:val="00CB5E98"/>
    <w:rsid w:val="00CB6330"/>
    <w:rsid w:val="00CC39D2"/>
    <w:rsid w:val="00CC42C0"/>
    <w:rsid w:val="00CD2E84"/>
    <w:rsid w:val="00CD4346"/>
    <w:rsid w:val="00CD70EB"/>
    <w:rsid w:val="00CD719F"/>
    <w:rsid w:val="00CE0A2F"/>
    <w:rsid w:val="00CE19AC"/>
    <w:rsid w:val="00CE3410"/>
    <w:rsid w:val="00CE581F"/>
    <w:rsid w:val="00CE5938"/>
    <w:rsid w:val="00CE69BB"/>
    <w:rsid w:val="00CE7680"/>
    <w:rsid w:val="00CE7F33"/>
    <w:rsid w:val="00CF08FF"/>
    <w:rsid w:val="00CF4CC3"/>
    <w:rsid w:val="00CF549A"/>
    <w:rsid w:val="00CF5C76"/>
    <w:rsid w:val="00D03F97"/>
    <w:rsid w:val="00D05CF0"/>
    <w:rsid w:val="00D06875"/>
    <w:rsid w:val="00D122BE"/>
    <w:rsid w:val="00D14592"/>
    <w:rsid w:val="00D1530C"/>
    <w:rsid w:val="00D1613E"/>
    <w:rsid w:val="00D162DB"/>
    <w:rsid w:val="00D1658D"/>
    <w:rsid w:val="00D17ED8"/>
    <w:rsid w:val="00D20C24"/>
    <w:rsid w:val="00D2126B"/>
    <w:rsid w:val="00D21734"/>
    <w:rsid w:val="00D22CEB"/>
    <w:rsid w:val="00D253BF"/>
    <w:rsid w:val="00D31D9A"/>
    <w:rsid w:val="00D34169"/>
    <w:rsid w:val="00D34754"/>
    <w:rsid w:val="00D34E70"/>
    <w:rsid w:val="00D34F74"/>
    <w:rsid w:val="00D35A55"/>
    <w:rsid w:val="00D363E8"/>
    <w:rsid w:val="00D36590"/>
    <w:rsid w:val="00D36D0C"/>
    <w:rsid w:val="00D41486"/>
    <w:rsid w:val="00D4173D"/>
    <w:rsid w:val="00D41D15"/>
    <w:rsid w:val="00D42CA7"/>
    <w:rsid w:val="00D43886"/>
    <w:rsid w:val="00D464C3"/>
    <w:rsid w:val="00D50089"/>
    <w:rsid w:val="00D502A5"/>
    <w:rsid w:val="00D517BA"/>
    <w:rsid w:val="00D54568"/>
    <w:rsid w:val="00D54DCB"/>
    <w:rsid w:val="00D552EC"/>
    <w:rsid w:val="00D620D5"/>
    <w:rsid w:val="00D62367"/>
    <w:rsid w:val="00D62469"/>
    <w:rsid w:val="00D62DD9"/>
    <w:rsid w:val="00D635CE"/>
    <w:rsid w:val="00D64AE7"/>
    <w:rsid w:val="00D64E17"/>
    <w:rsid w:val="00D7092D"/>
    <w:rsid w:val="00D76054"/>
    <w:rsid w:val="00D80A98"/>
    <w:rsid w:val="00D8541C"/>
    <w:rsid w:val="00D8612E"/>
    <w:rsid w:val="00D8769C"/>
    <w:rsid w:val="00D90F5D"/>
    <w:rsid w:val="00D94B07"/>
    <w:rsid w:val="00D95403"/>
    <w:rsid w:val="00D95793"/>
    <w:rsid w:val="00D97641"/>
    <w:rsid w:val="00DA2882"/>
    <w:rsid w:val="00DA2B0E"/>
    <w:rsid w:val="00DA32CF"/>
    <w:rsid w:val="00DA5F89"/>
    <w:rsid w:val="00DA6586"/>
    <w:rsid w:val="00DA6C89"/>
    <w:rsid w:val="00DB034C"/>
    <w:rsid w:val="00DB0847"/>
    <w:rsid w:val="00DB5096"/>
    <w:rsid w:val="00DB7918"/>
    <w:rsid w:val="00DB7B18"/>
    <w:rsid w:val="00DC3562"/>
    <w:rsid w:val="00DC69F1"/>
    <w:rsid w:val="00DC6F5D"/>
    <w:rsid w:val="00DD0CFD"/>
    <w:rsid w:val="00DD246C"/>
    <w:rsid w:val="00DD269D"/>
    <w:rsid w:val="00DD6B40"/>
    <w:rsid w:val="00DD7C82"/>
    <w:rsid w:val="00DE141D"/>
    <w:rsid w:val="00DE1518"/>
    <w:rsid w:val="00DE2088"/>
    <w:rsid w:val="00DE2A0D"/>
    <w:rsid w:val="00DE6A97"/>
    <w:rsid w:val="00DE7F09"/>
    <w:rsid w:val="00DF184E"/>
    <w:rsid w:val="00DF29F0"/>
    <w:rsid w:val="00DF6863"/>
    <w:rsid w:val="00E01C94"/>
    <w:rsid w:val="00E02F60"/>
    <w:rsid w:val="00E070F1"/>
    <w:rsid w:val="00E07BA5"/>
    <w:rsid w:val="00E10A8C"/>
    <w:rsid w:val="00E12738"/>
    <w:rsid w:val="00E1345F"/>
    <w:rsid w:val="00E1701D"/>
    <w:rsid w:val="00E20463"/>
    <w:rsid w:val="00E22CF0"/>
    <w:rsid w:val="00E24BDF"/>
    <w:rsid w:val="00E26DA7"/>
    <w:rsid w:val="00E2789D"/>
    <w:rsid w:val="00E30E87"/>
    <w:rsid w:val="00E31AB6"/>
    <w:rsid w:val="00E340B2"/>
    <w:rsid w:val="00E367F4"/>
    <w:rsid w:val="00E40304"/>
    <w:rsid w:val="00E41BB9"/>
    <w:rsid w:val="00E425C5"/>
    <w:rsid w:val="00E42729"/>
    <w:rsid w:val="00E4348E"/>
    <w:rsid w:val="00E46274"/>
    <w:rsid w:val="00E46EBC"/>
    <w:rsid w:val="00E510C9"/>
    <w:rsid w:val="00E55C4A"/>
    <w:rsid w:val="00E60B62"/>
    <w:rsid w:val="00E6212D"/>
    <w:rsid w:val="00E6501B"/>
    <w:rsid w:val="00E666BF"/>
    <w:rsid w:val="00E67BE7"/>
    <w:rsid w:val="00E70BE7"/>
    <w:rsid w:val="00E70F13"/>
    <w:rsid w:val="00E74111"/>
    <w:rsid w:val="00E742A2"/>
    <w:rsid w:val="00E760FB"/>
    <w:rsid w:val="00E777F9"/>
    <w:rsid w:val="00E801A1"/>
    <w:rsid w:val="00E81739"/>
    <w:rsid w:val="00E8236B"/>
    <w:rsid w:val="00E82BDD"/>
    <w:rsid w:val="00E83324"/>
    <w:rsid w:val="00E844CC"/>
    <w:rsid w:val="00E855A5"/>
    <w:rsid w:val="00E9069A"/>
    <w:rsid w:val="00E91400"/>
    <w:rsid w:val="00E921FF"/>
    <w:rsid w:val="00E92FE4"/>
    <w:rsid w:val="00E9722C"/>
    <w:rsid w:val="00E97DB3"/>
    <w:rsid w:val="00EA1C2B"/>
    <w:rsid w:val="00EA2437"/>
    <w:rsid w:val="00EA2475"/>
    <w:rsid w:val="00EA2E84"/>
    <w:rsid w:val="00EA36FE"/>
    <w:rsid w:val="00EA3C72"/>
    <w:rsid w:val="00EA3F0B"/>
    <w:rsid w:val="00EA4674"/>
    <w:rsid w:val="00EA53D0"/>
    <w:rsid w:val="00EA632D"/>
    <w:rsid w:val="00EA6AEC"/>
    <w:rsid w:val="00EB1FF2"/>
    <w:rsid w:val="00EB32BB"/>
    <w:rsid w:val="00EB362B"/>
    <w:rsid w:val="00EB70F9"/>
    <w:rsid w:val="00EC361C"/>
    <w:rsid w:val="00EC647D"/>
    <w:rsid w:val="00EC6DA1"/>
    <w:rsid w:val="00ED4872"/>
    <w:rsid w:val="00ED66F9"/>
    <w:rsid w:val="00EE1190"/>
    <w:rsid w:val="00EE2334"/>
    <w:rsid w:val="00EE2569"/>
    <w:rsid w:val="00EE4519"/>
    <w:rsid w:val="00EE5AFB"/>
    <w:rsid w:val="00EE5CD9"/>
    <w:rsid w:val="00EF0377"/>
    <w:rsid w:val="00EF0CE5"/>
    <w:rsid w:val="00EF6ACD"/>
    <w:rsid w:val="00EF6CC8"/>
    <w:rsid w:val="00EF789C"/>
    <w:rsid w:val="00F007A0"/>
    <w:rsid w:val="00F02EC5"/>
    <w:rsid w:val="00F1043A"/>
    <w:rsid w:val="00F10E14"/>
    <w:rsid w:val="00F1110C"/>
    <w:rsid w:val="00F1132A"/>
    <w:rsid w:val="00F1175C"/>
    <w:rsid w:val="00F137C8"/>
    <w:rsid w:val="00F13DAF"/>
    <w:rsid w:val="00F14070"/>
    <w:rsid w:val="00F14729"/>
    <w:rsid w:val="00F14A61"/>
    <w:rsid w:val="00F14D7C"/>
    <w:rsid w:val="00F14EC4"/>
    <w:rsid w:val="00F177A5"/>
    <w:rsid w:val="00F17AB0"/>
    <w:rsid w:val="00F17B9C"/>
    <w:rsid w:val="00F20C46"/>
    <w:rsid w:val="00F20FAB"/>
    <w:rsid w:val="00F212C1"/>
    <w:rsid w:val="00F302B0"/>
    <w:rsid w:val="00F306DA"/>
    <w:rsid w:val="00F3261C"/>
    <w:rsid w:val="00F336FE"/>
    <w:rsid w:val="00F33E41"/>
    <w:rsid w:val="00F34649"/>
    <w:rsid w:val="00F34F88"/>
    <w:rsid w:val="00F36550"/>
    <w:rsid w:val="00F409C8"/>
    <w:rsid w:val="00F40DB5"/>
    <w:rsid w:val="00F42F29"/>
    <w:rsid w:val="00F4356A"/>
    <w:rsid w:val="00F4509A"/>
    <w:rsid w:val="00F450C9"/>
    <w:rsid w:val="00F450E7"/>
    <w:rsid w:val="00F46D5E"/>
    <w:rsid w:val="00F504AF"/>
    <w:rsid w:val="00F50C02"/>
    <w:rsid w:val="00F51122"/>
    <w:rsid w:val="00F511D1"/>
    <w:rsid w:val="00F51D29"/>
    <w:rsid w:val="00F51FCB"/>
    <w:rsid w:val="00F531DB"/>
    <w:rsid w:val="00F57A16"/>
    <w:rsid w:val="00F61549"/>
    <w:rsid w:val="00F61C1D"/>
    <w:rsid w:val="00F61FF2"/>
    <w:rsid w:val="00F62E4B"/>
    <w:rsid w:val="00F66673"/>
    <w:rsid w:val="00F72144"/>
    <w:rsid w:val="00F7232D"/>
    <w:rsid w:val="00F726D8"/>
    <w:rsid w:val="00F73FD6"/>
    <w:rsid w:val="00F751E8"/>
    <w:rsid w:val="00F80207"/>
    <w:rsid w:val="00F80510"/>
    <w:rsid w:val="00F81314"/>
    <w:rsid w:val="00F843F4"/>
    <w:rsid w:val="00F847DE"/>
    <w:rsid w:val="00F86ECF"/>
    <w:rsid w:val="00F932D5"/>
    <w:rsid w:val="00F936F5"/>
    <w:rsid w:val="00F93FA9"/>
    <w:rsid w:val="00F940B1"/>
    <w:rsid w:val="00F94961"/>
    <w:rsid w:val="00F94F85"/>
    <w:rsid w:val="00F962B5"/>
    <w:rsid w:val="00F96455"/>
    <w:rsid w:val="00FA22E9"/>
    <w:rsid w:val="00FA4B61"/>
    <w:rsid w:val="00FA6572"/>
    <w:rsid w:val="00FA7264"/>
    <w:rsid w:val="00FA7839"/>
    <w:rsid w:val="00FB1692"/>
    <w:rsid w:val="00FB3016"/>
    <w:rsid w:val="00FB33E0"/>
    <w:rsid w:val="00FB35CD"/>
    <w:rsid w:val="00FB44B2"/>
    <w:rsid w:val="00FB69AB"/>
    <w:rsid w:val="00FB71C1"/>
    <w:rsid w:val="00FB7362"/>
    <w:rsid w:val="00FC0935"/>
    <w:rsid w:val="00FC1065"/>
    <w:rsid w:val="00FD0418"/>
    <w:rsid w:val="00FD25E6"/>
    <w:rsid w:val="00FD29A2"/>
    <w:rsid w:val="00FD2BFB"/>
    <w:rsid w:val="00FD32A2"/>
    <w:rsid w:val="00FD60CA"/>
    <w:rsid w:val="00FD6F76"/>
    <w:rsid w:val="00FD7A0E"/>
    <w:rsid w:val="00FE004A"/>
    <w:rsid w:val="00FE10C0"/>
    <w:rsid w:val="00FE3169"/>
    <w:rsid w:val="00FE4981"/>
    <w:rsid w:val="00FE4A41"/>
    <w:rsid w:val="00FE70FA"/>
    <w:rsid w:val="00FE7419"/>
    <w:rsid w:val="00FF0FD4"/>
    <w:rsid w:val="00FF1BE9"/>
    <w:rsid w:val="00FF252A"/>
    <w:rsid w:val="00FF3D9D"/>
    <w:rsid w:val="00FF4C53"/>
    <w:rsid w:val="00FF5595"/>
    <w:rsid w:val="00FF617A"/>
    <w:rsid w:val="00FF67BD"/>
    <w:rsid w:val="00FF6EC9"/>
    <w:rsid w:val="00FF729F"/>
    <w:rsid w:val="00FF7985"/>
    <w:rsid w:val="12AF1B79"/>
    <w:rsid w:val="40028B94"/>
    <w:rsid w:val="42872CEA"/>
    <w:rsid w:val="59349B6F"/>
    <w:rsid w:val="5E603A52"/>
    <w:rsid w:val="61CB402F"/>
    <w:rsid w:val="629E342A"/>
  </w:rsids>
  <m:mathPr>
    <m:mathFont m:val="Cambria Math"/>
    <m:brkBin m:val="before"/>
    <m:brkBinSub m:val="--"/>
    <m:smallFrac m:val="0"/>
    <m:dispDef m:val="0"/>
    <m:lMargin m:val="0"/>
    <m:rMargin m:val="0"/>
    <m:defJc m:val="centerGroup"/>
    <m:wrapRight/>
    <m:intLim m:val="subSup"/>
    <m:naryLim m:val="subSup"/>
  </m:mathPr>
  <w:attachedSchema w:val="urn-legalmacpac-data/10"/>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642F17"/>
  <w15:docId w15:val="{3850D207-FA84-44DF-8A4B-8EAAEE34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note reference" w:uiPriority="99"/>
    <w:lsdException w:name="Title" w:qFormat="1"/>
    <w:lsdException w:name="Hyperlink"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4710"/>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numPr>
        <w:numId w:val="14"/>
      </w:num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lang w:eastAsia="en-GB"/>
    </w:rPr>
  </w:style>
  <w:style w:type="character" w:customStyle="1" w:styleId="Heading2Char">
    <w:name w:val="Heading 2 Char"/>
    <w:link w:val="Heading2"/>
    <w:rsid w:val="00731B99"/>
    <w:rPr>
      <w:rFonts w:ascii="Arial" w:eastAsia="Times New Roman" w:hAnsi="Arial" w:cs="Arial"/>
      <w:bCs/>
      <w:iCs/>
      <w:color w:val="008576"/>
      <w:sz w:val="80"/>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link w:val="Contents01Char"/>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C809A6"/>
    <w:pPr>
      <w:framePr w:wrap="around"/>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customStyle="1" w:styleId="GridTable31">
    <w:name w:val="Grid Table 31"/>
    <w:basedOn w:val="Heading1"/>
    <w:next w:val="Normal"/>
    <w:uiPriority w:val="39"/>
    <w:unhideWhenUsed/>
    <w:rsid w:val="00C954D7"/>
    <w:pPr>
      <w:keepLines/>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uiPriority w:val="34"/>
    <w:rsid w:val="00377752"/>
    <w:pPr>
      <w:ind w:left="720"/>
      <w:contextualSpacing/>
    </w:pPr>
  </w:style>
  <w:style w:type="paragraph" w:styleId="Caption">
    <w:name w:val="caption"/>
    <w:basedOn w:val="Normal"/>
    <w:next w:val="Normal"/>
    <w:rsid w:val="00513631"/>
    <w:pPr>
      <w:spacing w:after="200" w:line="240" w:lineRule="auto"/>
    </w:pPr>
    <w:rPr>
      <w:b/>
      <w:bCs/>
      <w:color w:val="4F81BD"/>
      <w:sz w:val="18"/>
      <w:szCs w:val="18"/>
    </w:rPr>
  </w:style>
  <w:style w:type="paragraph" w:customStyle="1" w:styleId="ColorfulShading-Accent11">
    <w:name w:val="Colorful Shading - Accent 1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link w:val="Contents02Char"/>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style>
  <w:style w:type="character" w:customStyle="1" w:styleId="HeaderChar">
    <w:name w:val="Header Char"/>
    <w:link w:val="Header"/>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Grid21">
    <w:name w:val="Medium Grid 2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styleId="Quote">
    <w:name w:val="Quote"/>
    <w:basedOn w:val="Normal"/>
    <w:next w:val="Normal"/>
    <w:link w:val="QuoteChar"/>
    <w:rsid w:val="00CF08FF"/>
    <w:pPr>
      <w:spacing w:before="200" w:after="160"/>
      <w:ind w:left="864" w:right="864"/>
      <w:jc w:val="center"/>
    </w:pPr>
    <w:rPr>
      <w:i/>
      <w:iCs/>
      <w:color w:val="404040"/>
    </w:rPr>
  </w:style>
  <w:style w:type="character" w:customStyle="1" w:styleId="QuoteChar">
    <w:name w:val="Quote Char"/>
    <w:link w:val="Quote"/>
    <w:rsid w:val="00CF08FF"/>
    <w:rPr>
      <w:rFonts w:ascii="Arial" w:eastAsia="Times New Roman" w:hAnsi="Arial"/>
      <w:i/>
      <w:iCs/>
      <w:color w:val="404040"/>
      <w:szCs w:val="24"/>
    </w:rPr>
  </w:style>
  <w:style w:type="paragraph" w:customStyle="1" w:styleId="UNC1Mod">
    <w:name w:val="UNC 1 Mod"/>
    <w:basedOn w:val="Contents01"/>
    <w:next w:val="Normal"/>
    <w:link w:val="UNC1ModChar"/>
    <w:qFormat/>
    <w:rsid w:val="00CA3630"/>
    <w:pPr>
      <w:pBdr>
        <w:top w:val="single" w:sz="48" w:space="10" w:color="00B274"/>
        <w:bottom w:val="single" w:sz="48" w:space="10" w:color="00B274"/>
      </w:pBdr>
      <w:spacing w:before="100" w:beforeAutospacing="1" w:after="100" w:afterAutospacing="1"/>
      <w:ind w:left="136"/>
    </w:pPr>
    <w:rPr>
      <w:b/>
      <w:szCs w:val="28"/>
    </w:rPr>
  </w:style>
  <w:style w:type="paragraph" w:customStyle="1" w:styleId="UNCStage1">
    <w:name w:val="UNC Stage 1"/>
    <w:basedOn w:val="UNC1Mod"/>
    <w:next w:val="Normal"/>
    <w:link w:val="UNCStage1Char"/>
    <w:qFormat/>
    <w:rsid w:val="00CA3630"/>
    <w:pPr>
      <w:pBdr>
        <w:top w:val="single" w:sz="48" w:space="1" w:color="00B274"/>
        <w:bottom w:val="single" w:sz="48" w:space="0" w:color="00B274"/>
      </w:pBdr>
      <w:spacing w:before="0" w:after="0"/>
      <w:outlineLvl w:val="9"/>
    </w:pPr>
    <w:rPr>
      <w:b w:val="0"/>
      <w:sz w:val="20"/>
      <w:szCs w:val="20"/>
    </w:rPr>
  </w:style>
  <w:style w:type="character" w:customStyle="1" w:styleId="Contents01Char">
    <w:name w:val="Contents 01 Char"/>
    <w:link w:val="Contents01"/>
    <w:rsid w:val="00FD6F76"/>
    <w:rPr>
      <w:rFonts w:ascii="Arial" w:eastAsia="Times New Roman" w:hAnsi="Arial" w:cs="Arial"/>
      <w:bCs/>
      <w:color w:val="FFFFFF"/>
      <w:kern w:val="32"/>
      <w:sz w:val="28"/>
      <w:szCs w:val="32"/>
      <w:shd w:val="clear" w:color="auto" w:fill="00B274"/>
      <w:lang w:eastAsia="en-GB"/>
    </w:rPr>
  </w:style>
  <w:style w:type="character" w:customStyle="1" w:styleId="UNC1ModChar">
    <w:name w:val="UNC 1 Mod Char"/>
    <w:link w:val="UNC1Mod"/>
    <w:rsid w:val="00CA3630"/>
    <w:rPr>
      <w:rFonts w:ascii="Arial" w:eastAsia="Times New Roman" w:hAnsi="Arial" w:cs="Arial"/>
      <w:b/>
      <w:bCs/>
      <w:color w:val="FFFFFF"/>
      <w:kern w:val="32"/>
      <w:sz w:val="28"/>
      <w:szCs w:val="28"/>
      <w:shd w:val="clear" w:color="auto" w:fill="00B274"/>
    </w:rPr>
  </w:style>
  <w:style w:type="paragraph" w:customStyle="1" w:styleId="UNCStage2">
    <w:name w:val="UNC Stage 2"/>
    <w:basedOn w:val="UNCStage1"/>
    <w:link w:val="UNCStage2Char"/>
    <w:qFormat/>
    <w:rsid w:val="00C6615E"/>
    <w:pPr>
      <w:pBdr>
        <w:top w:val="single" w:sz="48" w:space="1" w:color="0096D7"/>
        <w:left w:val="single" w:sz="48" w:space="4" w:color="0096D7"/>
        <w:bottom w:val="single" w:sz="48" w:space="0" w:color="0096D7"/>
        <w:right w:val="single" w:sz="48" w:space="4" w:color="0096D7"/>
      </w:pBdr>
      <w:shd w:val="clear" w:color="auto" w:fill="0096D7"/>
      <w:spacing w:before="100" w:after="100"/>
      <w:contextualSpacing/>
    </w:pPr>
  </w:style>
  <w:style w:type="character" w:customStyle="1" w:styleId="UNCStage1Char">
    <w:name w:val="UNC Stage 1 Char"/>
    <w:link w:val="UNCStage1"/>
    <w:rsid w:val="00CA3630"/>
    <w:rPr>
      <w:rFonts w:ascii="Arial" w:eastAsia="Times New Roman" w:hAnsi="Arial" w:cs="Arial"/>
      <w:bCs/>
      <w:color w:val="FFFFFF"/>
      <w:kern w:val="32"/>
      <w:shd w:val="clear" w:color="auto" w:fill="00B274"/>
    </w:rPr>
  </w:style>
  <w:style w:type="paragraph" w:customStyle="1" w:styleId="UNC">
    <w:name w:val="UNC"/>
    <w:basedOn w:val="UNCStage1"/>
    <w:link w:val="UNCChar"/>
    <w:rsid w:val="009E76C1"/>
    <w:pPr>
      <w:pBdr>
        <w:top w:val="none" w:sz="0" w:space="0" w:color="auto"/>
        <w:left w:val="none" w:sz="0" w:space="0" w:color="auto"/>
        <w:bottom w:val="none" w:sz="0" w:space="0" w:color="auto"/>
        <w:right w:val="none" w:sz="0" w:space="0" w:color="auto"/>
      </w:pBdr>
      <w:shd w:val="clear" w:color="auto" w:fill="0096D7"/>
    </w:pPr>
  </w:style>
  <w:style w:type="paragraph" w:customStyle="1" w:styleId="UNC2WGR">
    <w:name w:val="UNC 2 WGR"/>
    <w:basedOn w:val="UNC1Mod"/>
    <w:next w:val="Normal"/>
    <w:link w:val="UNC2WGRChar"/>
    <w:qFormat/>
    <w:rsid w:val="00C6615E"/>
    <w:pPr>
      <w:pBdr>
        <w:top w:val="single" w:sz="48" w:space="10" w:color="0096D7"/>
        <w:left w:val="single" w:sz="48" w:space="4" w:color="0096D7"/>
        <w:bottom w:val="single" w:sz="48" w:space="10" w:color="0096D7"/>
        <w:right w:val="single" w:sz="48" w:space="4" w:color="0096D7"/>
      </w:pBdr>
      <w:shd w:val="clear" w:color="auto" w:fill="0096D7"/>
    </w:pPr>
  </w:style>
  <w:style w:type="character" w:customStyle="1" w:styleId="UNCStage2Char">
    <w:name w:val="UNC Stage 2 Char"/>
    <w:link w:val="UNCStage2"/>
    <w:rsid w:val="00C6615E"/>
    <w:rPr>
      <w:rFonts w:ascii="Arial" w:eastAsia="Times New Roman" w:hAnsi="Arial" w:cs="Arial"/>
      <w:b w:val="0"/>
      <w:bCs/>
      <w:color w:val="FFFFFF"/>
      <w:kern w:val="32"/>
      <w:sz w:val="28"/>
      <w:szCs w:val="28"/>
      <w:shd w:val="clear" w:color="auto" w:fill="0096D7"/>
    </w:rPr>
  </w:style>
  <w:style w:type="character" w:customStyle="1" w:styleId="UNCChar">
    <w:name w:val="UNC Char"/>
    <w:link w:val="UNC"/>
    <w:rsid w:val="009E76C1"/>
    <w:rPr>
      <w:rFonts w:ascii="Arial" w:eastAsia="Times New Roman" w:hAnsi="Arial" w:cs="Arial"/>
      <w:b w:val="0"/>
      <w:bCs/>
      <w:color w:val="FFFFFF"/>
      <w:kern w:val="32"/>
      <w:sz w:val="28"/>
      <w:szCs w:val="28"/>
      <w:shd w:val="clear" w:color="auto" w:fill="0096D7"/>
      <w:lang w:eastAsia="en-GB"/>
    </w:rPr>
  </w:style>
  <w:style w:type="paragraph" w:customStyle="1" w:styleId="UNC3DMR">
    <w:name w:val="UNC 3 DMR"/>
    <w:basedOn w:val="UNC1Mod"/>
    <w:link w:val="UNC3DMRChar"/>
    <w:qFormat/>
    <w:rsid w:val="001D2BFA"/>
    <w:pPr>
      <w:pBdr>
        <w:top w:val="single" w:sz="48" w:space="10" w:color="9A4D9E"/>
        <w:left w:val="single" w:sz="48" w:space="4" w:color="9A4D9E"/>
        <w:bottom w:val="single" w:sz="48" w:space="10" w:color="9A4D9E"/>
        <w:right w:val="single" w:sz="48" w:space="4" w:color="9A4D9E"/>
      </w:pBdr>
      <w:shd w:val="clear" w:color="auto" w:fill="9A4D9E"/>
    </w:pPr>
  </w:style>
  <w:style w:type="character" w:customStyle="1" w:styleId="Contents02Char">
    <w:name w:val="Contents 02 Char"/>
    <w:link w:val="Contents02"/>
    <w:rsid w:val="00225131"/>
    <w:rPr>
      <w:rFonts w:ascii="Arial" w:eastAsia="Times New Roman" w:hAnsi="Arial" w:cs="Arial"/>
      <w:bCs/>
      <w:color w:val="FFFFFF"/>
      <w:kern w:val="32"/>
      <w:sz w:val="28"/>
      <w:szCs w:val="32"/>
      <w:shd w:val="clear" w:color="auto" w:fill="0096D7"/>
      <w:lang w:eastAsia="en-GB"/>
    </w:rPr>
  </w:style>
  <w:style w:type="character" w:customStyle="1" w:styleId="UNC2WGRChar">
    <w:name w:val="UNC 2 WGR Char"/>
    <w:link w:val="UNC2WGR"/>
    <w:rsid w:val="00C6615E"/>
    <w:rPr>
      <w:rFonts w:ascii="Arial" w:eastAsia="Times New Roman" w:hAnsi="Arial" w:cs="Arial"/>
      <w:b/>
      <w:bCs/>
      <w:color w:val="FFFFFF"/>
      <w:kern w:val="32"/>
      <w:sz w:val="28"/>
      <w:szCs w:val="28"/>
      <w:shd w:val="clear" w:color="auto" w:fill="0096D7"/>
    </w:rPr>
  </w:style>
  <w:style w:type="paragraph" w:customStyle="1" w:styleId="UNCStage3">
    <w:name w:val="UNC Stage 3"/>
    <w:basedOn w:val="UNCStage1"/>
    <w:link w:val="UNCStage3Char"/>
    <w:qFormat/>
    <w:rsid w:val="001D2BFA"/>
    <w:pPr>
      <w:pBdr>
        <w:top w:val="single" w:sz="48" w:space="1" w:color="9A4D9E"/>
        <w:left w:val="single" w:sz="48" w:space="4" w:color="9A4D9E"/>
        <w:bottom w:val="single" w:sz="48" w:space="0" w:color="9A4D9E"/>
        <w:right w:val="single" w:sz="48" w:space="4" w:color="9A4D9E"/>
      </w:pBdr>
      <w:shd w:val="clear" w:color="auto" w:fill="9A4D9E"/>
    </w:pPr>
  </w:style>
  <w:style w:type="character" w:customStyle="1" w:styleId="UNC3DMRChar">
    <w:name w:val="UNC 3 DMR Char"/>
    <w:link w:val="UNC3DMR"/>
    <w:rsid w:val="001D2BFA"/>
    <w:rPr>
      <w:rFonts w:ascii="Arial" w:eastAsia="Times New Roman" w:hAnsi="Arial" w:cs="Arial"/>
      <w:b/>
      <w:bCs/>
      <w:color w:val="FFFFFF"/>
      <w:kern w:val="32"/>
      <w:sz w:val="28"/>
      <w:szCs w:val="28"/>
      <w:shd w:val="clear" w:color="auto" w:fill="9A4D9E"/>
    </w:rPr>
  </w:style>
  <w:style w:type="paragraph" w:customStyle="1" w:styleId="UNCStgae4">
    <w:name w:val="UNC Stgae 4"/>
    <w:basedOn w:val="UNCStage3"/>
    <w:link w:val="UNCStgae4Char"/>
    <w:qFormat/>
    <w:rsid w:val="001D2BFA"/>
    <w:pPr>
      <w:pBdr>
        <w:top w:val="single" w:sz="48" w:space="1" w:color="F59114"/>
        <w:left w:val="single" w:sz="48" w:space="4" w:color="F59114"/>
        <w:bottom w:val="single" w:sz="48" w:space="0" w:color="F59114"/>
        <w:right w:val="single" w:sz="48" w:space="4" w:color="F59114"/>
      </w:pBdr>
      <w:shd w:val="clear" w:color="auto" w:fill="F59114"/>
    </w:pPr>
  </w:style>
  <w:style w:type="character" w:customStyle="1" w:styleId="UNCStage3Char">
    <w:name w:val="UNC Stage 3 Char"/>
    <w:link w:val="UNCStage3"/>
    <w:rsid w:val="001D2BFA"/>
    <w:rPr>
      <w:rFonts w:ascii="Arial" w:eastAsia="Times New Roman" w:hAnsi="Arial" w:cs="Arial"/>
      <w:bCs/>
      <w:color w:val="FFFFFF"/>
      <w:kern w:val="32"/>
      <w:shd w:val="clear" w:color="auto" w:fill="9A4D9E"/>
    </w:rPr>
  </w:style>
  <w:style w:type="paragraph" w:customStyle="1" w:styleId="UNC4FMR">
    <w:name w:val="UNC 4 FMR"/>
    <w:basedOn w:val="UNC1Mod"/>
    <w:link w:val="UNC4FMRChar"/>
    <w:qFormat/>
    <w:rsid w:val="001D2BFA"/>
    <w:pPr>
      <w:pBdr>
        <w:top w:val="single" w:sz="48" w:space="10" w:color="F59114"/>
        <w:left w:val="single" w:sz="48" w:space="4" w:color="F59114"/>
        <w:bottom w:val="single" w:sz="48" w:space="10" w:color="F59114"/>
        <w:right w:val="single" w:sz="48" w:space="4" w:color="F59114"/>
      </w:pBdr>
      <w:shd w:val="clear" w:color="auto" w:fill="F59114"/>
    </w:pPr>
  </w:style>
  <w:style w:type="character" w:customStyle="1" w:styleId="UNCStgae4Char">
    <w:name w:val="UNC Stgae 4 Char"/>
    <w:link w:val="UNCStgae4"/>
    <w:rsid w:val="001D2BFA"/>
    <w:rPr>
      <w:rFonts w:ascii="Arial" w:eastAsia="Times New Roman" w:hAnsi="Arial" w:cs="Arial"/>
      <w:bCs/>
      <w:color w:val="FFFFFF"/>
      <w:kern w:val="32"/>
      <w:shd w:val="clear" w:color="auto" w:fill="F59114"/>
    </w:rPr>
  </w:style>
  <w:style w:type="paragraph" w:customStyle="1" w:styleId="Level-1">
    <w:name w:val="Level-1"/>
    <w:basedOn w:val="Normal"/>
    <w:autoRedefine/>
    <w:rsid w:val="00DE141D"/>
    <w:pPr>
      <w:widowControl w:val="0"/>
      <w:tabs>
        <w:tab w:val="left" w:pos="720"/>
      </w:tabs>
      <w:autoSpaceDE w:val="0"/>
      <w:autoSpaceDN w:val="0"/>
      <w:adjustRightInd w:val="0"/>
      <w:spacing w:before="240" w:after="240" w:line="240" w:lineRule="auto"/>
      <w:ind w:left="720" w:hanging="720"/>
    </w:pPr>
    <w:rPr>
      <w:rFonts w:ascii="Times New Roman" w:hAnsi="Times New Roman"/>
      <w:b/>
      <w:bCs/>
      <w:sz w:val="22"/>
      <w:lang w:eastAsia="en-US"/>
    </w:rPr>
  </w:style>
  <w:style w:type="character" w:customStyle="1" w:styleId="UNC4FMRChar">
    <w:name w:val="UNC 4 FMR Char"/>
    <w:link w:val="UNC4FMR"/>
    <w:rsid w:val="001D2BFA"/>
    <w:rPr>
      <w:rFonts w:ascii="Arial" w:eastAsia="Times New Roman" w:hAnsi="Arial" w:cs="Arial"/>
      <w:b/>
      <w:bCs/>
      <w:color w:val="FFFFFF"/>
      <w:kern w:val="32"/>
      <w:sz w:val="28"/>
      <w:szCs w:val="28"/>
      <w:shd w:val="clear" w:color="auto" w:fill="F59114"/>
    </w:rPr>
  </w:style>
  <w:style w:type="paragraph" w:customStyle="1" w:styleId="Level-2">
    <w:name w:val="Level-2"/>
    <w:basedOn w:val="Normal"/>
    <w:autoRedefine/>
    <w:rsid w:val="00DE141D"/>
    <w:pPr>
      <w:widowControl w:val="0"/>
      <w:tabs>
        <w:tab w:val="left" w:pos="720"/>
      </w:tabs>
      <w:autoSpaceDE w:val="0"/>
      <w:autoSpaceDN w:val="0"/>
      <w:adjustRightInd w:val="0"/>
      <w:spacing w:before="240" w:after="240"/>
      <w:ind w:left="709" w:hanging="709"/>
    </w:pPr>
    <w:rPr>
      <w:rFonts w:ascii="Times New Roman" w:hAnsi="Times New Roman"/>
      <w:b/>
      <w:bCs/>
      <w:sz w:val="22"/>
      <w:szCs w:val="26"/>
      <w:lang w:eastAsia="en-US"/>
    </w:rPr>
  </w:style>
  <w:style w:type="paragraph" w:customStyle="1" w:styleId="Level-3">
    <w:name w:val="Level-3"/>
    <w:basedOn w:val="Normal"/>
    <w:autoRedefine/>
    <w:rsid w:val="00DE141D"/>
    <w:pPr>
      <w:widowControl w:val="0"/>
      <w:tabs>
        <w:tab w:val="num" w:pos="-2127"/>
      </w:tabs>
      <w:autoSpaceDE w:val="0"/>
      <w:autoSpaceDN w:val="0"/>
      <w:adjustRightInd w:val="0"/>
      <w:spacing w:line="240" w:lineRule="auto"/>
      <w:ind w:left="1418" w:hanging="709"/>
      <w:outlineLvl w:val="2"/>
    </w:pPr>
    <w:rPr>
      <w:rFonts w:ascii="Times New Roman" w:hAnsi="Times New Roman"/>
      <w:noProof/>
      <w:w w:val="0"/>
      <w:sz w:val="22"/>
      <w:szCs w:val="20"/>
      <w:lang w:eastAsia="en-US"/>
    </w:rPr>
  </w:style>
  <w:style w:type="paragraph" w:customStyle="1" w:styleId="Level-5r">
    <w:name w:val="Level-5r"/>
    <w:basedOn w:val="Normal"/>
    <w:autoRedefine/>
    <w:rsid w:val="00DE141D"/>
    <w:pPr>
      <w:widowControl w:val="0"/>
      <w:tabs>
        <w:tab w:val="num" w:pos="2880"/>
      </w:tabs>
      <w:autoSpaceDE w:val="0"/>
      <w:autoSpaceDN w:val="0"/>
      <w:adjustRightInd w:val="0"/>
      <w:spacing w:line="240" w:lineRule="auto"/>
      <w:ind w:left="2880" w:hanging="720"/>
    </w:pPr>
    <w:rPr>
      <w:rFonts w:ascii="Times New Roman" w:hAnsi="Times New Roman"/>
      <w:sz w:val="22"/>
      <w:szCs w:val="20"/>
      <w:lang w:eastAsia="en-US"/>
    </w:rPr>
  </w:style>
  <w:style w:type="paragraph" w:customStyle="1" w:styleId="Level-6n">
    <w:name w:val="Level-6n"/>
    <w:basedOn w:val="Normal"/>
    <w:autoRedefine/>
    <w:rsid w:val="00DE141D"/>
    <w:pPr>
      <w:widowControl w:val="0"/>
      <w:tabs>
        <w:tab w:val="left" w:pos="3600"/>
      </w:tabs>
      <w:autoSpaceDE w:val="0"/>
      <w:autoSpaceDN w:val="0"/>
      <w:adjustRightInd w:val="0"/>
      <w:spacing w:line="240" w:lineRule="auto"/>
      <w:ind w:left="3600" w:hanging="720"/>
    </w:pPr>
    <w:rPr>
      <w:rFonts w:ascii="Times New Roman" w:hAnsi="Times New Roman"/>
      <w:noProof/>
      <w:sz w:val="22"/>
      <w:szCs w:val="20"/>
      <w:lang w:eastAsia="en-US"/>
    </w:rPr>
  </w:style>
  <w:style w:type="paragraph" w:styleId="Revision">
    <w:name w:val="Revision"/>
    <w:hidden/>
    <w:rsid w:val="000775A5"/>
    <w:rPr>
      <w:rFonts w:ascii="Arial" w:eastAsia="Times New Roman" w:hAnsi="Arial"/>
      <w:szCs w:val="24"/>
    </w:rPr>
  </w:style>
  <w:style w:type="character" w:customStyle="1" w:styleId="UnresolvedMention1">
    <w:name w:val="Unresolved Mention1"/>
    <w:uiPriority w:val="47"/>
    <w:rsid w:val="00A15AA8"/>
    <w:rPr>
      <w:color w:val="605E5C"/>
      <w:shd w:val="clear" w:color="auto" w:fill="E1DFDD"/>
    </w:rPr>
  </w:style>
  <w:style w:type="paragraph" w:customStyle="1" w:styleId="CACoPBodyText">
    <w:name w:val="CACoP Body Text"/>
    <w:basedOn w:val="Normal"/>
    <w:link w:val="CACoPBodyTextChar"/>
    <w:qFormat/>
    <w:rsid w:val="002B4FCA"/>
    <w:pPr>
      <w:spacing w:before="0" w:after="160" w:line="259" w:lineRule="auto"/>
    </w:pPr>
    <w:rPr>
      <w:rFonts w:ascii="Calibri" w:eastAsia="Calibri" w:hAnsi="Calibri"/>
      <w:sz w:val="22"/>
      <w:szCs w:val="22"/>
      <w:lang w:eastAsia="en-US"/>
    </w:rPr>
  </w:style>
  <w:style w:type="character" w:customStyle="1" w:styleId="CACoPBodyTextChar">
    <w:name w:val="CACoP Body Text Char"/>
    <w:link w:val="CACoPBodyText"/>
    <w:rsid w:val="002B4FCA"/>
    <w:rPr>
      <w:rFonts w:ascii="Calibri" w:eastAsia="Calibri" w:hAnsi="Calibri"/>
      <w:sz w:val="22"/>
      <w:szCs w:val="22"/>
      <w:lang w:eastAsia="en-US"/>
    </w:rPr>
  </w:style>
  <w:style w:type="paragraph" w:customStyle="1" w:styleId="CACoPBulletLevel1">
    <w:name w:val="CACoP Bullet Level 1"/>
    <w:basedOn w:val="Normal"/>
    <w:link w:val="CACoPBulletLevel1Char"/>
    <w:qFormat/>
    <w:rsid w:val="002B4FCA"/>
    <w:pPr>
      <w:numPr>
        <w:numId w:val="20"/>
      </w:numPr>
      <w:spacing w:before="0" w:after="160" w:line="259" w:lineRule="auto"/>
    </w:pPr>
    <w:rPr>
      <w:rFonts w:ascii="Calibri" w:eastAsia="Calibri" w:hAnsi="Calibri"/>
      <w:color w:val="262626"/>
      <w:sz w:val="22"/>
      <w:szCs w:val="22"/>
      <w:lang w:eastAsia="en-US"/>
    </w:rPr>
  </w:style>
  <w:style w:type="character" w:customStyle="1" w:styleId="CACoPBulletLevel1Char">
    <w:name w:val="CACoP Bullet Level 1 Char"/>
    <w:link w:val="CACoPBulletLevel1"/>
    <w:rsid w:val="002B4FCA"/>
    <w:rPr>
      <w:rFonts w:ascii="Calibri" w:eastAsia="Calibri" w:hAnsi="Calibri"/>
      <w:color w:val="262626"/>
      <w:sz w:val="22"/>
      <w:szCs w:val="22"/>
      <w:lang w:eastAsia="en-US"/>
    </w:rPr>
  </w:style>
  <w:style w:type="table" w:customStyle="1" w:styleId="Style4">
    <w:name w:val="Style4"/>
    <w:basedOn w:val="TableNormal"/>
    <w:uiPriority w:val="99"/>
    <w:rsid w:val="002B4FCA"/>
    <w:pPr>
      <w:spacing w:before="60" w:after="60"/>
    </w:pPr>
    <w:rPr>
      <w:rFonts w:ascii="Calibri" w:eastAsia="Calibri" w:hAnsi="Calibri"/>
      <w:color w:val="262626"/>
      <w:sz w:val="22"/>
      <w:szCs w:val="22"/>
      <w:lang w:eastAsia="en-US"/>
    </w:rPr>
    <w:tblPr>
      <w:tblStyleRowBandSize w:val="1"/>
    </w:tblPr>
    <w:tcPr>
      <w:shd w:val="clear" w:color="auto" w:fill="auto"/>
    </w:tcPr>
    <w:tblStylePr w:type="firstRow">
      <w:pPr>
        <w:jc w:val="center"/>
      </w:pPr>
      <w:rPr>
        <w:rFonts w:ascii="Calibri" w:hAnsi="Calibri"/>
        <w:b/>
        <w:color w:val="FFFFFF"/>
        <w:sz w:val="22"/>
      </w:rPr>
      <w:tblPr/>
      <w:trPr>
        <w:tblHeader/>
      </w:tr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6CBCAB"/>
      </w:tcPr>
    </w:tblStylePr>
    <w:tblStylePr w:type="band1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4E4DD"/>
      </w:tcPr>
    </w:tblStylePr>
    <w:tblStylePr w:type="band2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1F1EE"/>
      </w:tcPr>
    </w:tblStylePr>
  </w:style>
  <w:style w:type="paragraph" w:styleId="ListParagraph">
    <w:name w:val="List Paragraph"/>
    <w:basedOn w:val="Normal"/>
    <w:uiPriority w:val="34"/>
    <w:qFormat/>
    <w:rsid w:val="00635957"/>
    <w:pPr>
      <w:ind w:left="720"/>
    </w:pPr>
    <w:rPr>
      <w:rFonts w:eastAsia="Calibri" w:cs="Arial"/>
      <w:szCs w:val="20"/>
    </w:rPr>
  </w:style>
  <w:style w:type="paragraph" w:customStyle="1" w:styleId="Default">
    <w:name w:val="Default"/>
    <w:rsid w:val="002E5FE4"/>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sid w:val="005264BF"/>
    <w:pPr>
      <w:spacing w:before="0" w:after="0" w:line="240" w:lineRule="auto"/>
    </w:pPr>
    <w:rPr>
      <w:szCs w:val="20"/>
    </w:rPr>
  </w:style>
  <w:style w:type="character" w:customStyle="1" w:styleId="FootnoteTextChar">
    <w:name w:val="Footnote Text Char"/>
    <w:basedOn w:val="DefaultParagraphFont"/>
    <w:link w:val="FootnoteText"/>
    <w:uiPriority w:val="99"/>
    <w:rsid w:val="005264BF"/>
    <w:rPr>
      <w:rFonts w:ascii="Arial" w:eastAsia="Times New Roman" w:hAnsi="Arial"/>
    </w:rPr>
  </w:style>
  <w:style w:type="character" w:styleId="FootnoteReference">
    <w:name w:val="footnote reference"/>
    <w:basedOn w:val="DefaultParagraphFont"/>
    <w:uiPriority w:val="99"/>
    <w:rsid w:val="005264BF"/>
    <w:rPr>
      <w:vertAlign w:val="superscript"/>
    </w:rPr>
  </w:style>
  <w:style w:type="paragraph" w:customStyle="1" w:styleId="MacPacTrailer">
    <w:name w:val="MacPac Trailer"/>
    <w:rsid w:val="00882B71"/>
    <w:pPr>
      <w:widowControl w:val="0"/>
      <w:jc w:val="right"/>
    </w:pPr>
    <w:rPr>
      <w:rFonts w:ascii="Arial" w:eastAsia="Arial Unicode MS" w:hAnsi="Arial"/>
      <w:noProof/>
      <w:sz w:val="14"/>
      <w:lang w:eastAsia="en-US"/>
    </w:rPr>
  </w:style>
  <w:style w:type="character" w:styleId="PlaceholderText">
    <w:name w:val="Placeholder Text"/>
    <w:basedOn w:val="DefaultParagraphFont"/>
    <w:rsid w:val="00AD70C9"/>
    <w:rPr>
      <w:color w:val="808080"/>
    </w:rPr>
  </w:style>
  <w:style w:type="character" w:styleId="UnresolvedMention">
    <w:name w:val="Unresolved Mention"/>
    <w:basedOn w:val="DefaultParagraphFont"/>
    <w:uiPriority w:val="99"/>
    <w:semiHidden/>
    <w:unhideWhenUsed/>
    <w:rsid w:val="00232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321399483">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1199780786">
      <w:bodyDiv w:val="1"/>
      <w:marLeft w:val="0"/>
      <w:marRight w:val="0"/>
      <w:marTop w:val="0"/>
      <w:marBottom w:val="0"/>
      <w:divBdr>
        <w:top w:val="none" w:sz="0" w:space="0" w:color="auto"/>
        <w:left w:val="none" w:sz="0" w:space="0" w:color="auto"/>
        <w:bottom w:val="none" w:sz="0" w:space="0" w:color="auto"/>
        <w:right w:val="none" w:sz="0" w:space="0" w:color="auto"/>
      </w:divBdr>
    </w:div>
    <w:div w:id="1393385106">
      <w:bodyDiv w:val="1"/>
      <w:marLeft w:val="0"/>
      <w:marRight w:val="0"/>
      <w:marTop w:val="0"/>
      <w:marBottom w:val="0"/>
      <w:divBdr>
        <w:top w:val="none" w:sz="0" w:space="0" w:color="auto"/>
        <w:left w:val="none" w:sz="0" w:space="0" w:color="auto"/>
        <w:bottom w:val="none" w:sz="0" w:space="0" w:color="auto"/>
        <w:right w:val="none" w:sz="0" w:space="0" w:color="auto"/>
      </w:divBdr>
    </w:div>
    <w:div w:id="2000885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UKLink@xoserve.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asgovernance.co.uk/0878"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Malcolm.Montgomery@nationalgas.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icky.Hill@centrica.com" TargetMode="External"/><Relationship Id="rId20" Type="http://schemas.openxmlformats.org/officeDocument/2006/relationships/hyperlink" Target="http://www.gasgovernance.co.uk/sites/default/files/Legal%20Text%20Guidance%20Document%20Revision%20v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nick@waterswye.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gasgovernance.co.uk"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gasgovernance.co.uk/0846" TargetMode="External"/><Relationship Id="rId1" Type="http://schemas.openxmlformats.org/officeDocument/2006/relationships/hyperlink" Target="https://www.gasgovernance.co.uk/08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5F1071FEC59E41A820E9294AE07AB1" ma:contentTypeVersion="18" ma:contentTypeDescription="Create a new document." ma:contentTypeScope="" ma:versionID="d1c85b6fb3522f36906ef8d3e38ea8bd">
  <xsd:schema xmlns:xsd="http://www.w3.org/2001/XMLSchema" xmlns:xs="http://www.w3.org/2001/XMLSchema" xmlns:p="http://schemas.microsoft.com/office/2006/metadata/properties" xmlns:ns2="028dae23-1077-43f0-af6a-f64793792108" xmlns:ns3="3ee84ff3-1fa2-4b0e-bbc1-9d3729ac2ba9" targetNamespace="http://schemas.microsoft.com/office/2006/metadata/properties" ma:root="true" ma:fieldsID="69c2d85aa40762de626347c0a74a18e1" ns2:_="" ns3:_="">
    <xsd:import namespace="028dae23-1077-43f0-af6a-f64793792108"/>
    <xsd:import namespace="3ee84ff3-1fa2-4b0e-bbc1-9d3729ac2ba9"/>
    <xsd:element name="properties">
      <xsd:complexType>
        <xsd:sequence>
          <xsd:element name="documentManagement">
            <xsd:complexType>
              <xsd:all>
                <xsd:element ref="ns2:Sign_x002d_off_x0020_statu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dae23-1077-43f0-af6a-f64793792108" elementFormDefault="qualified">
    <xsd:import namespace="http://schemas.microsoft.com/office/2006/documentManagement/types"/>
    <xsd:import namespace="http://schemas.microsoft.com/office/infopath/2007/PartnerControls"/>
    <xsd:element name="Sign_x002d_off_x0020_status" ma:index="8" nillable="true" ma:displayName="Sign-off status" ma:list="UserInfo" ma:SharePointGroup="0" ma:internalName="Sign_x002d_off_x0020_statu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format="Dropdown" ma:internalName="Sign_x002d_off_x0020_status0">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ee84ff3-1fa2-4b0e-bbc1-9d3729ac2ba9" xsi:nil="true"/>
    <SharedWithUsers xmlns="3ee84ff3-1fa2-4b0e-bbc1-9d3729ac2ba9">
      <UserInfo>
        <DisplayName>Eric Fowler</DisplayName>
        <AccountId>25</AccountId>
        <AccountType/>
      </UserInfo>
    </SharedWithUsers>
    <lcf76f155ced4ddcb4097134ff3c332f xmlns="028dae23-1077-43f0-af6a-f64793792108">
      <Terms xmlns="http://schemas.microsoft.com/office/infopath/2007/PartnerControls"/>
    </lcf76f155ced4ddcb4097134ff3c332f>
    <_Flow_SignoffStatus xmlns="028dae23-1077-43f0-af6a-f64793792108">Pending</_Flow_SignoffStatus>
    <Sign_x002d_off_x0020_status xmlns="028dae23-1077-43f0-af6a-f64793792108">
      <UserInfo>
        <DisplayName/>
        <AccountId xsi:nil="true"/>
        <AccountType/>
      </UserInfo>
    </Sign_x002d_off_x0020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02169C-0B3D-4A1A-9E97-A78E0A914B6F}">
  <ds:schemaRefs>
    <ds:schemaRef ds:uri="http://schemas.openxmlformats.org/officeDocument/2006/bibliography"/>
  </ds:schemaRefs>
</ds:datastoreItem>
</file>

<file path=customXml/itemProps2.xml><?xml version="1.0" encoding="utf-8"?>
<ds:datastoreItem xmlns:ds="http://schemas.openxmlformats.org/officeDocument/2006/customXml" ds:itemID="{C6363D3C-29DE-4AB5-B9C7-4F37A9099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dae23-1077-43f0-af6a-f64793792108"/>
    <ds:schemaRef ds:uri="3ee84ff3-1fa2-4b0e-bbc1-9d3729ac2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10D01-64A4-4980-8E9F-0603B261C5A7}">
  <ds:schemaRefs>
    <ds:schemaRef ds:uri="http://schemas.microsoft.com/office/2006/metadata/properties"/>
    <ds:schemaRef ds:uri="http://schemas.microsoft.com/office/infopath/2007/PartnerControls"/>
    <ds:schemaRef ds:uri="3ee84ff3-1fa2-4b0e-bbc1-9d3729ac2ba9"/>
    <ds:schemaRef ds:uri="028dae23-1077-43f0-af6a-f64793792108"/>
  </ds:schemaRefs>
</ds:datastoreItem>
</file>

<file path=customXml/itemProps4.xml><?xml version="1.0" encoding="utf-8"?>
<ds:datastoreItem xmlns:ds="http://schemas.openxmlformats.org/officeDocument/2006/customXml" ds:itemID="{8EB2062D-85B0-42B8-AC8D-992324ECD025}">
  <ds:schemaRefs>
    <ds:schemaRef ds:uri="http://schemas.microsoft.com/sharepoint/v3/contenttype/forms"/>
  </ds:schemaRefs>
</ds:datastoreItem>
</file>

<file path=docMetadata/LabelInfo.xml><?xml version="1.0" encoding="utf-8"?>
<clbl:labelList xmlns:clbl="http://schemas.microsoft.com/office/2020/mipLabelMetadata">
  <clbl:label id="{065f1a46-1149-4b07-97f4-ee5ba49b485b}" enabled="1" method="Standard" siteId="{a603898f-7de2-45ba-b67d-d35fb519b2cf}" removed="0"/>
</clbl:labelList>
</file>

<file path=docProps/app.xml><?xml version="1.0" encoding="utf-8"?>
<Properties xmlns="http://schemas.openxmlformats.org/officeDocument/2006/extended-properties" xmlns:vt="http://schemas.openxmlformats.org/officeDocument/2006/docPropsVTypes">
  <Template>Normal</Template>
  <TotalTime>32</TotalTime>
  <Pages>13</Pages>
  <Words>5959</Words>
  <Characters>32538</Characters>
  <Application>Microsoft Office Word</Application>
  <DocSecurity>0</DocSecurity>
  <Lines>834</Lines>
  <Paragraphs>413</Paragraphs>
  <ScaleCrop>false</ScaleCrop>
  <Manager/>
  <Company>Joint Office of Gas Transporters</Company>
  <LinksUpToDate>false</LinksUpToDate>
  <CharactersWithSpaces>38084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dc:description/>
  <cp:lastModifiedBy>Helen Cuin</cp:lastModifiedBy>
  <cp:revision>10</cp:revision>
  <cp:lastPrinted>2024-06-26T09:00:00Z</cp:lastPrinted>
  <dcterms:created xsi:type="dcterms:W3CDTF">2024-06-12T12:19:00Z</dcterms:created>
  <dcterms:modified xsi:type="dcterms:W3CDTF">2024-06-26T09:00:00Z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24e35e700d056dcfe7d03bcc29c4e3b774c02abc5f234720ecef4c11bf9f476c</vt:lpwstr>
  </property>
  <property fmtid="{D5CDD505-2E9C-101B-9397-08002B2CF9AE}" pid="3" name="ContentTypeId">
    <vt:lpwstr>0x010100895F1071FEC59E41A820E9294AE07AB1</vt:lpwstr>
  </property>
  <property fmtid="{D5CDD505-2E9C-101B-9397-08002B2CF9AE}" pid="4" name="MediaServiceImageTags">
    <vt:lpwstr/>
  </property>
</Properties>
</file>