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00A90299">
        <w:trPr>
          <w:trHeight w:val="690"/>
        </w:trPr>
        <w:tc>
          <w:tcPr>
            <w:tcW w:w="8079" w:type="dxa"/>
            <w:shd w:val="clear" w:color="auto" w:fill="auto"/>
          </w:tcPr>
          <w:p w14:paraId="68BDE93A" w14:textId="386954F4" w:rsidR="00224658" w:rsidRPr="00714EDE" w:rsidRDefault="00985A9A" w:rsidP="00985A9A">
            <w:pPr>
              <w:pStyle w:val="UNC2WGR"/>
            </w:pPr>
            <w:r>
              <w:t xml:space="preserve">UNC </w:t>
            </w:r>
            <w:r w:rsidRPr="008D54E0">
              <w:t>Workgroup Report</w:t>
            </w:r>
            <w:r w:rsidRPr="008D54E0">
              <w:tab/>
            </w:r>
          </w:p>
        </w:tc>
        <w:tc>
          <w:tcPr>
            <w:tcW w:w="2126" w:type="dxa"/>
            <w:shd w:val="clear" w:color="auto" w:fill="auto"/>
          </w:tcPr>
          <w:p w14:paraId="58A9396D" w14:textId="77777777" w:rsidR="00224658" w:rsidRPr="00224658" w:rsidRDefault="00224658" w:rsidP="00985A9A">
            <w:pPr>
              <w:pStyle w:val="UNCStage2"/>
            </w:pPr>
            <w:r w:rsidRPr="00224658">
              <w:t xml:space="preserve">At what stage is this </w:t>
            </w:r>
            <w:r w:rsidRPr="00FC4FB1">
              <w:t>document</w:t>
            </w:r>
            <w:r w:rsidRPr="00224658">
              <w:t xml:space="preserve"> in the process?</w:t>
            </w:r>
          </w:p>
        </w:tc>
      </w:tr>
      <w:tr w:rsidR="006F19E3" w:rsidRPr="00CA74C4" w14:paraId="6A9E599D" w14:textId="77777777" w:rsidTr="00A90299">
        <w:trPr>
          <w:trHeight w:val="2725"/>
        </w:trPr>
        <w:tc>
          <w:tcPr>
            <w:tcW w:w="8079" w:type="dxa"/>
            <w:shd w:val="clear" w:color="auto" w:fill="auto"/>
          </w:tcPr>
          <w:p w14:paraId="5BCFB7EE" w14:textId="3103A534"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577E80">
              <w:rPr>
                <w:rFonts w:cs="Arial"/>
                <w:color w:val="008576"/>
                <w:sz w:val="80"/>
                <w:szCs w:val="80"/>
              </w:rPr>
              <w:t>87</w:t>
            </w:r>
            <w:r w:rsidR="00FF781A">
              <w:rPr>
                <w:rFonts w:cs="Arial"/>
                <w:color w:val="008576"/>
                <w:sz w:val="80"/>
                <w:szCs w:val="80"/>
              </w:rPr>
              <w:t>1</w:t>
            </w:r>
            <w:r w:rsidR="00FD0C8F">
              <w:rPr>
                <w:rFonts w:cs="Arial"/>
                <w:color w:val="008576"/>
                <w:sz w:val="80"/>
                <w:szCs w:val="80"/>
              </w:rPr>
              <w:t>S</w:t>
            </w:r>
            <w:r w:rsidR="006F19E3" w:rsidRPr="00CA74C4">
              <w:rPr>
                <w:rFonts w:cs="Arial"/>
                <w:color w:val="008576"/>
                <w:sz w:val="80"/>
                <w:szCs w:val="80"/>
              </w:rPr>
              <w:t>:</w:t>
            </w:r>
          </w:p>
          <w:p w14:paraId="282602C9" w14:textId="0B71F7E6" w:rsidR="006F19E3" w:rsidRPr="00CA74C4" w:rsidRDefault="00156BEB" w:rsidP="007C1163">
            <w:pPr>
              <w:ind w:left="113" w:right="113"/>
              <w:rPr>
                <w:rFonts w:cs="Arial"/>
                <w:i/>
                <w:color w:val="00B274"/>
                <w:sz w:val="24"/>
              </w:rPr>
            </w:pPr>
            <w:r>
              <w:rPr>
                <w:rFonts w:cs="Arial"/>
                <w:color w:val="008000"/>
                <w:sz w:val="48"/>
                <w:szCs w:val="48"/>
              </w:rPr>
              <w:t>Facilitating IGTs with NTS Entry</w:t>
            </w:r>
            <w:r w:rsidR="006F19E3" w:rsidRPr="00CA74C4">
              <w:rPr>
                <w:rFonts w:cs="Arial"/>
                <w:color w:val="008000"/>
                <w:sz w:val="24"/>
              </w:rPr>
              <w:t xml:space="preserve"> </w:t>
            </w:r>
          </w:p>
        </w:tc>
        <w:tc>
          <w:tcPr>
            <w:tcW w:w="2126" w:type="dxa"/>
            <w:shd w:val="clear" w:color="auto" w:fill="auto"/>
          </w:tcPr>
          <w:p w14:paraId="55459CD4" w14:textId="1A64717A" w:rsidR="006F19E3" w:rsidRPr="00CA74C4" w:rsidRDefault="000A7E7C"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1A62274B" wp14:editId="428A3725">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00A90299">
        <w:trPr>
          <w:trHeight w:val="828"/>
        </w:trPr>
        <w:tc>
          <w:tcPr>
            <w:tcW w:w="10205" w:type="dxa"/>
            <w:gridSpan w:val="2"/>
            <w:shd w:val="clear" w:color="auto" w:fill="auto"/>
          </w:tcPr>
          <w:p w14:paraId="57E0CBC1" w14:textId="6F2C21F2" w:rsidR="006F19E3" w:rsidRPr="00CA74C4" w:rsidRDefault="006F19E3" w:rsidP="007C1163">
            <w:pPr>
              <w:pStyle w:val="BodyText2"/>
              <w:ind w:left="113" w:right="113"/>
              <w:rPr>
                <w:rFonts w:cs="Arial"/>
                <w:i/>
                <w:color w:val="00B274"/>
                <w:sz w:val="24"/>
              </w:rPr>
            </w:pPr>
            <w:r w:rsidRPr="00CA74C4">
              <w:rPr>
                <w:rFonts w:cs="Arial"/>
                <w:b/>
                <w:sz w:val="24"/>
              </w:rPr>
              <w:t>Purpose of Modification:</w:t>
            </w:r>
          </w:p>
          <w:p w14:paraId="65F57E48" w14:textId="386C2363" w:rsidR="006F19E3" w:rsidRPr="00CA74C4" w:rsidRDefault="00AB60CB" w:rsidP="007C1163">
            <w:pPr>
              <w:ind w:left="113" w:right="113"/>
              <w:rPr>
                <w:rFonts w:cs="Arial"/>
              </w:rPr>
            </w:pPr>
            <w:r>
              <w:rPr>
                <w:rFonts w:cs="Arial"/>
                <w:sz w:val="24"/>
              </w:rPr>
              <w:t xml:space="preserve">To clarify the </w:t>
            </w:r>
            <w:r w:rsidR="00680E23">
              <w:rPr>
                <w:rFonts w:cs="Arial"/>
                <w:sz w:val="24"/>
              </w:rPr>
              <w:t xml:space="preserve">treatment of energy </w:t>
            </w:r>
            <w:r>
              <w:rPr>
                <w:rFonts w:cs="Arial"/>
                <w:sz w:val="24"/>
              </w:rPr>
              <w:t>enter</w:t>
            </w:r>
            <w:r w:rsidR="00680E23">
              <w:rPr>
                <w:rFonts w:cs="Arial"/>
                <w:sz w:val="24"/>
              </w:rPr>
              <w:t>ing</w:t>
            </w:r>
            <w:r>
              <w:rPr>
                <w:rFonts w:cs="Arial"/>
                <w:sz w:val="24"/>
              </w:rPr>
              <w:t xml:space="preserve"> the NTS</w:t>
            </w:r>
            <w:r w:rsidR="0069705B">
              <w:rPr>
                <w:rFonts w:cs="Arial"/>
                <w:sz w:val="24"/>
              </w:rPr>
              <w:t xml:space="preserve"> </w:t>
            </w:r>
            <w:r>
              <w:rPr>
                <w:rFonts w:cs="Arial"/>
                <w:sz w:val="24"/>
              </w:rPr>
              <w:t xml:space="preserve"> </w:t>
            </w:r>
            <w:r w:rsidR="00F83919">
              <w:rPr>
                <w:rFonts w:cs="Arial"/>
                <w:sz w:val="24"/>
              </w:rPr>
              <w:t>after entering</w:t>
            </w:r>
            <w:r>
              <w:rPr>
                <w:rFonts w:cs="Arial"/>
                <w:sz w:val="24"/>
              </w:rPr>
              <w:t xml:space="preserve"> an IGT network.</w:t>
            </w:r>
          </w:p>
        </w:tc>
      </w:tr>
      <w:tr w:rsidR="00A90299" w:rsidRPr="00CA74C4" w14:paraId="4E7D61F0" w14:textId="77777777" w:rsidTr="00577E80">
        <w:trPr>
          <w:trHeight w:val="2473"/>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424F83AF" w14:textId="6BAED868" w:rsidR="00FD0C8F" w:rsidRDefault="00FD0C8F" w:rsidP="00FD0C8F">
            <w:pPr>
              <w:pStyle w:val="BodyText3"/>
              <w:ind w:left="113" w:right="113"/>
              <w:rPr>
                <w:rFonts w:cs="Arial"/>
              </w:rPr>
            </w:pPr>
            <w:r w:rsidRPr="00EB32BB">
              <w:t xml:space="preserve">The </w:t>
            </w:r>
            <w:r>
              <w:t>Workgroup</w:t>
            </w:r>
            <w:r w:rsidRPr="00EB32BB">
              <w:t xml:space="preserve"> recommends that this </w:t>
            </w:r>
            <w:r>
              <w:t>M</w:t>
            </w:r>
            <w:r w:rsidRPr="00EB32BB">
              <w:t>odification should</w:t>
            </w:r>
            <w:r>
              <w:t xml:space="preserve"> be </w:t>
            </w:r>
            <w:r w:rsidRPr="00EB32BB">
              <w:rPr>
                <w:rFonts w:cs="Arial"/>
              </w:rPr>
              <w:t xml:space="preserve">subject </w:t>
            </w:r>
            <w:r>
              <w:rPr>
                <w:rFonts w:cs="Arial"/>
                <w:color w:val="000000"/>
              </w:rPr>
              <w:t>to</w:t>
            </w:r>
            <w:r w:rsidRPr="00EB32BB">
              <w:rPr>
                <w:rFonts w:cs="Arial"/>
              </w:rPr>
              <w:t xml:space="preserve"> </w:t>
            </w:r>
            <w:r>
              <w:rPr>
                <w:rFonts w:cs="Arial"/>
              </w:rPr>
              <w:t>Self-Governance</w:t>
            </w:r>
          </w:p>
          <w:p w14:paraId="7F7B980D" w14:textId="2B4C7A75" w:rsidR="00FD0C8F" w:rsidRPr="008A13AC" w:rsidRDefault="00FD0C8F" w:rsidP="00FD0C8F">
            <w:pPr>
              <w:pStyle w:val="BodyText3"/>
              <w:ind w:left="113" w:right="113"/>
              <w:rPr>
                <w:rFonts w:cs="Arial"/>
              </w:rPr>
            </w:pPr>
            <w:r w:rsidRPr="008A13AC">
              <w:rPr>
                <w:rFonts w:cs="Arial"/>
              </w:rPr>
              <w:t>The Workgroup asks Panel to agree that this Self-Governance</w:t>
            </w:r>
            <w:r>
              <w:rPr>
                <w:rFonts w:cs="Arial"/>
              </w:rPr>
              <w:t xml:space="preserve"> </w:t>
            </w:r>
            <w:r w:rsidRPr="008A13AC">
              <w:rPr>
                <w:rFonts w:cs="Arial"/>
              </w:rPr>
              <w:t>Modification should proceed to consultation.</w:t>
            </w:r>
          </w:p>
          <w:p w14:paraId="59B34C27" w14:textId="55185A04" w:rsidR="00A90299" w:rsidRPr="00AD5C29" w:rsidRDefault="00FD0C8F" w:rsidP="00FD0C8F">
            <w:pPr>
              <w:pStyle w:val="BodyText3"/>
              <w:ind w:left="113" w:right="113"/>
              <w:rPr>
                <w:rFonts w:cs="Arial"/>
              </w:rPr>
            </w:pPr>
            <w:r w:rsidRPr="005B0B30">
              <w:rPr>
                <w:rFonts w:cs="Arial"/>
              </w:rPr>
              <w:t>The Panel will consider this Workgroup Report</w:t>
            </w:r>
            <w:r>
              <w:rPr>
                <w:rFonts w:cs="Arial"/>
              </w:rPr>
              <w:t xml:space="preserve"> on 18 July 2024.  The Panel will consider the</w:t>
            </w:r>
            <w:r w:rsidRPr="00C11964">
              <w:rPr>
                <w:rFonts w:cs="Arial"/>
              </w:rPr>
              <w:t xml:space="preserve"> recommendation</w:t>
            </w:r>
            <w:r>
              <w:rPr>
                <w:rFonts w:cs="Arial"/>
              </w:rPr>
              <w:t>s and determine the appropriate next steps.</w:t>
            </w:r>
          </w:p>
        </w:tc>
      </w:tr>
      <w:tr w:rsidR="00A90299" w:rsidRPr="00CA74C4" w14:paraId="280AEF87" w14:textId="77777777" w:rsidTr="00A90299">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1482A794" w14:textId="3B11F50F"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680E23">
              <w:rPr>
                <w:rFonts w:cs="Arial"/>
              </w:rPr>
              <w:t>IGTs facilitating entry</w:t>
            </w:r>
            <w:r w:rsidR="00F83919">
              <w:rPr>
                <w:rFonts w:cs="Arial"/>
              </w:rPr>
              <w:t xml:space="preserve">, Customers seeking to inject gas </w:t>
            </w:r>
            <w:r w:rsidR="00A455DA">
              <w:rPr>
                <w:rFonts w:cs="Arial"/>
              </w:rPr>
              <w:t>in</w:t>
            </w:r>
            <w:r w:rsidR="00F83919">
              <w:rPr>
                <w:rFonts w:cs="Arial"/>
              </w:rPr>
              <w:t>to an IGT</w:t>
            </w:r>
          </w:p>
          <w:p w14:paraId="7363947B" w14:textId="7E9C9E04" w:rsidR="00A90299" w:rsidRPr="0093726B" w:rsidRDefault="00A90299" w:rsidP="00A90299">
            <w:pPr>
              <w:pStyle w:val="BodyText3"/>
              <w:ind w:left="113" w:right="113"/>
              <w:rPr>
                <w:szCs w:val="24"/>
              </w:rPr>
            </w:pPr>
            <w:r w:rsidRPr="0093726B">
              <w:rPr>
                <w:szCs w:val="24"/>
              </w:rPr>
              <w:t>Low:</w:t>
            </w:r>
            <w:r w:rsidR="00FE46EE">
              <w:rPr>
                <w:szCs w:val="24"/>
              </w:rPr>
              <w:t xml:space="preserve"> </w:t>
            </w:r>
            <w:r w:rsidR="00680E23">
              <w:rPr>
                <w:rFonts w:cs="Arial"/>
              </w:rPr>
              <w:t>National Gas</w:t>
            </w:r>
          </w:p>
          <w:p w14:paraId="4E4429F8" w14:textId="1E9C345B" w:rsidR="00A90299" w:rsidRPr="00B97897" w:rsidRDefault="00A90299" w:rsidP="00A90299">
            <w:pPr>
              <w:pStyle w:val="BodyText3"/>
              <w:ind w:left="113" w:right="113"/>
              <w:rPr>
                <w:rFonts w:cs="Arial"/>
              </w:rPr>
            </w:pPr>
            <w:r w:rsidRPr="0093726B">
              <w:rPr>
                <w:szCs w:val="24"/>
              </w:rPr>
              <w:t>None:</w:t>
            </w:r>
            <w:r w:rsidR="00FE46EE">
              <w:rPr>
                <w:szCs w:val="24"/>
              </w:rPr>
              <w:t xml:space="preserve"> </w:t>
            </w:r>
            <w:r w:rsidR="00680E23">
              <w:rPr>
                <w:rFonts w:cs="Arial"/>
              </w:rPr>
              <w:t>Suppliers, Shippers, Distribution Network Operators</w:t>
            </w:r>
          </w:p>
        </w:tc>
      </w:tr>
      <w:tr w:rsidR="00A90299" w:rsidRPr="00CA74C4" w14:paraId="799EAB4A" w14:textId="77777777" w:rsidTr="00A90299">
        <w:trPr>
          <w:trHeight w:val="582"/>
        </w:trPr>
        <w:tc>
          <w:tcPr>
            <w:tcW w:w="10205" w:type="dxa"/>
            <w:gridSpan w:val="2"/>
            <w:shd w:val="clear" w:color="auto" w:fill="auto"/>
          </w:tcPr>
          <w:p w14:paraId="4693DF1E" w14:textId="3732C65B" w:rsidR="00A90299" w:rsidRPr="0093726B" w:rsidRDefault="00A90299" w:rsidP="00491D53">
            <w:pPr>
              <w:pStyle w:val="BodyText2"/>
              <w:ind w:left="113" w:right="113"/>
              <w:rPr>
                <w:rFonts w:cs="Arial"/>
                <w:b/>
                <w:sz w:val="24"/>
              </w:rPr>
            </w:pPr>
            <w:r w:rsidRPr="0093726B">
              <w:rPr>
                <w:rFonts w:cs="Arial"/>
                <w:b/>
                <w:sz w:val="24"/>
              </w:rPr>
              <w:t xml:space="preserve">Impacted Codes: </w:t>
            </w:r>
          </w:p>
          <w:p w14:paraId="7797121C" w14:textId="16A0F26A" w:rsidR="00A90299" w:rsidRPr="00CA74C4" w:rsidRDefault="00680E23" w:rsidP="00577E80">
            <w:pPr>
              <w:pStyle w:val="BodyText2"/>
              <w:ind w:left="113" w:right="113"/>
              <w:rPr>
                <w:rFonts w:cs="Arial"/>
              </w:rPr>
            </w:pPr>
            <w:r>
              <w:rPr>
                <w:rFonts w:cs="Arial"/>
                <w:sz w:val="24"/>
              </w:rPr>
              <w:t>UNC</w:t>
            </w:r>
          </w:p>
        </w:tc>
      </w:tr>
    </w:tbl>
    <w:p w14:paraId="571E1E1B"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4C5653">
            <w:pPr>
              <w:pStyle w:val="Contents02"/>
              <w:rPr>
                <w:noProof/>
              </w:rPr>
            </w:pPr>
            <w:r w:rsidRPr="00CA74C4">
              <w:rPr>
                <w:noProof/>
              </w:rPr>
              <w:lastRenderedPageBreak/>
              <w:t>Contents</w:t>
            </w:r>
          </w:p>
          <w:p w14:paraId="0AD32821" w14:textId="16A1FE7F" w:rsidR="005568A8" w:rsidRDefault="00F10E14" w:rsidP="004C5653">
            <w:pPr>
              <w:pStyle w:val="TOCContents02WGR"/>
              <w:rPr>
                <w:rFonts w:asciiTheme="minorHAnsi" w:eastAsiaTheme="minorEastAsia" w:hAnsiTheme="minorHAnsi" w:cstheme="minorBidi"/>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5568A8">
              <w:t>1</w:t>
            </w:r>
            <w:r w:rsidR="005568A8">
              <w:rPr>
                <w:rFonts w:asciiTheme="minorHAnsi" w:eastAsiaTheme="minorEastAsia" w:hAnsiTheme="minorHAnsi" w:cstheme="minorBidi"/>
                <w:color w:val="auto"/>
                <w:kern w:val="2"/>
                <w14:ligatures w14:val="standardContextual"/>
              </w:rPr>
              <w:tab/>
            </w:r>
            <w:r w:rsidR="005568A8">
              <w:t>Summary</w:t>
            </w:r>
            <w:r w:rsidR="005568A8">
              <w:tab/>
            </w:r>
            <w:r w:rsidR="005568A8">
              <w:fldChar w:fldCharType="begin"/>
            </w:r>
            <w:r w:rsidR="005568A8">
              <w:instrText xml:space="preserve"> PAGEREF _Toc168471582 \h </w:instrText>
            </w:r>
            <w:r w:rsidR="005568A8">
              <w:fldChar w:fldCharType="separate"/>
            </w:r>
            <w:r w:rsidR="002038D5">
              <w:t>3</w:t>
            </w:r>
            <w:r w:rsidR="005568A8">
              <w:fldChar w:fldCharType="end"/>
            </w:r>
          </w:p>
          <w:p w14:paraId="61B741EB" w14:textId="0BADAF81" w:rsidR="005568A8" w:rsidRDefault="005568A8" w:rsidP="004C5653">
            <w:pPr>
              <w:pStyle w:val="TOCContents02WGR"/>
              <w:rPr>
                <w:rFonts w:asciiTheme="minorHAnsi" w:eastAsiaTheme="minorEastAsia" w:hAnsiTheme="minorHAnsi" w:cstheme="minorBidi"/>
                <w:color w:val="auto"/>
                <w:kern w:val="2"/>
                <w14:ligatures w14:val="standardContextual"/>
              </w:rPr>
            </w:pPr>
            <w:r>
              <w:t>2</w:t>
            </w:r>
            <w:r>
              <w:rPr>
                <w:rFonts w:asciiTheme="minorHAnsi" w:eastAsiaTheme="minorEastAsia" w:hAnsiTheme="minorHAnsi" w:cstheme="minorBidi"/>
                <w:color w:val="auto"/>
                <w:kern w:val="2"/>
                <w14:ligatures w14:val="standardContextual"/>
              </w:rPr>
              <w:tab/>
            </w:r>
            <w:r>
              <w:t>Governance</w:t>
            </w:r>
            <w:r>
              <w:tab/>
            </w:r>
            <w:r>
              <w:fldChar w:fldCharType="begin"/>
            </w:r>
            <w:r>
              <w:instrText xml:space="preserve"> PAGEREF _Toc168471583 \h </w:instrText>
            </w:r>
            <w:r>
              <w:fldChar w:fldCharType="separate"/>
            </w:r>
            <w:r w:rsidR="002038D5">
              <w:t>3</w:t>
            </w:r>
            <w:r>
              <w:fldChar w:fldCharType="end"/>
            </w:r>
          </w:p>
          <w:p w14:paraId="4E68BC99" w14:textId="2C86F567" w:rsidR="005568A8" w:rsidRDefault="005568A8" w:rsidP="004C5653">
            <w:pPr>
              <w:pStyle w:val="TOCContents02WGR"/>
              <w:rPr>
                <w:rFonts w:asciiTheme="minorHAnsi" w:eastAsiaTheme="minorEastAsia" w:hAnsiTheme="minorHAnsi" w:cstheme="minorBidi"/>
                <w:color w:val="auto"/>
                <w:kern w:val="2"/>
                <w14:ligatures w14:val="standardContextual"/>
              </w:rPr>
            </w:pPr>
            <w:r>
              <w:t>3</w:t>
            </w:r>
            <w:r>
              <w:rPr>
                <w:rFonts w:asciiTheme="minorHAnsi" w:eastAsiaTheme="minorEastAsia" w:hAnsiTheme="minorHAnsi" w:cstheme="minorBidi"/>
                <w:color w:val="auto"/>
                <w:kern w:val="2"/>
                <w14:ligatures w14:val="standardContextual"/>
              </w:rPr>
              <w:tab/>
            </w:r>
            <w:r>
              <w:t>Why Change?</w:t>
            </w:r>
            <w:r>
              <w:tab/>
            </w:r>
            <w:r>
              <w:fldChar w:fldCharType="begin"/>
            </w:r>
            <w:r>
              <w:instrText xml:space="preserve"> PAGEREF _Toc168471584 \h </w:instrText>
            </w:r>
            <w:r>
              <w:fldChar w:fldCharType="separate"/>
            </w:r>
            <w:r w:rsidR="002038D5">
              <w:t>4</w:t>
            </w:r>
            <w:r>
              <w:fldChar w:fldCharType="end"/>
            </w:r>
          </w:p>
          <w:p w14:paraId="23180676" w14:textId="06984ADE" w:rsidR="005568A8" w:rsidRDefault="005568A8" w:rsidP="004C5653">
            <w:pPr>
              <w:pStyle w:val="TOCContents02WGR"/>
              <w:rPr>
                <w:rFonts w:asciiTheme="minorHAnsi" w:eastAsiaTheme="minorEastAsia" w:hAnsiTheme="minorHAnsi" w:cstheme="minorBidi"/>
                <w:color w:val="auto"/>
                <w:kern w:val="2"/>
                <w14:ligatures w14:val="standardContextual"/>
              </w:rPr>
            </w:pPr>
            <w:r>
              <w:t>4</w:t>
            </w:r>
            <w:r>
              <w:rPr>
                <w:rFonts w:asciiTheme="minorHAnsi" w:eastAsiaTheme="minorEastAsia" w:hAnsiTheme="minorHAnsi" w:cstheme="minorBidi"/>
                <w:color w:val="auto"/>
                <w:kern w:val="2"/>
                <w14:ligatures w14:val="standardContextual"/>
              </w:rPr>
              <w:tab/>
            </w:r>
            <w:r>
              <w:t>Code Specific Matters</w:t>
            </w:r>
            <w:r>
              <w:tab/>
            </w:r>
            <w:r>
              <w:fldChar w:fldCharType="begin"/>
            </w:r>
            <w:r>
              <w:instrText xml:space="preserve"> PAGEREF _Toc168471585 \h </w:instrText>
            </w:r>
            <w:r>
              <w:fldChar w:fldCharType="separate"/>
            </w:r>
            <w:r w:rsidR="002038D5">
              <w:t>4</w:t>
            </w:r>
            <w:r>
              <w:fldChar w:fldCharType="end"/>
            </w:r>
          </w:p>
          <w:p w14:paraId="6BBC9E47" w14:textId="1D112E99" w:rsidR="005568A8" w:rsidRDefault="005568A8" w:rsidP="004C5653">
            <w:pPr>
              <w:pStyle w:val="TOCContents02WGR"/>
              <w:rPr>
                <w:rFonts w:asciiTheme="minorHAnsi" w:eastAsiaTheme="minorEastAsia" w:hAnsiTheme="minorHAnsi" w:cstheme="minorBidi"/>
                <w:color w:val="auto"/>
                <w:kern w:val="2"/>
                <w14:ligatures w14:val="standardContextual"/>
              </w:rPr>
            </w:pPr>
            <w:r>
              <w:t>5</w:t>
            </w:r>
            <w:r>
              <w:rPr>
                <w:rFonts w:asciiTheme="minorHAnsi" w:eastAsiaTheme="minorEastAsia" w:hAnsiTheme="minorHAnsi" w:cstheme="minorBidi"/>
                <w:color w:val="auto"/>
                <w:kern w:val="2"/>
                <w14:ligatures w14:val="standardContextual"/>
              </w:rPr>
              <w:tab/>
            </w:r>
            <w:r>
              <w:t>Solution</w:t>
            </w:r>
            <w:r>
              <w:tab/>
            </w:r>
            <w:r>
              <w:fldChar w:fldCharType="begin"/>
            </w:r>
            <w:r>
              <w:instrText xml:space="preserve"> PAGEREF _Toc168471586 \h </w:instrText>
            </w:r>
            <w:r>
              <w:fldChar w:fldCharType="separate"/>
            </w:r>
            <w:r w:rsidR="002038D5">
              <w:t>4</w:t>
            </w:r>
            <w:r>
              <w:fldChar w:fldCharType="end"/>
            </w:r>
          </w:p>
          <w:p w14:paraId="3E10F996" w14:textId="1442AD29" w:rsidR="005568A8" w:rsidRDefault="005568A8" w:rsidP="004C5653">
            <w:pPr>
              <w:pStyle w:val="TOCContents02WGR"/>
              <w:rPr>
                <w:rFonts w:asciiTheme="minorHAnsi" w:eastAsiaTheme="minorEastAsia" w:hAnsiTheme="minorHAnsi" w:cstheme="minorBidi"/>
                <w:color w:val="auto"/>
                <w:kern w:val="2"/>
                <w14:ligatures w14:val="standardContextual"/>
              </w:rPr>
            </w:pPr>
            <w:r>
              <w:t>6</w:t>
            </w:r>
            <w:r>
              <w:rPr>
                <w:rFonts w:asciiTheme="minorHAnsi" w:eastAsiaTheme="minorEastAsia" w:hAnsiTheme="minorHAnsi" w:cstheme="minorBidi"/>
                <w:color w:val="auto"/>
                <w:kern w:val="2"/>
                <w14:ligatures w14:val="standardContextual"/>
              </w:rPr>
              <w:tab/>
            </w:r>
            <w:r>
              <w:t>Impacts &amp; Other Considerations</w:t>
            </w:r>
            <w:r>
              <w:tab/>
            </w:r>
            <w:r>
              <w:fldChar w:fldCharType="begin"/>
            </w:r>
            <w:r>
              <w:instrText xml:space="preserve"> PAGEREF _Toc168471587 \h </w:instrText>
            </w:r>
            <w:r>
              <w:fldChar w:fldCharType="separate"/>
            </w:r>
            <w:r w:rsidR="002038D5">
              <w:t>5</w:t>
            </w:r>
            <w:r>
              <w:fldChar w:fldCharType="end"/>
            </w:r>
          </w:p>
          <w:p w14:paraId="2C43C9A2" w14:textId="71362545" w:rsidR="005568A8" w:rsidRDefault="005568A8" w:rsidP="004C5653">
            <w:pPr>
              <w:pStyle w:val="TOCContents02WGR"/>
              <w:rPr>
                <w:rFonts w:asciiTheme="minorHAnsi" w:eastAsiaTheme="minorEastAsia" w:hAnsiTheme="minorHAnsi" w:cstheme="minorBidi"/>
                <w:color w:val="auto"/>
                <w:kern w:val="2"/>
                <w14:ligatures w14:val="standardContextual"/>
              </w:rPr>
            </w:pPr>
            <w:r>
              <w:t>7</w:t>
            </w:r>
            <w:r>
              <w:rPr>
                <w:rFonts w:asciiTheme="minorHAnsi" w:eastAsiaTheme="minorEastAsia" w:hAnsiTheme="minorHAnsi" w:cstheme="minorBidi"/>
                <w:color w:val="auto"/>
                <w:kern w:val="2"/>
                <w14:ligatures w14:val="standardContextual"/>
              </w:rPr>
              <w:tab/>
            </w:r>
            <w:r>
              <w:t>Relevant Objectives</w:t>
            </w:r>
            <w:r>
              <w:tab/>
            </w:r>
            <w:r>
              <w:fldChar w:fldCharType="begin"/>
            </w:r>
            <w:r>
              <w:instrText xml:space="preserve"> PAGEREF _Toc168471588 \h </w:instrText>
            </w:r>
            <w:r>
              <w:fldChar w:fldCharType="separate"/>
            </w:r>
            <w:r w:rsidR="002038D5">
              <w:t>7</w:t>
            </w:r>
            <w:r>
              <w:fldChar w:fldCharType="end"/>
            </w:r>
          </w:p>
          <w:p w14:paraId="3F9B1309" w14:textId="5DAC7AB7" w:rsidR="005568A8" w:rsidRDefault="005568A8" w:rsidP="004C5653">
            <w:pPr>
              <w:pStyle w:val="TOCContents02WGR"/>
              <w:rPr>
                <w:rFonts w:asciiTheme="minorHAnsi" w:eastAsiaTheme="minorEastAsia" w:hAnsiTheme="minorHAnsi" w:cstheme="minorBidi"/>
                <w:color w:val="auto"/>
                <w:kern w:val="2"/>
                <w14:ligatures w14:val="standardContextual"/>
              </w:rPr>
            </w:pPr>
            <w:r>
              <w:t>8</w:t>
            </w:r>
            <w:r>
              <w:rPr>
                <w:rFonts w:asciiTheme="minorHAnsi" w:eastAsiaTheme="minorEastAsia" w:hAnsiTheme="minorHAnsi" w:cstheme="minorBidi"/>
                <w:color w:val="auto"/>
                <w:kern w:val="2"/>
                <w14:ligatures w14:val="standardContextual"/>
              </w:rPr>
              <w:tab/>
            </w:r>
            <w:r>
              <w:t>Implementation</w:t>
            </w:r>
            <w:r>
              <w:tab/>
            </w:r>
            <w:r>
              <w:fldChar w:fldCharType="begin"/>
            </w:r>
            <w:r>
              <w:instrText xml:space="preserve"> PAGEREF _Toc168471589 \h </w:instrText>
            </w:r>
            <w:r>
              <w:fldChar w:fldCharType="separate"/>
            </w:r>
            <w:r w:rsidR="002038D5">
              <w:t>8</w:t>
            </w:r>
            <w:r>
              <w:fldChar w:fldCharType="end"/>
            </w:r>
          </w:p>
          <w:p w14:paraId="3B36092D" w14:textId="5B76F524" w:rsidR="005568A8" w:rsidRDefault="005568A8" w:rsidP="004C5653">
            <w:pPr>
              <w:pStyle w:val="TOCContents02WGR"/>
              <w:rPr>
                <w:rFonts w:asciiTheme="minorHAnsi" w:eastAsiaTheme="minorEastAsia" w:hAnsiTheme="minorHAnsi" w:cstheme="minorBidi"/>
                <w:color w:val="auto"/>
                <w:kern w:val="2"/>
                <w14:ligatures w14:val="standardContextual"/>
              </w:rPr>
            </w:pPr>
            <w:r>
              <w:t>9</w:t>
            </w:r>
            <w:r>
              <w:rPr>
                <w:rFonts w:asciiTheme="minorHAnsi" w:eastAsiaTheme="minorEastAsia" w:hAnsiTheme="minorHAnsi" w:cstheme="minorBidi"/>
                <w:color w:val="auto"/>
                <w:kern w:val="2"/>
                <w14:ligatures w14:val="standardContextual"/>
              </w:rPr>
              <w:tab/>
            </w:r>
            <w:r>
              <w:t>Legal Text</w:t>
            </w:r>
            <w:r>
              <w:tab/>
            </w:r>
            <w:r>
              <w:fldChar w:fldCharType="begin"/>
            </w:r>
            <w:r>
              <w:instrText xml:space="preserve"> PAGEREF _Toc168471590 \h </w:instrText>
            </w:r>
            <w:r>
              <w:fldChar w:fldCharType="separate"/>
            </w:r>
            <w:r w:rsidR="002038D5">
              <w:t>8</w:t>
            </w:r>
            <w:r>
              <w:fldChar w:fldCharType="end"/>
            </w:r>
          </w:p>
          <w:p w14:paraId="230AD313" w14:textId="16823292" w:rsidR="005568A8" w:rsidRDefault="005568A8" w:rsidP="004C5653">
            <w:pPr>
              <w:pStyle w:val="TOCContents02WGR"/>
              <w:rPr>
                <w:rFonts w:asciiTheme="minorHAnsi" w:eastAsiaTheme="minorEastAsia" w:hAnsiTheme="minorHAnsi" w:cstheme="minorBidi"/>
                <w:color w:val="auto"/>
                <w:kern w:val="2"/>
                <w14:ligatures w14:val="standardContextual"/>
              </w:rPr>
            </w:pPr>
            <w:r>
              <w:t>10</w:t>
            </w:r>
            <w:r>
              <w:rPr>
                <w:rFonts w:asciiTheme="minorHAnsi" w:eastAsiaTheme="minorEastAsia" w:hAnsiTheme="minorHAnsi" w:cstheme="minorBidi"/>
                <w:color w:val="auto"/>
                <w:kern w:val="2"/>
                <w14:ligatures w14:val="standardContextual"/>
              </w:rPr>
              <w:tab/>
            </w:r>
            <w:r>
              <w:t>Recommendations</w:t>
            </w:r>
            <w:r>
              <w:tab/>
            </w:r>
            <w:r>
              <w:fldChar w:fldCharType="begin"/>
            </w:r>
            <w:r>
              <w:instrText xml:space="preserve"> PAGEREF _Toc168471591 \h </w:instrText>
            </w:r>
            <w:r>
              <w:fldChar w:fldCharType="separate"/>
            </w:r>
            <w:r w:rsidR="002038D5">
              <w:t>8</w:t>
            </w:r>
            <w:r>
              <w:fldChar w:fldCharType="end"/>
            </w:r>
          </w:p>
          <w:p w14:paraId="71503D91" w14:textId="30CEAB02" w:rsidR="005568A8" w:rsidRDefault="005568A8" w:rsidP="004C5653">
            <w:pPr>
              <w:pStyle w:val="TOCContents02WGR"/>
              <w:rPr>
                <w:rFonts w:asciiTheme="minorHAnsi" w:eastAsiaTheme="minorEastAsia" w:hAnsiTheme="minorHAnsi" w:cstheme="minorBidi"/>
                <w:color w:val="auto"/>
                <w:kern w:val="2"/>
                <w14:ligatures w14:val="standardContextual"/>
              </w:rPr>
            </w:pPr>
            <w:r>
              <w:t>11</w:t>
            </w:r>
            <w:r>
              <w:rPr>
                <w:rFonts w:asciiTheme="minorHAnsi" w:eastAsiaTheme="minorEastAsia" w:hAnsiTheme="minorHAnsi" w:cstheme="minorBidi"/>
                <w:color w:val="auto"/>
                <w:kern w:val="2"/>
                <w14:ligatures w14:val="standardContextual"/>
              </w:rPr>
              <w:tab/>
            </w:r>
            <w:r>
              <w:t>Appended Representations</w:t>
            </w:r>
            <w:r>
              <w:tab/>
            </w:r>
            <w:r>
              <w:fldChar w:fldCharType="begin"/>
            </w:r>
            <w:r>
              <w:instrText xml:space="preserve"> PAGEREF _Toc168471592 \h </w:instrText>
            </w:r>
            <w:r>
              <w:fldChar w:fldCharType="separate"/>
            </w:r>
            <w:r w:rsidR="002038D5">
              <w:t>8</w:t>
            </w:r>
            <w:r>
              <w:fldChar w:fldCharType="end"/>
            </w:r>
          </w:p>
          <w:p w14:paraId="5AF4F9E2" w14:textId="2E56D053" w:rsidR="00F10E14" w:rsidRPr="00CA74C4" w:rsidRDefault="00F10E14" w:rsidP="004C5653">
            <w:pPr>
              <w:pStyle w:val="TOCContents02WGR"/>
              <w:rPr>
                <w:rFonts w:cs="Arial"/>
              </w:rPr>
            </w:pPr>
            <w:r w:rsidRPr="00CA74C4">
              <w:rPr>
                <w:rFonts w:cs="Arial"/>
              </w:rPr>
              <w:fldChar w:fldCharType="end"/>
            </w:r>
          </w:p>
          <w:p w14:paraId="03232AFF" w14:textId="77777777" w:rsidR="00F10E14" w:rsidRPr="00CA74C4" w:rsidRDefault="008F48D5" w:rsidP="004C5653">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CA74C4" w14:paraId="61DC5609" w14:textId="77777777" w:rsidTr="00E81739">
              <w:tc>
                <w:tcPr>
                  <w:tcW w:w="7933" w:type="dxa"/>
                  <w:gridSpan w:val="2"/>
                  <w:shd w:val="clear" w:color="auto" w:fill="auto"/>
                </w:tcPr>
                <w:p w14:paraId="4E4901F1" w14:textId="579FF0BE"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p>
              </w:tc>
            </w:tr>
            <w:tr w:rsidR="00936FDF" w:rsidRPr="00CA74C4" w14:paraId="6863E603" w14:textId="77777777" w:rsidTr="008E390E">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3AC9BCFC" w14:textId="6FEC9886" w:rsidR="00936FDF" w:rsidRPr="00CA74C4" w:rsidRDefault="00915A74" w:rsidP="00936FDF">
                  <w:pPr>
                    <w:spacing w:before="40" w:after="40"/>
                    <w:rPr>
                      <w:rFonts w:cs="Arial"/>
                      <w:szCs w:val="20"/>
                    </w:rPr>
                  </w:pPr>
                  <w:r>
                    <w:rPr>
                      <w:rFonts w:cs="Arial"/>
                      <w:szCs w:val="20"/>
                    </w:rPr>
                    <w:t>04</w:t>
                  </w:r>
                  <w:r w:rsidR="003A6E9F">
                    <w:rPr>
                      <w:rFonts w:cs="Arial"/>
                      <w:szCs w:val="20"/>
                    </w:rPr>
                    <w:t xml:space="preserve"> April 2024</w:t>
                  </w:r>
                  <w:r w:rsidRPr="00CA74C4">
                    <w:rPr>
                      <w:rFonts w:cs="Arial"/>
                      <w:szCs w:val="20"/>
                    </w:rPr>
                    <w:t xml:space="preserve"> </w:t>
                  </w:r>
                </w:p>
              </w:tc>
            </w:tr>
            <w:tr w:rsidR="00936FDF" w:rsidRPr="00CA74C4" w14:paraId="5AA50968" w14:textId="77777777" w:rsidTr="008E390E">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3D114586" w14:textId="7A053509" w:rsidR="00936FDF" w:rsidRPr="00CA74C4" w:rsidRDefault="00577E80" w:rsidP="00936FDF">
                  <w:pPr>
                    <w:spacing w:before="40" w:after="40"/>
                    <w:rPr>
                      <w:rFonts w:cs="Arial"/>
                      <w:szCs w:val="20"/>
                    </w:rPr>
                  </w:pPr>
                  <w:r>
                    <w:rPr>
                      <w:rFonts w:cs="Arial"/>
                      <w:szCs w:val="20"/>
                    </w:rPr>
                    <w:t>0</w:t>
                  </w:r>
                  <w:r w:rsidR="00FF781A">
                    <w:rPr>
                      <w:rFonts w:cs="Arial"/>
                      <w:szCs w:val="20"/>
                    </w:rPr>
                    <w:t>4</w:t>
                  </w:r>
                  <w:r>
                    <w:rPr>
                      <w:rFonts w:cs="Arial"/>
                      <w:szCs w:val="20"/>
                    </w:rPr>
                    <w:t xml:space="preserve"> April 2024</w:t>
                  </w:r>
                </w:p>
              </w:tc>
            </w:tr>
            <w:tr w:rsidR="00936FDF" w:rsidRPr="00CA74C4" w14:paraId="0CFE7BF7" w14:textId="77777777" w:rsidTr="008E390E">
              <w:tc>
                <w:tcPr>
                  <w:tcW w:w="5665" w:type="dxa"/>
                  <w:shd w:val="clear" w:color="auto" w:fill="auto"/>
                </w:tcPr>
                <w:p w14:paraId="0866D1EC" w14:textId="77777777" w:rsidR="00936FDF" w:rsidRPr="00CA74C4" w:rsidDel="002A7031" w:rsidRDefault="00936FDF" w:rsidP="00936FDF">
                  <w:pPr>
                    <w:tabs>
                      <w:tab w:val="left" w:pos="171"/>
                    </w:tabs>
                    <w:spacing w:before="40" w:after="40"/>
                    <w:rPr>
                      <w:rFonts w:cs="Arial"/>
                      <w:szCs w:val="20"/>
                    </w:rPr>
                  </w:pPr>
                  <w:r>
                    <w:rPr>
                      <w:rFonts w:cs="Arial"/>
                      <w:szCs w:val="20"/>
                    </w:rPr>
                    <w:t>New Modification to be considered by Panel</w:t>
                  </w:r>
                </w:p>
              </w:tc>
              <w:tc>
                <w:tcPr>
                  <w:tcW w:w="2268" w:type="dxa"/>
                  <w:shd w:val="clear" w:color="auto" w:fill="auto"/>
                  <w:vAlign w:val="center"/>
                </w:tcPr>
                <w:p w14:paraId="6B8FF6DD" w14:textId="3FD1D6DC" w:rsidR="00936FDF" w:rsidRPr="00CA74C4" w:rsidRDefault="00587C49" w:rsidP="00936FDF">
                  <w:pPr>
                    <w:spacing w:before="40" w:after="40"/>
                    <w:rPr>
                      <w:rFonts w:cs="Arial"/>
                      <w:szCs w:val="20"/>
                    </w:rPr>
                  </w:pPr>
                  <w:r>
                    <w:rPr>
                      <w:rFonts w:cs="Arial"/>
                      <w:szCs w:val="20"/>
                    </w:rPr>
                    <w:t>18 April 2024</w:t>
                  </w:r>
                </w:p>
              </w:tc>
            </w:tr>
            <w:tr w:rsidR="00936FDF" w:rsidRPr="00CA74C4" w14:paraId="4858209F" w14:textId="77777777" w:rsidTr="008E390E">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39E2AEC9" w14:textId="09DF96FF" w:rsidR="00936FDF" w:rsidRPr="00CA74C4" w:rsidRDefault="00511FB8" w:rsidP="00936FDF">
                  <w:pPr>
                    <w:spacing w:before="40" w:after="40"/>
                    <w:rPr>
                      <w:rFonts w:cs="Arial"/>
                      <w:szCs w:val="20"/>
                    </w:rPr>
                  </w:pPr>
                  <w:r>
                    <w:rPr>
                      <w:rFonts w:cs="Arial"/>
                      <w:szCs w:val="20"/>
                    </w:rPr>
                    <w:t>02 May 2024</w:t>
                  </w:r>
                </w:p>
              </w:tc>
            </w:tr>
            <w:tr w:rsidR="00936FDF" w:rsidRPr="00CA74C4" w14:paraId="21327F73" w14:textId="77777777" w:rsidTr="008E390E">
              <w:tc>
                <w:tcPr>
                  <w:tcW w:w="5665" w:type="dxa"/>
                  <w:shd w:val="clear" w:color="auto" w:fill="auto"/>
                </w:tcPr>
                <w:p w14:paraId="77E8582A" w14:textId="77777777"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268" w:type="dxa"/>
                  <w:shd w:val="clear" w:color="auto" w:fill="auto"/>
                  <w:vAlign w:val="center"/>
                </w:tcPr>
                <w:p w14:paraId="278B2C62" w14:textId="37F4FFBE" w:rsidR="00936FDF" w:rsidRPr="00CA74C4" w:rsidRDefault="00041BF0" w:rsidP="00936FDF">
                  <w:pPr>
                    <w:spacing w:before="40" w:after="40"/>
                    <w:rPr>
                      <w:rFonts w:cs="Arial"/>
                      <w:szCs w:val="20"/>
                    </w:rPr>
                  </w:pPr>
                  <w:r>
                    <w:rPr>
                      <w:rFonts w:cs="Arial"/>
                      <w:szCs w:val="20"/>
                    </w:rPr>
                    <w:t>18 July 2024</w:t>
                  </w:r>
                </w:p>
              </w:tc>
            </w:tr>
            <w:tr w:rsidR="00B50F34" w:rsidRPr="00CA74C4" w14:paraId="34B40E96" w14:textId="77777777" w:rsidTr="008E390E">
              <w:tc>
                <w:tcPr>
                  <w:tcW w:w="5665" w:type="dxa"/>
                  <w:shd w:val="clear" w:color="auto" w:fill="auto"/>
                </w:tcPr>
                <w:p w14:paraId="29501C12" w14:textId="77777777" w:rsidR="00B50F34" w:rsidRPr="00CA74C4" w:rsidRDefault="00B50F34" w:rsidP="00B50F34">
                  <w:pPr>
                    <w:tabs>
                      <w:tab w:val="left" w:pos="171"/>
                    </w:tabs>
                    <w:spacing w:before="40" w:after="40"/>
                    <w:rPr>
                      <w:rFonts w:cs="Arial"/>
                      <w:szCs w:val="20"/>
                    </w:rPr>
                  </w:pPr>
                  <w:r w:rsidRPr="00CA74C4">
                    <w:rPr>
                      <w:rFonts w:cs="Arial"/>
                      <w:szCs w:val="20"/>
                    </w:rPr>
                    <w:t>Draft Modification Report issued for consultation</w:t>
                  </w:r>
                </w:p>
              </w:tc>
              <w:tc>
                <w:tcPr>
                  <w:tcW w:w="2268" w:type="dxa"/>
                  <w:shd w:val="clear" w:color="auto" w:fill="auto"/>
                  <w:vAlign w:val="center"/>
                </w:tcPr>
                <w:p w14:paraId="0151A859" w14:textId="2DDFB8CC" w:rsidR="00B50F34" w:rsidRPr="00CA74C4" w:rsidRDefault="00A702D2" w:rsidP="00B50F34">
                  <w:pPr>
                    <w:spacing w:before="40" w:after="40"/>
                    <w:rPr>
                      <w:rFonts w:cs="Arial"/>
                      <w:szCs w:val="20"/>
                    </w:rPr>
                  </w:pPr>
                  <w:r>
                    <w:rPr>
                      <w:rFonts w:cs="Arial"/>
                      <w:szCs w:val="20"/>
                    </w:rPr>
                    <w:t>19 July 2024</w:t>
                  </w:r>
                </w:p>
              </w:tc>
            </w:tr>
            <w:tr w:rsidR="00B50F34" w:rsidRPr="00CA74C4" w14:paraId="6120101C" w14:textId="77777777" w:rsidTr="008E390E">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76F99D9A" w14:textId="75C41F0A" w:rsidR="00B50F34" w:rsidRPr="00CA74C4" w:rsidRDefault="00A00034" w:rsidP="00B50F34">
                  <w:pPr>
                    <w:spacing w:before="40" w:after="40"/>
                    <w:rPr>
                      <w:rFonts w:cs="Arial"/>
                      <w:szCs w:val="20"/>
                    </w:rPr>
                  </w:pPr>
                  <w:r>
                    <w:rPr>
                      <w:rFonts w:cs="Arial"/>
                      <w:szCs w:val="20"/>
                    </w:rPr>
                    <w:t>0</w:t>
                  </w:r>
                  <w:r w:rsidR="000507BD">
                    <w:rPr>
                      <w:rFonts w:cs="Arial"/>
                      <w:szCs w:val="20"/>
                    </w:rPr>
                    <w:t>9</w:t>
                  </w:r>
                  <w:r>
                    <w:rPr>
                      <w:rFonts w:cs="Arial"/>
                      <w:szCs w:val="20"/>
                    </w:rPr>
                    <w:t xml:space="preserve"> August 2024</w:t>
                  </w:r>
                </w:p>
              </w:tc>
            </w:tr>
            <w:tr w:rsidR="00B50F34" w:rsidRPr="00CA74C4" w14:paraId="514D63F3" w14:textId="77777777" w:rsidTr="008E390E">
              <w:tc>
                <w:tcPr>
                  <w:tcW w:w="5665" w:type="dxa"/>
                  <w:shd w:val="clear" w:color="auto" w:fill="auto"/>
                </w:tcPr>
                <w:p w14:paraId="2616E30E" w14:textId="77777777" w:rsidR="00B50F34" w:rsidRPr="00CA74C4" w:rsidRDefault="00B50F34" w:rsidP="00B50F34">
                  <w:pPr>
                    <w:tabs>
                      <w:tab w:val="left" w:pos="171"/>
                    </w:tabs>
                    <w:spacing w:before="40" w:after="40"/>
                    <w:rPr>
                      <w:rFonts w:cs="Arial"/>
                      <w:szCs w:val="20"/>
                    </w:rPr>
                  </w:pPr>
                  <w:r w:rsidRPr="00CA74C4">
                    <w:rPr>
                      <w:rFonts w:cs="Arial"/>
                      <w:szCs w:val="20"/>
                    </w:rPr>
                    <w:t>Final Modification Report available for Panel</w:t>
                  </w:r>
                </w:p>
              </w:tc>
              <w:tc>
                <w:tcPr>
                  <w:tcW w:w="2268" w:type="dxa"/>
                  <w:shd w:val="clear" w:color="auto" w:fill="auto"/>
                  <w:vAlign w:val="center"/>
                </w:tcPr>
                <w:p w14:paraId="5711649B" w14:textId="17E8EEA7" w:rsidR="00B50F34" w:rsidRPr="00CA74C4" w:rsidRDefault="00F8532E" w:rsidP="00B50F34">
                  <w:pPr>
                    <w:spacing w:before="40" w:after="40"/>
                    <w:rPr>
                      <w:rFonts w:cs="Arial"/>
                      <w:szCs w:val="20"/>
                    </w:rPr>
                  </w:pPr>
                  <w:r>
                    <w:rPr>
                      <w:rFonts w:cs="Arial"/>
                      <w:szCs w:val="20"/>
                    </w:rPr>
                    <w:t>14 August 2024</w:t>
                  </w:r>
                </w:p>
              </w:tc>
            </w:tr>
            <w:tr w:rsidR="00B50F34" w:rsidRPr="00CA74C4" w14:paraId="4CAE68FD" w14:textId="77777777" w:rsidTr="008E390E">
              <w:trPr>
                <w:trHeight w:val="93"/>
              </w:trPr>
              <w:tc>
                <w:tcPr>
                  <w:tcW w:w="5665" w:type="dxa"/>
                  <w:shd w:val="clear" w:color="auto" w:fill="auto"/>
                </w:tcPr>
                <w:p w14:paraId="210052B9" w14:textId="77777777" w:rsidR="00B50F34" w:rsidRPr="00CA74C4" w:rsidRDefault="00B50F34" w:rsidP="00B50F34">
                  <w:pPr>
                    <w:tabs>
                      <w:tab w:val="left" w:pos="171"/>
                    </w:tabs>
                    <w:spacing w:before="40" w:after="40"/>
                    <w:rPr>
                      <w:rFonts w:cs="Arial"/>
                      <w:szCs w:val="20"/>
                    </w:rPr>
                  </w:pPr>
                  <w:r w:rsidRPr="00CA74C4">
                    <w:rPr>
                      <w:rFonts w:cs="Arial"/>
                      <w:szCs w:val="20"/>
                    </w:rPr>
                    <w:t>Modification Panel decision</w:t>
                  </w:r>
                </w:p>
              </w:tc>
              <w:tc>
                <w:tcPr>
                  <w:tcW w:w="2268" w:type="dxa"/>
                  <w:shd w:val="clear" w:color="auto" w:fill="auto"/>
                  <w:vAlign w:val="center"/>
                </w:tcPr>
                <w:p w14:paraId="247236D6" w14:textId="61B0373B" w:rsidR="00B50F34" w:rsidRPr="00CA74C4" w:rsidRDefault="00C83A31" w:rsidP="00B50F34">
                  <w:pPr>
                    <w:spacing w:before="40" w:after="40"/>
                    <w:rPr>
                      <w:rFonts w:cs="Arial"/>
                      <w:szCs w:val="20"/>
                    </w:rPr>
                  </w:pPr>
                  <w:r>
                    <w:rPr>
                      <w:rFonts w:cs="Arial"/>
                      <w:szCs w:val="20"/>
                    </w:rPr>
                    <w:t>19 September 2024</w:t>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3C27DD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3B5662DA" w14:textId="77777777" w:rsidR="00680E23" w:rsidRDefault="00680E23" w:rsidP="002D4AED">
            <w:pPr>
              <w:spacing w:before="60" w:after="60" w:line="240" w:lineRule="auto"/>
              <w:rPr>
                <w:rFonts w:cs="Arial"/>
                <w:b/>
                <w:color w:val="008576"/>
                <w:szCs w:val="20"/>
              </w:rPr>
            </w:pPr>
            <w:r>
              <w:rPr>
                <w:rFonts w:cs="Arial"/>
                <w:b/>
                <w:color w:val="008576"/>
                <w:szCs w:val="20"/>
              </w:rPr>
              <w:t>Graeme Hunter</w:t>
            </w:r>
          </w:p>
          <w:p w14:paraId="6982D5B0" w14:textId="6995C5B2" w:rsidR="00F10E14" w:rsidRPr="00CA74C4" w:rsidRDefault="00680E23" w:rsidP="002D4AED">
            <w:pPr>
              <w:spacing w:before="60" w:after="60" w:line="240" w:lineRule="auto"/>
              <w:rPr>
                <w:rFonts w:cs="Arial"/>
                <w:b/>
                <w:color w:val="008576"/>
                <w:szCs w:val="20"/>
              </w:rPr>
            </w:pPr>
            <w:r>
              <w:rPr>
                <w:rFonts w:cs="Arial"/>
                <w:b/>
                <w:color w:val="008576"/>
                <w:szCs w:val="20"/>
              </w:rPr>
              <w:t>Barrow Shipping</w:t>
            </w:r>
          </w:p>
        </w:tc>
      </w:tr>
      <w:tr w:rsidR="00F10E14" w:rsidRPr="00CA74C4" w14:paraId="0645B3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7B0F4C37" w:rsidR="00577E80" w:rsidRPr="00CA74C4" w:rsidRDefault="003C3E68" w:rsidP="00577E80">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6" w:history="1">
              <w:r w:rsidR="00577E80" w:rsidRPr="00213A8D">
                <w:rPr>
                  <w:rStyle w:val="Hyperlink"/>
                  <w:rFonts w:cs="Arial"/>
                  <w:b/>
                  <w:szCs w:val="20"/>
                </w:rPr>
                <w:t>ghunter@barrowshipping.co.uk</w:t>
              </w:r>
            </w:hyperlink>
          </w:p>
        </w:tc>
      </w:tr>
      <w:tr w:rsidR="00F10E14" w:rsidRPr="00CA74C4" w14:paraId="5C78018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3A8F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3CAB2A09"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680E23">
              <w:rPr>
                <w:rFonts w:cs="Arial"/>
                <w:b/>
                <w:color w:val="008576"/>
                <w:szCs w:val="20"/>
              </w:rPr>
              <w:t>0</w:t>
            </w:r>
            <w:r w:rsidR="00680E23" w:rsidRPr="00680E23">
              <w:rPr>
                <w:rFonts w:cs="Arial"/>
                <w:b/>
                <w:color w:val="008576"/>
                <w:szCs w:val="20"/>
              </w:rPr>
              <w:t>7967 611235</w:t>
            </w:r>
            <w:r w:rsidR="00680E23" w:rsidRPr="00680E23">
              <w:rPr>
                <w:rFonts w:cs="Arial"/>
                <w:b/>
                <w:color w:val="008576"/>
                <w:szCs w:val="20"/>
              </w:rPr>
              <w:t>‬</w:t>
            </w:r>
          </w:p>
        </w:tc>
      </w:tr>
      <w:tr w:rsidR="00F10E14" w:rsidRPr="00CA74C4" w14:paraId="2A1880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2E01EE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27131983" w:rsidR="00F10E14" w:rsidRPr="00CA74C4" w:rsidRDefault="007C7B09" w:rsidP="002D4AED">
            <w:pPr>
              <w:pStyle w:val="BodyText"/>
              <w:spacing w:before="60" w:after="60" w:line="240" w:lineRule="auto"/>
              <w:rPr>
                <w:rFonts w:cs="Arial"/>
                <w:color w:val="008576"/>
                <w:szCs w:val="20"/>
              </w:rPr>
            </w:pPr>
            <w:r>
              <w:rPr>
                <w:rFonts w:cs="Arial"/>
                <w:b/>
                <w:color w:val="008576"/>
                <w:szCs w:val="20"/>
              </w:rPr>
              <w:t>N</w:t>
            </w:r>
            <w:r w:rsidR="00FF2A3E">
              <w:rPr>
                <w:rFonts w:cs="Arial"/>
                <w:b/>
                <w:color w:val="008576"/>
                <w:szCs w:val="20"/>
              </w:rPr>
              <w:t>ational</w:t>
            </w:r>
            <w:r>
              <w:rPr>
                <w:rFonts w:cs="Arial"/>
                <w:b/>
                <w:color w:val="008576"/>
                <w:szCs w:val="20"/>
              </w:rPr>
              <w:t xml:space="preserve"> Gas </w:t>
            </w:r>
            <w:r w:rsidR="00FF2A3E">
              <w:rPr>
                <w:rFonts w:cs="Arial"/>
                <w:b/>
                <w:color w:val="008576"/>
                <w:szCs w:val="20"/>
              </w:rPr>
              <w:t>Transmission</w:t>
            </w:r>
            <w:r w:rsidR="006A50E3">
              <w:rPr>
                <w:rFonts w:cs="Arial"/>
                <w:b/>
                <w:color w:val="008576"/>
                <w:szCs w:val="20"/>
              </w:rPr>
              <w:t xml:space="preserve"> (NGT)</w:t>
            </w:r>
          </w:p>
        </w:tc>
      </w:tr>
      <w:tr w:rsidR="00F10E14" w:rsidRPr="00CA74C4" w14:paraId="5C906A6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8FE1563"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622B80D1" w:rsidR="00EA09D9" w:rsidRPr="00EA09D9" w:rsidRDefault="003C3E68" w:rsidP="002D4AED">
            <w:pPr>
              <w:pStyle w:val="BodyText"/>
              <w:spacing w:before="60" w:after="60"/>
              <w:rPr>
                <w:rFonts w:cs="Arial"/>
                <w:szCs w:val="20"/>
              </w:rPr>
            </w:pPr>
            <w:r w:rsidRPr="00122D68">
              <w:rPr>
                <w:rFonts w:cs="Arial"/>
                <w:b/>
                <w:noProof/>
                <w:color w:val="008576"/>
                <w:szCs w:val="20"/>
              </w:rPr>
              <w:drawing>
                <wp:inline distT="0" distB="0" distL="0" distR="0" wp14:anchorId="3169CE51" wp14:editId="73819CD0">
                  <wp:extent cx="281305" cy="281305"/>
                  <wp:effectExtent l="0" t="0" r="0" b="0"/>
                  <wp:docPr id="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7" w:history="1">
              <w:r w:rsidR="00EA09D9" w:rsidRPr="00EA09D9">
                <w:rPr>
                  <w:rStyle w:val="Hyperlink"/>
                  <w:rFonts w:cs="Arial"/>
                  <w:b/>
                  <w:bCs/>
                  <w:szCs w:val="20"/>
                </w:rPr>
                <w:t>Malcolm.Montgomery@nationalgas.com</w:t>
              </w:r>
            </w:hyperlink>
          </w:p>
        </w:tc>
      </w:tr>
      <w:tr w:rsidR="00F10E14" w:rsidRPr="00CA74C4" w14:paraId="637F955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B4F100B"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400EED3B"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EA09D9" w:rsidRPr="00EA09D9">
              <w:rPr>
                <w:rFonts w:cs="Arial"/>
                <w:b/>
                <w:color w:val="008576"/>
                <w:szCs w:val="20"/>
              </w:rPr>
              <w:t>07970 114</w:t>
            </w:r>
            <w:r w:rsidR="00EA09D9">
              <w:rPr>
                <w:rFonts w:cs="Arial"/>
                <w:b/>
                <w:color w:val="008576"/>
                <w:szCs w:val="20"/>
              </w:rPr>
              <w:t xml:space="preserve"> </w:t>
            </w:r>
            <w:r w:rsidR="00EA09D9" w:rsidRPr="00EA09D9">
              <w:rPr>
                <w:rFonts w:cs="Arial"/>
                <w:b/>
                <w:color w:val="008576"/>
                <w:szCs w:val="20"/>
              </w:rPr>
              <w:t>460</w:t>
            </w:r>
          </w:p>
        </w:tc>
      </w:tr>
      <w:tr w:rsidR="005B0B30" w:rsidRPr="00CA74C4" w14:paraId="795D8F7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0905E0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1D1C01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5564F3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2A537E" w14:textId="0B5E66AE" w:rsidR="005B0B30" w:rsidRPr="00CA74C4" w:rsidRDefault="003C3E68"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18" w:history="1">
              <w:r w:rsidR="00CB5E73" w:rsidRPr="00CB5E73">
                <w:rPr>
                  <w:rStyle w:val="Hyperlink"/>
                  <w:rFonts w:cs="Arial"/>
                  <w:b/>
                  <w:szCs w:val="20"/>
                </w:rPr>
                <w:t>UKLink@xoserve.com</w:t>
              </w:r>
            </w:hyperlink>
          </w:p>
        </w:tc>
      </w:tr>
    </w:tbl>
    <w:p w14:paraId="061792DB" w14:textId="621A5A5E" w:rsidR="00A90299" w:rsidRDefault="00A90299">
      <w:pPr>
        <w:rPr>
          <w:rFonts w:cs="Arial"/>
        </w:rPr>
      </w:pPr>
    </w:p>
    <w:p w14:paraId="51697D33" w14:textId="77777777" w:rsidR="00A90299" w:rsidRDefault="00A90299">
      <w:pPr>
        <w:rPr>
          <w:rFonts w:cs="Arial"/>
        </w:rPr>
      </w:pPr>
    </w:p>
    <w:p w14:paraId="56F4FCB8" w14:textId="77777777" w:rsidR="00EE5AFB" w:rsidRDefault="00EE5AFB">
      <w:pPr>
        <w:rPr>
          <w:rFonts w:cs="Arial"/>
        </w:rPr>
      </w:pPr>
    </w:p>
    <w:p w14:paraId="0F900DF7" w14:textId="77777777" w:rsidR="00A15AA8" w:rsidRDefault="00A15AA8">
      <w:pPr>
        <w:rPr>
          <w:rFonts w:cs="Arial"/>
        </w:rPr>
      </w:pPr>
    </w:p>
    <w:p w14:paraId="24747E85" w14:textId="77777777" w:rsidR="00A15AA8" w:rsidRPr="00CA74C4" w:rsidRDefault="00A15AA8">
      <w:pPr>
        <w:rPr>
          <w:rFonts w:cs="Arial"/>
        </w:rPr>
      </w:pPr>
    </w:p>
    <w:p w14:paraId="24267A3A" w14:textId="77777777" w:rsidR="00143041" w:rsidRPr="00CA74C4" w:rsidRDefault="004C6117" w:rsidP="00B65F28">
      <w:pPr>
        <w:pStyle w:val="Heading02"/>
      </w:pPr>
      <w:bookmarkStart w:id="0" w:name="_Toc188527263"/>
      <w:bookmarkStart w:id="1" w:name="_Toc168471582"/>
      <w:r w:rsidRPr="00CA74C4">
        <w:lastRenderedPageBreak/>
        <w:t>Summary</w:t>
      </w:r>
      <w:bookmarkEnd w:id="0"/>
      <w:bookmarkEnd w:id="1"/>
    </w:p>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5CE38D25" w14:textId="7E1EB7CC" w:rsidR="004C6117" w:rsidRPr="00CA74C4" w:rsidRDefault="00680E23" w:rsidP="004C6117">
      <w:pPr>
        <w:rPr>
          <w:rFonts w:cs="Arial"/>
        </w:rPr>
      </w:pPr>
      <w:r>
        <w:rPr>
          <w:rFonts w:cs="Arial"/>
        </w:rPr>
        <w:t xml:space="preserve">The concept of gas </w:t>
      </w:r>
      <w:r w:rsidR="00777336">
        <w:rPr>
          <w:rFonts w:cs="Arial"/>
        </w:rPr>
        <w:t>entering</w:t>
      </w:r>
      <w:r>
        <w:rPr>
          <w:rFonts w:cs="Arial"/>
        </w:rPr>
        <w:t xml:space="preserve"> the NTS </w:t>
      </w:r>
      <w:r w:rsidR="00777336">
        <w:rPr>
          <w:rFonts w:cs="Arial"/>
        </w:rPr>
        <w:t xml:space="preserve">after entering an IGT network </w:t>
      </w:r>
      <w:r>
        <w:rPr>
          <w:rFonts w:cs="Arial"/>
        </w:rPr>
        <w:t xml:space="preserve">is not covered by the UNC, leaving a </w:t>
      </w:r>
      <w:r w:rsidR="00777336">
        <w:rPr>
          <w:rFonts w:cs="Arial"/>
        </w:rPr>
        <w:t xml:space="preserve">potential for double counting if the gas is treated as entering the GB network twice. </w:t>
      </w:r>
    </w:p>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3E9BA8B7" w14:textId="77D4F48A" w:rsidR="004C6117" w:rsidRPr="00CA74C4" w:rsidRDefault="00680E23" w:rsidP="004C6117">
      <w:pPr>
        <w:rPr>
          <w:rFonts w:cs="Arial"/>
        </w:rPr>
      </w:pPr>
      <w:proofErr w:type="gramStart"/>
      <w:r>
        <w:rPr>
          <w:rFonts w:cs="Arial"/>
        </w:rPr>
        <w:t>A number of</w:t>
      </w:r>
      <w:proofErr w:type="gramEnd"/>
      <w:r>
        <w:rPr>
          <w:rFonts w:cs="Arial"/>
        </w:rPr>
        <w:t xml:space="preserve"> developers are looking at injecting gas </w:t>
      </w:r>
      <w:r w:rsidR="004B0BA0">
        <w:rPr>
          <w:rFonts w:cs="Arial"/>
        </w:rPr>
        <w:t>into</w:t>
      </w:r>
      <w:r>
        <w:rPr>
          <w:rFonts w:cs="Arial"/>
        </w:rPr>
        <w:t xml:space="preserve"> potential IGT networks that would be connected to the NTS, creating flow from an IGT to the NTS</w:t>
      </w:r>
      <w:r w:rsidR="00EF6ACD">
        <w:rPr>
          <w:rFonts w:cs="Arial"/>
        </w:rPr>
        <w:t>.</w:t>
      </w:r>
    </w:p>
    <w:p w14:paraId="74A43FA1"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53ED82D6" w14:textId="71078213" w:rsidR="004C6117" w:rsidRPr="00CA74C4" w:rsidRDefault="00680E23" w:rsidP="004C6117">
      <w:pPr>
        <w:rPr>
          <w:rFonts w:cs="Arial"/>
        </w:rPr>
      </w:pPr>
      <w:r>
        <w:rPr>
          <w:rFonts w:cs="Arial"/>
        </w:rPr>
        <w:t xml:space="preserve">It is proposed that the UNC is modified such that gas would be treated as entering the GB market where it enters an NTS connected IGT network </w:t>
      </w:r>
      <w:r w:rsidR="00777336">
        <w:rPr>
          <w:rFonts w:cs="Arial"/>
        </w:rPr>
        <w:t xml:space="preserve">and not when it subsequently enters </w:t>
      </w:r>
      <w:r>
        <w:rPr>
          <w:rFonts w:cs="Arial"/>
        </w:rPr>
        <w:t>the NTS.</w:t>
      </w:r>
    </w:p>
    <w:p w14:paraId="59C12B33" w14:textId="77777777" w:rsidR="00E6212D" w:rsidRPr="00CA74C4" w:rsidRDefault="00E6212D" w:rsidP="00B65F28">
      <w:pPr>
        <w:pStyle w:val="Heading02"/>
      </w:pPr>
      <w:bookmarkStart w:id="2" w:name="_Toc168471583"/>
      <w:r w:rsidRPr="00CA74C4">
        <w:t>Governance</w:t>
      </w:r>
      <w:bookmarkEnd w:id="2"/>
    </w:p>
    <w:p w14:paraId="1533BCA6" w14:textId="623FE6D1" w:rsidR="00FE46EE" w:rsidRPr="00B502DC" w:rsidRDefault="00B37860"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3" w:name="_Hlk30580666"/>
      <w:r w:rsidRPr="00CA74C4">
        <w:rPr>
          <w:rFonts w:ascii="Arial" w:eastAsia="Times New Roman" w:hAnsi="Arial" w:cs="Arial"/>
          <w:i w:val="0"/>
          <w:iCs w:val="0"/>
          <w:color w:val="008576"/>
          <w:sz w:val="24"/>
          <w:szCs w:val="28"/>
        </w:rPr>
        <w:t xml:space="preserve">Justification for </w:t>
      </w:r>
      <w:r w:rsidR="003C2E56" w:rsidRPr="00CA74C4">
        <w:rPr>
          <w:rFonts w:ascii="Arial" w:eastAsia="Times New Roman" w:hAnsi="Arial" w:cs="Arial"/>
          <w:i w:val="0"/>
          <w:iCs w:val="0"/>
          <w:color w:val="008576"/>
          <w:sz w:val="24"/>
          <w:szCs w:val="28"/>
        </w:rPr>
        <w:t>Self-Governance</w:t>
      </w:r>
      <w:r w:rsidR="00D22C38">
        <w:rPr>
          <w:rFonts w:ascii="Arial" w:eastAsia="Times New Roman" w:hAnsi="Arial" w:cs="Arial"/>
          <w:i w:val="0"/>
          <w:iCs w:val="0"/>
          <w:color w:val="008576"/>
          <w:sz w:val="24"/>
          <w:szCs w:val="28"/>
        </w:rPr>
        <w:t xml:space="preserve"> </w:t>
      </w:r>
    </w:p>
    <w:bookmarkEnd w:id="3"/>
    <w:p w14:paraId="2FB60F62" w14:textId="10E2FB3D" w:rsidR="00B37860" w:rsidRPr="00867539" w:rsidRDefault="00B37860" w:rsidP="00867539">
      <w:r w:rsidRPr="00867539">
        <w:t>The modification</w:t>
      </w:r>
      <w:r w:rsidR="00867539">
        <w:t xml:space="preserve"> is a technical change that</w:t>
      </w:r>
      <w:r w:rsidRPr="00867539">
        <w:t xml:space="preserve">: </w:t>
      </w:r>
    </w:p>
    <w:p w14:paraId="7678E6DC" w14:textId="77777777" w:rsidR="00B37860" w:rsidRPr="00867539" w:rsidRDefault="003D277E" w:rsidP="00867539">
      <w:r w:rsidRPr="00867539">
        <w:t>(i) is unlikely to have a material effect on:</w:t>
      </w:r>
    </w:p>
    <w:p w14:paraId="173D71F9" w14:textId="77777777" w:rsidR="00B37860" w:rsidRPr="00867539" w:rsidRDefault="00B37860" w:rsidP="00867539">
      <w:r w:rsidRPr="00867539">
        <w:t xml:space="preserve">(aa) </w:t>
      </w:r>
      <w:r w:rsidRPr="00867539">
        <w:tab/>
        <w:t xml:space="preserve">existing or future gas consumers; and </w:t>
      </w:r>
    </w:p>
    <w:p w14:paraId="2B4A0E3D" w14:textId="77777777" w:rsidR="00B37860" w:rsidRPr="00867539" w:rsidRDefault="00B37860" w:rsidP="00867539">
      <w:r w:rsidRPr="00867539">
        <w:t>(bb)</w:t>
      </w:r>
      <w:r w:rsidRPr="00867539">
        <w:tab/>
        <w:t xml:space="preserve">competition in the shipping, transportation or supply of gas conveyed through pipes or any commercial activities connected with the shipping, transportation or supply of gas conveyed through pipes; and </w:t>
      </w:r>
    </w:p>
    <w:p w14:paraId="5310F727" w14:textId="77777777" w:rsidR="00B37860" w:rsidRPr="00867539" w:rsidRDefault="00B37860" w:rsidP="00867539">
      <w:r w:rsidRPr="00867539">
        <w:t>(cc)</w:t>
      </w:r>
      <w:r w:rsidRPr="00867539">
        <w:tab/>
        <w:t xml:space="preserve">the operation of one or more pipe-line system(s); and </w:t>
      </w:r>
    </w:p>
    <w:p w14:paraId="4CE66776" w14:textId="77777777" w:rsidR="00B37860" w:rsidRPr="00867539" w:rsidRDefault="00B37860" w:rsidP="00867539">
      <w:r w:rsidRPr="00867539">
        <w:t>(dd)</w:t>
      </w:r>
      <w:r w:rsidRPr="00867539">
        <w:tab/>
        <w:t xml:space="preserve">matters relating to sustainable development, safety or security of supply, or the management of market or network emergencies; and </w:t>
      </w:r>
    </w:p>
    <w:p w14:paraId="3E1C00F8" w14:textId="77777777" w:rsidR="00B37860" w:rsidRPr="00867539" w:rsidRDefault="00B37860" w:rsidP="00867539">
      <w:r w:rsidRPr="00867539">
        <w:t>(</w:t>
      </w:r>
      <w:proofErr w:type="spellStart"/>
      <w:r w:rsidRPr="00867539">
        <w:t>ee</w:t>
      </w:r>
      <w:proofErr w:type="spellEnd"/>
      <w:r w:rsidRPr="00867539">
        <w:t xml:space="preserve">) </w:t>
      </w:r>
      <w:r w:rsidRPr="00867539">
        <w:tab/>
        <w:t xml:space="preserve">the uniform network code governance procedures or the network code modification procedures; and </w:t>
      </w:r>
    </w:p>
    <w:p w14:paraId="535E0189" w14:textId="77777777" w:rsidR="00B37860" w:rsidRPr="00CA74C4" w:rsidRDefault="00B37860" w:rsidP="00867539">
      <w:pPr>
        <w:rPr>
          <w:rFonts w:eastAsia="Cambria" w:cs="Arial"/>
          <w:i/>
          <w:color w:val="00B274"/>
          <w:szCs w:val="20"/>
          <w:lang w:eastAsia="en-US"/>
        </w:rPr>
      </w:pPr>
      <w:r w:rsidRPr="00867539">
        <w:t>(ii) is unlikely to discriminate between different classes of parties to the uniform network code/relevant gas transporters, gas shippers or DN operators.</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4" w:name="_Hlk30581701"/>
      <w:r w:rsidRPr="00CA74C4">
        <w:rPr>
          <w:rFonts w:ascii="Arial" w:eastAsia="Times New Roman" w:hAnsi="Arial" w:cs="Arial"/>
          <w:i w:val="0"/>
          <w:iCs w:val="0"/>
          <w:color w:val="008576"/>
          <w:sz w:val="24"/>
        </w:rPr>
        <w:t>Requested Next Steps</w:t>
      </w:r>
    </w:p>
    <w:p w14:paraId="60AE022C" w14:textId="07AA72D2" w:rsidR="005054CF" w:rsidRDefault="00936FDF" w:rsidP="00FD0C8F">
      <w:pPr>
        <w:pStyle w:val="BodyText3"/>
        <w:ind w:right="113"/>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00FD0C8F">
        <w:rPr>
          <w:sz w:val="20"/>
          <w:szCs w:val="20"/>
        </w:rPr>
        <w:t xml:space="preserve"> </w:t>
      </w:r>
      <w:r w:rsidR="005054CF">
        <w:rPr>
          <w:rFonts w:cs="Arial"/>
          <w:sz w:val="20"/>
          <w:szCs w:val="20"/>
        </w:rPr>
        <w:t xml:space="preserve">be </w:t>
      </w:r>
      <w:r w:rsidR="005054CF" w:rsidRPr="00A101DF">
        <w:rPr>
          <w:rFonts w:cs="Arial"/>
          <w:sz w:val="20"/>
          <w:szCs w:val="20"/>
        </w:rPr>
        <w:t xml:space="preserve">considered a </w:t>
      </w:r>
      <w:r w:rsidR="005054CF">
        <w:rPr>
          <w:rFonts w:cs="Arial"/>
          <w:sz w:val="20"/>
          <w:szCs w:val="20"/>
        </w:rPr>
        <w:t>non-</w:t>
      </w:r>
      <w:r w:rsidR="005054CF" w:rsidRPr="00A101DF">
        <w:rPr>
          <w:rFonts w:cs="Arial"/>
          <w:sz w:val="20"/>
          <w:szCs w:val="20"/>
        </w:rPr>
        <w:t xml:space="preserve">material change and subject to </w:t>
      </w:r>
      <w:r w:rsidR="00F14D7C">
        <w:rPr>
          <w:rFonts w:cs="Arial"/>
          <w:sz w:val="20"/>
          <w:szCs w:val="20"/>
        </w:rPr>
        <w:t>S</w:t>
      </w:r>
      <w:r w:rsidR="005054CF" w:rsidRPr="00A101DF">
        <w:rPr>
          <w:rFonts w:cs="Arial"/>
          <w:sz w:val="20"/>
          <w:szCs w:val="20"/>
        </w:rPr>
        <w:t>elf-</w:t>
      </w:r>
      <w:r w:rsidR="00F14D7C">
        <w:rPr>
          <w:rFonts w:cs="Arial"/>
          <w:sz w:val="20"/>
          <w:szCs w:val="20"/>
        </w:rPr>
        <w:t>G</w:t>
      </w:r>
      <w:r w:rsidR="005054CF" w:rsidRPr="00A101DF">
        <w:rPr>
          <w:rFonts w:cs="Arial"/>
          <w:sz w:val="20"/>
          <w:szCs w:val="20"/>
        </w:rPr>
        <w:t>overnance</w:t>
      </w:r>
      <w:r w:rsidR="00EF6ACD">
        <w:rPr>
          <w:rFonts w:cs="Arial"/>
          <w:sz w:val="20"/>
          <w:szCs w:val="20"/>
        </w:rPr>
        <w:t>.</w:t>
      </w:r>
    </w:p>
    <w:p w14:paraId="1E66C80C" w14:textId="77777777" w:rsidR="00BA2BEC" w:rsidRPr="008D54E0" w:rsidRDefault="00BA2BEC" w:rsidP="00BA2BEC">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Assessment</w:t>
      </w:r>
    </w:p>
    <w:p w14:paraId="6815479A" w14:textId="77777777" w:rsidR="00BA2BEC" w:rsidRPr="00E005FD" w:rsidRDefault="00BA2BEC" w:rsidP="00BA2BEC">
      <w:pPr>
        <w:keepNext/>
        <w:outlineLvl w:val="3"/>
        <w:rPr>
          <w:i/>
          <w:noProof/>
          <w:color w:val="00B274"/>
        </w:rPr>
      </w:pPr>
      <w:r>
        <w:rPr>
          <w:i/>
          <w:noProof/>
          <w:color w:val="00B274"/>
        </w:rPr>
        <w:t xml:space="preserve">Workgroup’s </w:t>
      </w:r>
      <w:r w:rsidRPr="00E005FD">
        <w:rPr>
          <w:i/>
          <w:noProof/>
          <w:color w:val="00B274"/>
        </w:rPr>
        <w:t>Assessment of Governance and whether the Modification meets/continues to meet the Self-Governance criteria</w:t>
      </w:r>
      <w:r>
        <w:rPr>
          <w:i/>
          <w:noProof/>
          <w:color w:val="00B274"/>
        </w:rPr>
        <w:t>.</w:t>
      </w:r>
    </w:p>
    <w:p w14:paraId="1368D795" w14:textId="77777777" w:rsidR="00BA2BEC" w:rsidRPr="008D54E0" w:rsidRDefault="00BA2BEC" w:rsidP="00BA2BEC">
      <w:pPr>
        <w:rPr>
          <w:rFonts w:cs="Arial"/>
        </w:rPr>
      </w:pPr>
      <w:r w:rsidRPr="008D54E0">
        <w:rPr>
          <w:rFonts w:cs="Arial"/>
        </w:rPr>
        <w:t>Insert text here</w:t>
      </w:r>
      <w:r>
        <w:rPr>
          <w:rFonts w:cs="Arial"/>
        </w:rPr>
        <w:t>.</w:t>
      </w:r>
    </w:p>
    <w:p w14:paraId="781F03C5" w14:textId="7054B06B" w:rsidR="004C6117" w:rsidRPr="00CA74C4" w:rsidRDefault="004C6117" w:rsidP="00B65F28">
      <w:pPr>
        <w:pStyle w:val="Heading02"/>
      </w:pPr>
      <w:bookmarkStart w:id="5" w:name="_Toc168471584"/>
      <w:bookmarkEnd w:id="4"/>
      <w:r w:rsidRPr="00CA74C4">
        <w:lastRenderedPageBreak/>
        <w:t>Why Change?</w:t>
      </w:r>
      <w:bookmarkEnd w:id="5"/>
    </w:p>
    <w:p w14:paraId="19F91E08" w14:textId="0501D30E" w:rsidR="00881B75" w:rsidRDefault="00AB60CB" w:rsidP="00881B75">
      <w:r>
        <w:t>The UNC currently defines the Total System</w:t>
      </w:r>
      <w:r>
        <w:rPr>
          <w:rStyle w:val="FootnoteReference"/>
        </w:rPr>
        <w:footnoteReference w:id="2"/>
      </w:r>
      <w:r>
        <w:t xml:space="preserve"> as comprising the NTS and the Local Distribution Zones (LDZs), hence excluding iGT networks. This means that gas </w:t>
      </w:r>
      <w:r w:rsidR="00881B75">
        <w:t>flowing from an</w:t>
      </w:r>
      <w:r>
        <w:t xml:space="preserve"> iGT to the NTS </w:t>
      </w:r>
      <w:r w:rsidR="00881B75">
        <w:t xml:space="preserve">is defined as entering </w:t>
      </w:r>
      <w:r>
        <w:t>the Total System</w:t>
      </w:r>
      <w:r w:rsidR="00881B75">
        <w:t xml:space="preserve"> notwithstanding the fact that it has already entered the GB gas network</w:t>
      </w:r>
      <w:r>
        <w:t xml:space="preserve">. </w:t>
      </w:r>
      <w:r w:rsidR="00881B75">
        <w:t>Because of this technicality of how the Total System is defined in the UNC, u</w:t>
      </w:r>
      <w:r>
        <w:t>nder the prevailing UNC</w:t>
      </w:r>
      <w:r w:rsidR="00881B75">
        <w:t xml:space="preserve"> terms </w:t>
      </w:r>
      <w:r>
        <w:t>the point of delivery to the NTS would be treated as a new Aggregate System Entry Point (ASEP)</w:t>
      </w:r>
      <w:r>
        <w:rPr>
          <w:rStyle w:val="FootnoteReference"/>
        </w:rPr>
        <w:footnoteReference w:id="3"/>
      </w:r>
      <w:r w:rsidR="00881B75">
        <w:t>.</w:t>
      </w:r>
    </w:p>
    <w:p w14:paraId="063F9A51" w14:textId="10EBDFFC" w:rsidR="00881B75" w:rsidRDefault="00881B75" w:rsidP="00881B75">
      <w:proofErr w:type="gramStart"/>
      <w:r>
        <w:t>A number of</w:t>
      </w:r>
      <w:proofErr w:type="gramEnd"/>
      <w:r>
        <w:t xml:space="preserve"> potential projects are being developed where gas would be injected </w:t>
      </w:r>
      <w:r w:rsidR="00451EE0">
        <w:t xml:space="preserve">into </w:t>
      </w:r>
      <w:r>
        <w:t xml:space="preserve">an IGT connected to the NTS. There would also be potential for gas to exit the IGT to supply local gas users. The energy reaching the NTS would therefore be less than the energy injected – and there is potential for the flow to the NTS to be net entry or net exit. </w:t>
      </w:r>
    </w:p>
    <w:p w14:paraId="674B25CD" w14:textId="61ED1C08" w:rsidR="00881B75" w:rsidRPr="00936FDF" w:rsidRDefault="00881B75" w:rsidP="00881B75">
      <w:pPr>
        <w:rPr>
          <w:rFonts w:cs="Arial"/>
        </w:rPr>
      </w:pPr>
      <w:r>
        <w:t>Change is needed to ensure the energy is properly accounted for.</w:t>
      </w:r>
    </w:p>
    <w:p w14:paraId="7E08FBC9" w14:textId="65FF22F6" w:rsidR="00F20FAB" w:rsidRPr="00CA74C4" w:rsidRDefault="00F20FAB" w:rsidP="00B65F28">
      <w:pPr>
        <w:pStyle w:val="Heading02"/>
      </w:pPr>
      <w:bookmarkStart w:id="6" w:name="_Toc168471585"/>
      <w:r w:rsidRPr="00CA74C4">
        <w:t>Code Specific Matters</w:t>
      </w:r>
      <w:bookmarkEnd w:id="6"/>
    </w:p>
    <w:p w14:paraId="3D0043A8"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497A9B23" w14:textId="33A84BBB" w:rsidR="00577E80" w:rsidRPr="00CA74C4" w:rsidRDefault="00000000" w:rsidP="00045F75">
      <w:pPr>
        <w:rPr>
          <w:rFonts w:cs="Arial"/>
          <w:szCs w:val="20"/>
        </w:rPr>
      </w:pPr>
      <w:hyperlink r:id="rId19" w:history="1">
        <w:r w:rsidR="00F63904" w:rsidRPr="00F63904">
          <w:rPr>
            <w:rStyle w:val="Hyperlink"/>
            <w:rFonts w:cs="Arial"/>
            <w:szCs w:val="20"/>
          </w:rPr>
          <w:t>IGT172 – Provision for gas entry within the IGT UNC</w:t>
        </w:r>
      </w:hyperlink>
    </w:p>
    <w:p w14:paraId="308B25D0"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76E9A37F" w:rsidR="00045F75" w:rsidRPr="00CA74C4" w:rsidRDefault="00F76FF6" w:rsidP="00045F75">
      <w:pPr>
        <w:rPr>
          <w:rFonts w:cs="Arial"/>
          <w:szCs w:val="20"/>
        </w:rPr>
      </w:pPr>
      <w:r>
        <w:rPr>
          <w:rFonts w:cs="Arial"/>
          <w:szCs w:val="20"/>
        </w:rPr>
        <w:t>Understanding of UNC and its development</w:t>
      </w:r>
      <w:r w:rsidR="00EF6ACD">
        <w:rPr>
          <w:rFonts w:cs="Arial"/>
          <w:szCs w:val="20"/>
        </w:rPr>
        <w:t>.</w:t>
      </w:r>
    </w:p>
    <w:p w14:paraId="75F5F8C0" w14:textId="77777777" w:rsidR="00985FC1" w:rsidRPr="00CA74C4" w:rsidRDefault="00AF5B6E" w:rsidP="00B65F28">
      <w:pPr>
        <w:pStyle w:val="Heading02"/>
      </w:pPr>
      <w:bookmarkStart w:id="7" w:name="_Toc168471586"/>
      <w:r w:rsidRPr="00CA74C4">
        <w:t>Solution</w:t>
      </w:r>
      <w:bookmarkEnd w:id="7"/>
    </w:p>
    <w:p w14:paraId="68DFB86D" w14:textId="69C0C9AC" w:rsidR="006E035D" w:rsidRDefault="00F76FF6" w:rsidP="006E035D">
      <w:pPr>
        <w:rPr>
          <w:rFonts w:cs="Arial"/>
        </w:rPr>
      </w:pPr>
      <w:r>
        <w:rPr>
          <w:rFonts w:cs="Arial"/>
        </w:rPr>
        <w:t xml:space="preserve">A simple principle is that gas should </w:t>
      </w:r>
      <w:r w:rsidR="000F08EA">
        <w:rPr>
          <w:rFonts w:cs="Arial"/>
        </w:rPr>
        <w:t>be</w:t>
      </w:r>
      <w:r>
        <w:rPr>
          <w:rFonts w:cs="Arial"/>
        </w:rPr>
        <w:t xml:space="preserve"> accounted for when it enters and exits the GB gas network, and there should be no double counting</w:t>
      </w:r>
      <w:r w:rsidR="00EF6ACD">
        <w:rPr>
          <w:rFonts w:cs="Arial"/>
        </w:rPr>
        <w:t>.</w:t>
      </w:r>
      <w:r>
        <w:rPr>
          <w:rFonts w:cs="Arial"/>
        </w:rPr>
        <w:t xml:space="preserve"> It is therefore proposed that any gas that is injected </w:t>
      </w:r>
      <w:r w:rsidR="00451EE0">
        <w:rPr>
          <w:rFonts w:cs="Arial"/>
        </w:rPr>
        <w:t xml:space="preserve">into </w:t>
      </w:r>
      <w:r>
        <w:rPr>
          <w:rFonts w:cs="Arial"/>
        </w:rPr>
        <w:t>an IGT, and hence this is the point at which it enters the GB network, that should be defined as gas entering the Total System. Hence when any gas reaches the NTS, it would already be within the Total System and so, as not entering the Total System, no ASEP would be created and there would be no risk of the gas being double counted.</w:t>
      </w:r>
    </w:p>
    <w:p w14:paraId="0C5F288B" w14:textId="73765337" w:rsidR="000F08EA" w:rsidRDefault="00F76FF6" w:rsidP="006E035D">
      <w:pPr>
        <w:rPr>
          <w:rFonts w:cs="Arial"/>
        </w:rPr>
      </w:pPr>
      <w:r>
        <w:rPr>
          <w:rFonts w:cs="Arial"/>
        </w:rPr>
        <w:t>No change is proposed to the existing UNC provisions regarding the interface between the IGT and NTS. Where gas moves between networks within the GB gas system, this is treated as exit rather than entry, and this principle would also apply for gas moving to the NTS from an IGT. That is, gas moving from a DNO to an IGT is subject to DNO exit requirements rather than IGT entry</w:t>
      </w:r>
      <w:r w:rsidR="00D25970">
        <w:rPr>
          <w:rFonts w:cs="Arial"/>
        </w:rPr>
        <w:t>,</w:t>
      </w:r>
      <w:r>
        <w:rPr>
          <w:rFonts w:cs="Arial"/>
        </w:rPr>
        <w:t xml:space="preserve"> and gas at NTS/DNO offtakes is treated as NTS Exit rather than DNO entry. The proposal that the gas moving to the NTS is not treated as NTS entry is consistent with this.</w:t>
      </w:r>
    </w:p>
    <w:p w14:paraId="10E430A0" w14:textId="5D7DB07E" w:rsidR="000F08EA" w:rsidRDefault="000F08EA" w:rsidP="006E035D">
      <w:pPr>
        <w:rPr>
          <w:rFonts w:cs="Arial"/>
        </w:rPr>
      </w:pPr>
      <w:r>
        <w:rPr>
          <w:rFonts w:cs="Arial"/>
        </w:rPr>
        <w:t>When there is net exit from the NTS to an IGT, this would be subject to the existing UNC requirements and no change is proposed to these terms.</w:t>
      </w:r>
    </w:p>
    <w:p w14:paraId="6B7598C6" w14:textId="03FA24E4" w:rsidR="00F76FF6" w:rsidRPr="00CA74C4" w:rsidRDefault="000F08EA" w:rsidP="006E035D">
      <w:pPr>
        <w:rPr>
          <w:rFonts w:cs="Arial"/>
        </w:rPr>
      </w:pPr>
      <w:r>
        <w:rPr>
          <w:rFonts w:cs="Arial"/>
        </w:rPr>
        <w:t>While no UNC changes are required to recognise the flow of gas from an IGT to the NTS, bilateral connection agreements will be required as for any other IGT to NTS connection.</w:t>
      </w:r>
    </w:p>
    <w:p w14:paraId="69B31A2B" w14:textId="77777777" w:rsidR="006D75CD" w:rsidRPr="00CA74C4" w:rsidRDefault="006D75CD" w:rsidP="00B65F28">
      <w:pPr>
        <w:pStyle w:val="Heading02"/>
        <w:rPr>
          <w:noProof/>
        </w:rPr>
      </w:pPr>
      <w:bookmarkStart w:id="8" w:name="_Toc168471587"/>
      <w:r w:rsidRPr="00CA74C4">
        <w:rPr>
          <w:noProof/>
        </w:rPr>
        <w:lastRenderedPageBreak/>
        <w:t xml:space="preserve">Impacts </w:t>
      </w:r>
      <w:r w:rsidR="00784486" w:rsidRPr="00CA74C4">
        <w:rPr>
          <w:noProof/>
        </w:rPr>
        <w:t>&amp; Other Considerations</w:t>
      </w:r>
      <w:bookmarkEnd w:id="8"/>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9"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9"/>
    <w:p w14:paraId="128DC38A" w14:textId="03ED205A" w:rsidR="00936FDF" w:rsidRPr="00CA74C4" w:rsidRDefault="000F08EA" w:rsidP="0093726B">
      <w:pPr>
        <w:rPr>
          <w:rFonts w:cs="Arial"/>
        </w:rPr>
      </w:pPr>
      <w:r>
        <w:rPr>
          <w:rFonts w:cs="Arial"/>
        </w:rPr>
        <w:t>No</w:t>
      </w:r>
      <w:r w:rsidR="00EF6ACD">
        <w:rPr>
          <w:rFonts w:cs="Arial"/>
        </w:rPr>
        <w:t>.</w:t>
      </w: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73D30A0E" w14:textId="45585238" w:rsidR="00A15AA8" w:rsidRDefault="000F08EA" w:rsidP="0093726B">
      <w:pPr>
        <w:rPr>
          <w:rFonts w:cs="Arial"/>
        </w:rPr>
      </w:pPr>
      <w:r>
        <w:rPr>
          <w:rFonts w:cs="Arial"/>
        </w:rPr>
        <w:t xml:space="preserve">Minor. This is a technical change to the definition of where gas enters the system </w:t>
      </w:r>
      <w:proofErr w:type="gramStart"/>
      <w:r>
        <w:rPr>
          <w:rFonts w:cs="Arial"/>
        </w:rPr>
        <w:t>in order to</w:t>
      </w:r>
      <w:proofErr w:type="gramEnd"/>
      <w:r>
        <w:rPr>
          <w:rFonts w:cs="Arial"/>
        </w:rPr>
        <w:t xml:space="preserve"> ensure it is fully accounted for when entering and exiting the GB network</w:t>
      </w:r>
      <w:r w:rsidR="00EF6ACD">
        <w:rPr>
          <w:rFonts w:cs="Arial"/>
        </w:rPr>
        <w:t>.</w:t>
      </w:r>
      <w:r>
        <w:rPr>
          <w:rFonts w:cs="Arial"/>
        </w:rPr>
        <w:t xml:space="preserve"> However, if this means that additional gas enters the network, and particularly green gas, there would be marginal consumer benefits.</w:t>
      </w:r>
    </w:p>
    <w:p w14:paraId="3E231823" w14:textId="77777777" w:rsidR="00A90C0C" w:rsidRPr="006B79FF" w:rsidRDefault="00A90C0C" w:rsidP="00A90C0C">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Pr>
          <w:rFonts w:ascii="Arial" w:eastAsia="Times New Roman" w:hAnsi="Arial" w:cs="Arial"/>
          <w:i w:val="0"/>
          <w:iCs w:val="0"/>
          <w:color w:val="008576"/>
          <w:sz w:val="24"/>
          <w:szCs w:val="28"/>
        </w:rPr>
        <w:t xml:space="preserve"> and w</w:t>
      </w:r>
      <w:r w:rsidRPr="006B79FF">
        <w:rPr>
          <w:rFonts w:ascii="Arial" w:eastAsia="Times New Roman" w:hAnsi="Arial" w:cs="Arial"/>
          <w:i w:val="0"/>
          <w:iCs w:val="0"/>
          <w:color w:val="008576"/>
          <w:sz w:val="24"/>
          <w:szCs w:val="28"/>
        </w:rPr>
        <w:t>hat would the new consumer experience be</w:t>
      </w:r>
      <w:r>
        <w:rPr>
          <w:rFonts w:ascii="Arial" w:eastAsia="Times New Roman" w:hAnsi="Arial" w:cs="Arial"/>
          <w:i w:val="0"/>
          <w:iCs w:val="0"/>
          <w:color w:val="008576"/>
          <w:sz w:val="24"/>
          <w:szCs w:val="28"/>
        </w:rPr>
        <w:t>?</w:t>
      </w:r>
    </w:p>
    <w:p w14:paraId="38AA9EDB" w14:textId="77777777" w:rsidR="00A90C0C" w:rsidRPr="00A90299" w:rsidRDefault="00A90C0C" w:rsidP="00A90C0C">
      <w:pPr>
        <w:numPr>
          <w:ilvl w:val="0"/>
          <w:numId w:val="21"/>
        </w:numPr>
        <w:contextualSpacing/>
        <w:rPr>
          <w:rFonts w:cs="Arial"/>
          <w:i/>
          <w:color w:val="00B274"/>
          <w:szCs w:val="20"/>
        </w:rPr>
      </w:pPr>
      <w:r w:rsidRPr="00A90299">
        <w:rPr>
          <w:rFonts w:cs="Arial"/>
          <w:i/>
          <w:color w:val="00B274"/>
          <w:szCs w:val="20"/>
        </w:rPr>
        <w:t xml:space="preserve">the common end consumer’s experience of the issue the modification seeks to address; and </w:t>
      </w:r>
    </w:p>
    <w:p w14:paraId="049D0EA1" w14:textId="77777777" w:rsidR="00A90C0C" w:rsidRPr="00A90299" w:rsidRDefault="00A90C0C" w:rsidP="00A90C0C">
      <w:pPr>
        <w:numPr>
          <w:ilvl w:val="0"/>
          <w:numId w:val="21"/>
        </w:numPr>
        <w:contextualSpacing/>
        <w:rPr>
          <w:rFonts w:cs="Arial"/>
          <w:i/>
          <w:color w:val="00B274"/>
          <w:szCs w:val="20"/>
        </w:rPr>
      </w:pPr>
      <w:r w:rsidRPr="00A90299">
        <w:rPr>
          <w:rFonts w:cs="Arial"/>
          <w:i/>
          <w:color w:val="00B274"/>
          <w:szCs w:val="20"/>
        </w:rPr>
        <w:t>the experience of end consumers if this modification is not implemented.</w:t>
      </w:r>
    </w:p>
    <w:p w14:paraId="1846EC84" w14:textId="77777777" w:rsidR="00A90C0C" w:rsidRDefault="00A90C0C" w:rsidP="00A90C0C">
      <w:pPr>
        <w:numPr>
          <w:ilvl w:val="0"/>
          <w:numId w:val="21"/>
        </w:numPr>
        <w:contextualSpacing/>
        <w:rPr>
          <w:rFonts w:cs="Arial"/>
          <w:i/>
          <w:color w:val="00B274"/>
          <w:szCs w:val="20"/>
        </w:rPr>
      </w:pPr>
      <w:r>
        <w:rPr>
          <w:rFonts w:cs="Arial"/>
          <w:i/>
          <w:color w:val="00B274"/>
          <w:szCs w:val="20"/>
        </w:rPr>
        <w:t xml:space="preserve">how </w:t>
      </w:r>
      <w:r w:rsidRPr="00A90299">
        <w:rPr>
          <w:rFonts w:cs="Arial"/>
          <w:i/>
          <w:color w:val="00B274"/>
          <w:szCs w:val="20"/>
        </w:rPr>
        <w:t>the end consumer experience will change with the introduction of the modification, setting out both positives and negatives.</w:t>
      </w:r>
    </w:p>
    <w:p w14:paraId="73EC3601" w14:textId="77777777" w:rsidR="00A90C0C" w:rsidRPr="00A90299" w:rsidRDefault="00A90C0C" w:rsidP="00A90C0C">
      <w:pPr>
        <w:contextualSpacing/>
        <w:rPr>
          <w:rFonts w:cs="Arial"/>
          <w:i/>
          <w:color w:val="00B274"/>
          <w:szCs w:val="20"/>
        </w:rPr>
      </w:pPr>
      <w:r w:rsidRPr="0093726B">
        <w:rPr>
          <w:rFonts w:cs="Arial"/>
        </w:rPr>
        <w:t>Insert text here</w:t>
      </w:r>
      <w:r>
        <w:rPr>
          <w:rFonts w:cs="Arial"/>
        </w:rPr>
        <w:t>.</w:t>
      </w: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5E486CC3" w14:textId="77777777" w:rsidR="00936FDF" w:rsidRDefault="00936FDF" w:rsidP="005C7DDF">
            <w:pPr>
              <w:pStyle w:val="Tablebodycopy"/>
              <w:spacing w:before="60" w:after="60"/>
              <w:ind w:right="57"/>
              <w:rPr>
                <w:rFonts w:cs="Arial"/>
                <w:bCs/>
                <w:iCs/>
              </w:rPr>
            </w:pPr>
            <w:r w:rsidRPr="00A90299">
              <w:rPr>
                <w:rFonts w:cs="Arial"/>
                <w:bCs/>
                <w:iCs/>
              </w:rPr>
              <w:t>Improved safety and reliability </w:t>
            </w:r>
          </w:p>
          <w:p w14:paraId="63C984D9" w14:textId="7E330D47" w:rsidR="00AF2CAB" w:rsidRPr="00A90299" w:rsidRDefault="000F08EA" w:rsidP="005C7DDF">
            <w:pPr>
              <w:pStyle w:val="Tablebodycopy"/>
              <w:spacing w:before="60" w:after="60"/>
              <w:ind w:right="57"/>
              <w:rPr>
                <w:rFonts w:cs="Arial"/>
                <w:bCs/>
                <w:iCs/>
                <w:color w:val="auto"/>
              </w:rPr>
            </w:pPr>
            <w:r>
              <w:rPr>
                <w:rFonts w:cs="Arial"/>
                <w:color w:val="auto"/>
              </w:rPr>
              <w:t>In principle, facilitating additional gas sources supports the reliable delivery of energy, but the impact would be marginal</w:t>
            </w:r>
          </w:p>
        </w:tc>
        <w:tc>
          <w:tcPr>
            <w:tcW w:w="2410" w:type="dxa"/>
            <w:tcBorders>
              <w:top w:val="single" w:sz="8" w:space="0" w:color="CCE0DA"/>
              <w:left w:val="single" w:sz="8" w:space="0" w:color="CCE0DA"/>
              <w:bottom w:val="single" w:sz="8" w:space="0" w:color="CCE0DA"/>
              <w:right w:val="single" w:sz="12" w:space="0" w:color="CCE0DA"/>
            </w:tcBorders>
          </w:tcPr>
          <w:p w14:paraId="538453AC" w14:textId="4EF39065" w:rsidR="00936FDF" w:rsidRPr="00A90299" w:rsidRDefault="00AB6552" w:rsidP="00A90299">
            <w:pPr>
              <w:ind w:left="113"/>
            </w:pPr>
            <w:r>
              <w:rPr>
                <w:rFonts w:cs="Arial"/>
              </w:rPr>
              <w:t>Positive</w:t>
            </w:r>
            <w:r w:rsidRPr="00A90299">
              <w:t xml:space="preserve"> </w:t>
            </w: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4CE4FAB" w14:textId="77777777" w:rsidR="00936FDF" w:rsidRDefault="00936FDF" w:rsidP="005C7DDF">
            <w:pPr>
              <w:pStyle w:val="Tablebodycopy"/>
              <w:spacing w:before="60" w:after="60"/>
              <w:ind w:right="57"/>
              <w:rPr>
                <w:rFonts w:cs="Arial"/>
                <w:bCs/>
                <w:iCs/>
              </w:rPr>
            </w:pPr>
            <w:r w:rsidRPr="00A90299">
              <w:rPr>
                <w:rFonts w:cs="Arial"/>
                <w:bCs/>
                <w:iCs/>
              </w:rPr>
              <w:t>Lower bills than would otherwise be the case</w:t>
            </w:r>
          </w:p>
          <w:p w14:paraId="3FAA6BF4" w14:textId="1F2FC30C" w:rsidR="00AF2CAB" w:rsidRPr="00A90299" w:rsidRDefault="000F08EA" w:rsidP="005C7DDF">
            <w:pPr>
              <w:pStyle w:val="Tablebodycopy"/>
              <w:spacing w:before="60" w:after="60"/>
              <w:ind w:right="57"/>
              <w:rPr>
                <w:rFonts w:cs="Arial"/>
                <w:bCs/>
                <w:iCs/>
              </w:rPr>
            </w:pPr>
            <w:r>
              <w:rPr>
                <w:rFonts w:cs="Arial"/>
                <w:color w:val="auto"/>
              </w:rPr>
              <w:t>In principle, facilitating additional sources of gas should put downward pressure on prices, but any impact would be marginal</w:t>
            </w:r>
          </w:p>
        </w:tc>
        <w:tc>
          <w:tcPr>
            <w:tcW w:w="2410" w:type="dxa"/>
            <w:tcBorders>
              <w:top w:val="single" w:sz="8" w:space="0" w:color="CCE0DA"/>
              <w:left w:val="single" w:sz="8" w:space="0" w:color="CCE0DA"/>
              <w:bottom w:val="single" w:sz="8" w:space="0" w:color="CCE0DA"/>
              <w:right w:val="single" w:sz="12" w:space="0" w:color="CCE0DA"/>
            </w:tcBorders>
          </w:tcPr>
          <w:p w14:paraId="746247F0" w14:textId="798CD1B0" w:rsidR="00936FDF" w:rsidRPr="00A90299" w:rsidRDefault="00AB6552" w:rsidP="00A90299">
            <w:pPr>
              <w:ind w:left="113"/>
              <w:rPr>
                <w:rFonts w:cs="Arial"/>
                <w:bCs/>
                <w:i/>
                <w:color w:val="00B274"/>
              </w:rPr>
            </w:pPr>
            <w:r>
              <w:rPr>
                <w:rFonts w:cs="Arial"/>
              </w:rPr>
              <w:t>Positive</w:t>
            </w:r>
            <w:r w:rsidRPr="00A90299">
              <w:rPr>
                <w:rFonts w:cs="Arial"/>
                <w:bCs/>
                <w:i/>
                <w:color w:val="00B274"/>
              </w:rPr>
              <w:t xml:space="preserve"> </w:t>
            </w: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9ED7F06" w14:textId="77777777" w:rsidR="00936FDF" w:rsidRDefault="00936FDF" w:rsidP="005C7DDF">
            <w:pPr>
              <w:pStyle w:val="Tablebodycopy"/>
              <w:spacing w:before="60" w:after="60"/>
              <w:ind w:right="57"/>
              <w:rPr>
                <w:rFonts w:cs="Arial"/>
                <w:bCs/>
                <w:iCs/>
              </w:rPr>
            </w:pPr>
            <w:r w:rsidRPr="00A90299">
              <w:rPr>
                <w:rFonts w:cs="Arial"/>
                <w:bCs/>
                <w:iCs/>
              </w:rPr>
              <w:t>Reduced environmental damage</w:t>
            </w:r>
          </w:p>
          <w:p w14:paraId="7B9224C6" w14:textId="079160E5" w:rsidR="006C4B34" w:rsidRPr="00A90299" w:rsidRDefault="000F08EA" w:rsidP="005C7DDF">
            <w:pPr>
              <w:pStyle w:val="Tablebodycopy"/>
              <w:spacing w:before="60" w:after="60"/>
              <w:ind w:right="57"/>
              <w:rPr>
                <w:rFonts w:cs="Arial"/>
                <w:bCs/>
                <w:iCs/>
              </w:rPr>
            </w:pPr>
            <w:r>
              <w:rPr>
                <w:rFonts w:cs="Arial"/>
                <w:color w:val="auto"/>
              </w:rPr>
              <w:t>To the extent that additional green gas is injected and offsets the use of fossil gas, there would be a marginal benefit.</w:t>
            </w:r>
          </w:p>
        </w:tc>
        <w:tc>
          <w:tcPr>
            <w:tcW w:w="2410" w:type="dxa"/>
            <w:tcBorders>
              <w:top w:val="single" w:sz="8" w:space="0" w:color="CCE0DA"/>
              <w:left w:val="single" w:sz="8" w:space="0" w:color="CCE0DA"/>
              <w:bottom w:val="single" w:sz="8" w:space="0" w:color="CCE0DA"/>
              <w:right w:val="single" w:sz="12" w:space="0" w:color="CCE0DA"/>
            </w:tcBorders>
          </w:tcPr>
          <w:p w14:paraId="3099A7B5" w14:textId="0967823A" w:rsidR="00936FDF" w:rsidRPr="00A90299" w:rsidRDefault="00AB6552" w:rsidP="00A90299">
            <w:pPr>
              <w:ind w:left="113" w:right="57"/>
              <w:rPr>
                <w:rFonts w:cs="Arial"/>
                <w:bCs/>
                <w:i/>
                <w:color w:val="FF0000"/>
              </w:rPr>
            </w:pPr>
            <w:r>
              <w:rPr>
                <w:rFonts w:cs="Arial"/>
              </w:rPr>
              <w:t>Positive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171B8916" w14:textId="77777777" w:rsidR="00936FDF" w:rsidRDefault="00936FDF" w:rsidP="005C7DDF">
            <w:pPr>
              <w:pStyle w:val="Tablebodycopy"/>
              <w:spacing w:before="60" w:after="60"/>
              <w:ind w:right="57"/>
              <w:rPr>
                <w:rFonts w:cs="Arial"/>
                <w:bCs/>
                <w:iCs/>
              </w:rPr>
            </w:pPr>
            <w:r w:rsidRPr="00A90299">
              <w:rPr>
                <w:rFonts w:cs="Arial"/>
                <w:bCs/>
                <w:iCs/>
              </w:rPr>
              <w:t>Improved quality of service</w:t>
            </w:r>
          </w:p>
          <w:p w14:paraId="01E1E65F" w14:textId="0A2C76B4" w:rsidR="0036715B" w:rsidRPr="00A90299" w:rsidRDefault="00AB6552" w:rsidP="005C7DDF">
            <w:pPr>
              <w:pStyle w:val="Tablebodycopy"/>
              <w:spacing w:before="60" w:after="60"/>
              <w:ind w:right="57"/>
              <w:rPr>
                <w:rFonts w:cs="Arial"/>
                <w:bCs/>
                <w:iCs/>
              </w:rPr>
            </w:pPr>
            <w:r>
              <w:rPr>
                <w:rFonts w:cs="Arial"/>
                <w:color w:val="auto"/>
              </w:rPr>
              <w:t>No impact expected</w:t>
            </w:r>
          </w:p>
        </w:tc>
        <w:tc>
          <w:tcPr>
            <w:tcW w:w="2410" w:type="dxa"/>
            <w:tcBorders>
              <w:top w:val="single" w:sz="8" w:space="0" w:color="CCE0DA"/>
              <w:left w:val="single" w:sz="8" w:space="0" w:color="CCE0DA"/>
              <w:bottom w:val="single" w:sz="8" w:space="0" w:color="CCE0DA"/>
              <w:right w:val="single" w:sz="12" w:space="0" w:color="CCE0DA"/>
            </w:tcBorders>
          </w:tcPr>
          <w:p w14:paraId="524F705A" w14:textId="1CD3D441" w:rsidR="00936FDF" w:rsidRPr="00A90299" w:rsidRDefault="00AB6552" w:rsidP="00A90299">
            <w:pPr>
              <w:ind w:left="113"/>
            </w:pPr>
            <w:r>
              <w:t>None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F6106C" w14:textId="77777777" w:rsidR="00936FDF" w:rsidRDefault="00936FDF" w:rsidP="005C7DDF">
            <w:pPr>
              <w:pStyle w:val="Tablebodycopy"/>
              <w:spacing w:before="60" w:after="60"/>
              <w:ind w:right="57"/>
              <w:rPr>
                <w:rFonts w:cs="Arial"/>
                <w:bCs/>
                <w:iCs/>
              </w:rPr>
            </w:pPr>
            <w:r w:rsidRPr="00A90299">
              <w:rPr>
                <w:rFonts w:cs="Arial"/>
                <w:bCs/>
                <w:iCs/>
              </w:rPr>
              <w:t>Benefits for society as a whole</w:t>
            </w:r>
          </w:p>
          <w:p w14:paraId="4D22D486" w14:textId="74953FBA" w:rsidR="0036715B" w:rsidRPr="00A90299" w:rsidRDefault="00AB6552" w:rsidP="005C7DDF">
            <w:pPr>
              <w:pStyle w:val="Tablebodycopy"/>
              <w:spacing w:before="60" w:after="60"/>
              <w:ind w:right="57"/>
              <w:rPr>
                <w:rFonts w:cs="Arial"/>
                <w:bCs/>
                <w:iCs/>
                <w:color w:val="auto"/>
              </w:rPr>
            </w:pPr>
            <w:r>
              <w:rPr>
                <w:rFonts w:cs="Arial"/>
                <w:color w:val="auto"/>
              </w:rPr>
              <w:t xml:space="preserve">To the extent that some additional consumers connect to the GB gas network, there would be a marginal benefit with </w:t>
            </w:r>
            <w:r w:rsidR="00005977">
              <w:rPr>
                <w:rFonts w:cs="Arial"/>
                <w:color w:val="auto"/>
              </w:rPr>
              <w:t xml:space="preserve">the </w:t>
            </w:r>
            <w:r>
              <w:rPr>
                <w:rFonts w:cs="Arial"/>
                <w:color w:val="auto"/>
              </w:rPr>
              <w:t xml:space="preserve">potential for cost reductions and job creation. </w:t>
            </w:r>
            <w:proofErr w:type="gramStart"/>
            <w:r>
              <w:rPr>
                <w:rFonts w:cs="Arial"/>
                <w:color w:val="auto"/>
              </w:rPr>
              <w:t>Plus</w:t>
            </w:r>
            <w:proofErr w:type="gramEnd"/>
            <w:r>
              <w:rPr>
                <w:rFonts w:cs="Arial"/>
                <w:color w:val="auto"/>
              </w:rPr>
              <w:t xml:space="preserve"> jobs would </w:t>
            </w:r>
            <w:r w:rsidR="00005977">
              <w:rPr>
                <w:rFonts w:cs="Arial"/>
                <w:color w:val="auto"/>
              </w:rPr>
              <w:t xml:space="preserve">be </w:t>
            </w:r>
            <w:r>
              <w:rPr>
                <w:rFonts w:cs="Arial"/>
                <w:color w:val="auto"/>
              </w:rPr>
              <w:t>created at new gas production facilities, and this would reduce energy imports.</w:t>
            </w:r>
          </w:p>
        </w:tc>
        <w:tc>
          <w:tcPr>
            <w:tcW w:w="2410" w:type="dxa"/>
            <w:tcBorders>
              <w:top w:val="single" w:sz="8" w:space="0" w:color="CCE0DA"/>
              <w:left w:val="single" w:sz="8" w:space="0" w:color="CCE0DA"/>
              <w:bottom w:val="single" w:sz="8" w:space="0" w:color="CCE0DA"/>
              <w:right w:val="single" w:sz="12" w:space="0" w:color="CCE0DA"/>
            </w:tcBorders>
          </w:tcPr>
          <w:p w14:paraId="4C400181" w14:textId="7E05A390" w:rsidR="00BE1FA8" w:rsidRDefault="00BE1FA8" w:rsidP="00A90299">
            <w:pPr>
              <w:ind w:left="113"/>
            </w:pPr>
            <w:r>
              <w:t>Positive</w:t>
            </w:r>
          </w:p>
          <w:p w14:paraId="4E86901F" w14:textId="77777777" w:rsidR="00936FDF" w:rsidRPr="00A90299" w:rsidRDefault="00936FDF" w:rsidP="00A90299">
            <w:pPr>
              <w:ind w:left="113"/>
              <w:rPr>
                <w:rFonts w:cs="Arial"/>
              </w:rPr>
            </w:pPr>
          </w:p>
        </w:tc>
      </w:tr>
    </w:tbl>
    <w:p w14:paraId="69C87E76" w14:textId="77777777" w:rsidR="00F322A7" w:rsidRPr="00347428" w:rsidRDefault="00F322A7" w:rsidP="00F322A7">
      <w:pPr>
        <w:spacing w:before="240"/>
        <w:rPr>
          <w:rFonts w:cs="Arial"/>
          <w:b/>
          <w:bCs/>
          <w:color w:val="008576"/>
          <w:sz w:val="24"/>
          <w:szCs w:val="28"/>
        </w:rPr>
      </w:pPr>
      <w:r w:rsidRPr="00347428">
        <w:rPr>
          <w:rFonts w:cs="Arial"/>
          <w:b/>
          <w:bCs/>
          <w:color w:val="008576"/>
          <w:sz w:val="24"/>
          <w:szCs w:val="28"/>
        </w:rPr>
        <w:t>Performance Assurance Considerations</w:t>
      </w:r>
    </w:p>
    <w:p w14:paraId="2B4D9B71" w14:textId="5A3A2DAC" w:rsidR="00F322A7" w:rsidRDefault="00AB6552" w:rsidP="00F322A7">
      <w:pPr>
        <w:rPr>
          <w:rFonts w:cs="Arial"/>
        </w:rPr>
      </w:pPr>
      <w:r>
        <w:rPr>
          <w:rFonts w:cs="Arial"/>
        </w:rPr>
        <w:lastRenderedPageBreak/>
        <w:t>The requirements to measure and account for gas entering the GB network are well established and monitored, as are the requirements for any gas exiting at Meter points. With no change to Settlement processes</w:t>
      </w:r>
      <w:r w:rsidR="00FB3CE8">
        <w:rPr>
          <w:rFonts w:cs="Arial"/>
        </w:rPr>
        <w:t>,</w:t>
      </w:r>
      <w:r>
        <w:rPr>
          <w:rFonts w:cs="Arial"/>
        </w:rPr>
        <w:t xml:space="preserve"> there is no need for additional monitoring.</w:t>
      </w:r>
    </w:p>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66FC5FF" w14:textId="20A0A125" w:rsidR="00676075" w:rsidRPr="008D7EFA" w:rsidRDefault="00AB6552" w:rsidP="00500B49">
      <w:pPr>
        <w:rPr>
          <w:rFonts w:cs="Arial"/>
        </w:rPr>
      </w:pPr>
      <w:r>
        <w:rPr>
          <w:rFonts w:cs="Arial"/>
        </w:rPr>
        <w:t>None</w:t>
      </w:r>
      <w:r w:rsidR="00EF6ACD">
        <w:rPr>
          <w:rFonts w:cs="Arial"/>
        </w:rPr>
        <w:t>.</w:t>
      </w:r>
      <w:r>
        <w:rPr>
          <w:rFonts w:cs="Arial"/>
        </w:rPr>
        <w:t xml:space="preserve"> All the requirements for gas entering and exiting an IGT network are already covered, including within </w:t>
      </w:r>
      <w:r w:rsidR="00F63904" w:rsidRPr="00F63904">
        <w:rPr>
          <w:rFonts w:cs="Arial"/>
        </w:rPr>
        <w:t>IGT172 – Provision for gas entry within the IGT UNC</w:t>
      </w:r>
      <w:r>
        <w:rPr>
          <w:rFonts w:cs="Arial"/>
        </w:rPr>
        <w:t>.</w:t>
      </w:r>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58264E11" w14:textId="2629A52B" w:rsidR="00676075" w:rsidRPr="00CA74C4" w:rsidRDefault="00AB6552" w:rsidP="00676075">
      <w:pPr>
        <w:rPr>
          <w:rFonts w:cs="Arial"/>
        </w:rPr>
      </w:pPr>
      <w:r>
        <w:rPr>
          <w:rFonts w:cs="Arial"/>
        </w:rPr>
        <w:t>None</w:t>
      </w:r>
      <w:r w:rsidR="00EF6ACD">
        <w:rPr>
          <w:rFonts w:cs="Arial"/>
        </w:rPr>
        <w:t>.</w:t>
      </w:r>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79C269C2" w14:textId="61FDB71B" w:rsidR="00676075" w:rsidRDefault="00AB6552" w:rsidP="004C2B25">
      <w:pPr>
        <w:rPr>
          <w:rFonts w:cs="Arial"/>
        </w:rPr>
      </w:pPr>
      <w:r>
        <w:rPr>
          <w:rFonts w:cs="Arial"/>
        </w:rPr>
        <w:t>None</w:t>
      </w:r>
      <w:r w:rsidR="00EF6ACD">
        <w:rPr>
          <w:rFonts w:cs="Arial"/>
        </w:rPr>
        <w:t>.</w:t>
      </w:r>
    </w:p>
    <w:p w14:paraId="311613AD" w14:textId="73B339B1" w:rsidR="006E68F3" w:rsidRDefault="006E68F3" w:rsidP="006E68F3">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p>
    <w:p w14:paraId="3C08B59A" w14:textId="239352E8" w:rsidR="006E68F3" w:rsidRDefault="00A62298" w:rsidP="006E68F3">
      <w:pPr>
        <w:rPr>
          <w:rFonts w:cs="Arial"/>
        </w:rPr>
      </w:pPr>
      <w:r>
        <w:rPr>
          <w:rFonts w:cs="Arial"/>
        </w:rPr>
        <w:t>Not Required, no central system impacts.</w:t>
      </w:r>
    </w:p>
    <w:p w14:paraId="6B1FBBCE" w14:textId="1377EF8F" w:rsidR="006E68F3" w:rsidRDefault="006E68F3" w:rsidP="00A62298">
      <w:pPr>
        <w:spacing w:before="240"/>
        <w:rPr>
          <w:rFonts w:cs="Arial"/>
          <w:bCs/>
          <w:i/>
          <w:iCs/>
          <w:color w:val="00B274"/>
          <w:szCs w:val="20"/>
        </w:rPr>
      </w:pPr>
      <w:r w:rsidRPr="0043180B">
        <w:rPr>
          <w:rFonts w:cs="Arial"/>
          <w:b/>
          <w:bCs/>
          <w:color w:val="008576"/>
          <w:sz w:val="24"/>
          <w:szCs w:val="28"/>
        </w:rPr>
        <w:t xml:space="preserve">Initial Representations </w:t>
      </w:r>
    </w:p>
    <w:p w14:paraId="08C3E1F8" w14:textId="1ED00773" w:rsidR="006E68F3" w:rsidRPr="0043180B" w:rsidRDefault="006E68F3" w:rsidP="006E68F3">
      <w:pPr>
        <w:keepNext/>
        <w:outlineLvl w:val="3"/>
        <w:rPr>
          <w:rFonts w:cs="Arial"/>
          <w:b/>
          <w:bCs/>
          <w:color w:val="008576"/>
          <w:sz w:val="24"/>
          <w:szCs w:val="28"/>
        </w:rPr>
      </w:pPr>
      <w:r w:rsidRPr="0043180B">
        <w:rPr>
          <w:rFonts w:cs="Arial"/>
        </w:rPr>
        <w:t>None Received</w:t>
      </w:r>
      <w:r w:rsidR="00A62298">
        <w:rPr>
          <w:rFonts w:cs="Arial"/>
        </w:rPr>
        <w:t>.</w:t>
      </w:r>
    </w:p>
    <w:p w14:paraId="5DC0A8E1" w14:textId="68393E58" w:rsidR="006E68F3" w:rsidRDefault="006E68F3" w:rsidP="006E68F3">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Pr>
          <w:rFonts w:ascii="Arial" w:eastAsia="Times New Roman" w:hAnsi="Arial" w:cs="Arial"/>
          <w:b w:val="0"/>
          <w:color w:val="00B274"/>
          <w:szCs w:val="20"/>
        </w:rPr>
        <w:tab/>
      </w:r>
    </w:p>
    <w:p w14:paraId="6524F891" w14:textId="77777777" w:rsidR="00431140" w:rsidRPr="00625378" w:rsidRDefault="00431140" w:rsidP="00226AFD">
      <w:pPr>
        <w:pStyle w:val="ListNumber"/>
        <w:numPr>
          <w:ilvl w:val="0"/>
          <w:numId w:val="30"/>
        </w:numPr>
        <w:spacing w:before="240"/>
        <w:ind w:left="567" w:hanging="567"/>
        <w:jc w:val="both"/>
        <w:rPr>
          <w:b/>
          <w:bCs/>
          <w:szCs w:val="20"/>
          <w:lang w:eastAsia="en-US"/>
        </w:rPr>
      </w:pPr>
      <w:r w:rsidRPr="00625378">
        <w:rPr>
          <w:b/>
          <w:bCs/>
          <w:szCs w:val="20"/>
          <w:lang w:eastAsia="en-US"/>
        </w:rPr>
        <w:t>What commercial process applies at the interface between the IGT exit and NTS entry?</w:t>
      </w:r>
    </w:p>
    <w:p w14:paraId="4E57373F" w14:textId="4180EC5F" w:rsidR="00897953" w:rsidRPr="00625378" w:rsidRDefault="005F6711" w:rsidP="00897953">
      <w:pPr>
        <w:pStyle w:val="ListNumber"/>
        <w:numPr>
          <w:ilvl w:val="0"/>
          <w:numId w:val="0"/>
        </w:numPr>
        <w:ind w:left="567"/>
        <w:jc w:val="both"/>
        <w:rPr>
          <w:szCs w:val="20"/>
          <w:lang w:eastAsia="en-US"/>
        </w:rPr>
      </w:pPr>
      <w:r w:rsidRPr="00625378">
        <w:rPr>
          <w:szCs w:val="20"/>
          <w:lang w:eastAsia="en-US"/>
        </w:rPr>
        <w:t>The Workgroup</w:t>
      </w:r>
    </w:p>
    <w:p w14:paraId="5660C4DE" w14:textId="77777777" w:rsidR="00431140" w:rsidRPr="00625378" w:rsidRDefault="00431140" w:rsidP="00226AFD">
      <w:pPr>
        <w:pStyle w:val="ListNumber"/>
        <w:numPr>
          <w:ilvl w:val="0"/>
          <w:numId w:val="30"/>
        </w:numPr>
        <w:spacing w:before="240"/>
        <w:ind w:left="567" w:hanging="567"/>
        <w:jc w:val="both"/>
        <w:rPr>
          <w:b/>
          <w:bCs/>
          <w:szCs w:val="20"/>
          <w:lang w:eastAsia="en-US"/>
        </w:rPr>
      </w:pPr>
      <w:r w:rsidRPr="00625378">
        <w:rPr>
          <w:b/>
          <w:bCs/>
          <w:szCs w:val="20"/>
          <w:lang w:eastAsia="en-US"/>
        </w:rPr>
        <w:t xml:space="preserve">Consider potential impacts on Shippers, for example metering tolerance error. </w:t>
      </w:r>
    </w:p>
    <w:p w14:paraId="72875C63" w14:textId="7405D260" w:rsidR="00897953" w:rsidRPr="00625378" w:rsidRDefault="005F6711" w:rsidP="005F6711">
      <w:pPr>
        <w:ind w:left="567"/>
        <w:rPr>
          <w:szCs w:val="20"/>
          <w:lang w:eastAsia="en-US"/>
        </w:rPr>
      </w:pPr>
      <w:r w:rsidRPr="00625378">
        <w:rPr>
          <w:szCs w:val="20"/>
          <w:lang w:eastAsia="en-US"/>
        </w:rPr>
        <w:t>The Workgroup concurred that ….</w:t>
      </w:r>
    </w:p>
    <w:p w14:paraId="596D4B98" w14:textId="77777777" w:rsidR="00431140" w:rsidRPr="00625378" w:rsidRDefault="00431140" w:rsidP="00226AFD">
      <w:pPr>
        <w:pStyle w:val="ListNumber"/>
        <w:numPr>
          <w:ilvl w:val="0"/>
          <w:numId w:val="30"/>
        </w:numPr>
        <w:spacing w:before="240"/>
        <w:ind w:left="567" w:hanging="567"/>
        <w:jc w:val="both"/>
        <w:rPr>
          <w:b/>
          <w:bCs/>
          <w:szCs w:val="20"/>
          <w:lang w:eastAsia="en-US"/>
        </w:rPr>
      </w:pPr>
      <w:r w:rsidRPr="00625378">
        <w:rPr>
          <w:b/>
          <w:bCs/>
          <w:szCs w:val="20"/>
          <w:lang w:eastAsia="en-US"/>
        </w:rPr>
        <w:t>Consider whether there are consequential impacts of this Modification</w:t>
      </w:r>
    </w:p>
    <w:p w14:paraId="132085B8" w14:textId="3CF362C0" w:rsidR="005F6711" w:rsidRPr="00625378" w:rsidRDefault="005F6711" w:rsidP="005F6711">
      <w:pPr>
        <w:pStyle w:val="ListNumber"/>
        <w:numPr>
          <w:ilvl w:val="0"/>
          <w:numId w:val="0"/>
        </w:numPr>
        <w:ind w:left="567"/>
        <w:jc w:val="both"/>
        <w:rPr>
          <w:szCs w:val="20"/>
          <w:lang w:eastAsia="en-US"/>
        </w:rPr>
      </w:pPr>
      <w:r w:rsidRPr="00625378">
        <w:rPr>
          <w:szCs w:val="20"/>
          <w:lang w:eastAsia="en-US"/>
        </w:rPr>
        <w:t>The Workgroup con</w:t>
      </w:r>
      <w:r w:rsidR="00950590" w:rsidRPr="00625378">
        <w:rPr>
          <w:szCs w:val="20"/>
          <w:lang w:eastAsia="en-US"/>
        </w:rPr>
        <w:t>cluded that there were [no] consequential impacts because</w:t>
      </w:r>
      <w:proofErr w:type="gramStart"/>
      <w:r w:rsidR="00950590" w:rsidRPr="00625378">
        <w:rPr>
          <w:szCs w:val="20"/>
          <w:lang w:eastAsia="en-US"/>
        </w:rPr>
        <w:t>…..</w:t>
      </w:r>
      <w:proofErr w:type="gramEnd"/>
    </w:p>
    <w:p w14:paraId="50F9E2FB" w14:textId="77777777" w:rsidR="00431140" w:rsidRPr="00625378" w:rsidRDefault="00431140" w:rsidP="00226AFD">
      <w:pPr>
        <w:pStyle w:val="ListNumber"/>
        <w:numPr>
          <w:ilvl w:val="0"/>
          <w:numId w:val="30"/>
        </w:numPr>
        <w:spacing w:before="240"/>
        <w:ind w:left="567" w:hanging="567"/>
        <w:jc w:val="both"/>
        <w:rPr>
          <w:b/>
          <w:bCs/>
          <w:szCs w:val="20"/>
          <w:lang w:eastAsia="en-US"/>
        </w:rPr>
      </w:pPr>
      <w:r w:rsidRPr="00625378">
        <w:rPr>
          <w:b/>
          <w:bCs/>
          <w:szCs w:val="20"/>
          <w:lang w:eastAsia="en-US"/>
        </w:rPr>
        <w:t>Does the flow of gas from an IGT into the NTS comply with the existing UNC principles of "upstream" and "downstream" systems and parties?</w:t>
      </w:r>
    </w:p>
    <w:p w14:paraId="4AE8256B" w14:textId="4D59406C" w:rsidR="00897953" w:rsidRPr="00625378" w:rsidRDefault="00226AFD" w:rsidP="00226AFD">
      <w:pPr>
        <w:pStyle w:val="ListNumber"/>
        <w:numPr>
          <w:ilvl w:val="0"/>
          <w:numId w:val="0"/>
        </w:numPr>
        <w:ind w:left="567"/>
        <w:jc w:val="both"/>
        <w:rPr>
          <w:szCs w:val="20"/>
          <w:lang w:eastAsia="en-US"/>
        </w:rPr>
      </w:pPr>
      <w:r w:rsidRPr="00625378">
        <w:rPr>
          <w:szCs w:val="20"/>
          <w:lang w:eastAsia="en-US"/>
        </w:rPr>
        <w:t xml:space="preserve">The Workgroup agreed that </w:t>
      </w:r>
      <w:r w:rsidR="007C5959" w:rsidRPr="00625378">
        <w:rPr>
          <w:szCs w:val="20"/>
          <w:lang w:eastAsia="en-US"/>
        </w:rPr>
        <w:t>….</w:t>
      </w:r>
    </w:p>
    <w:p w14:paraId="57F8272E" w14:textId="77777777" w:rsidR="006E68F3" w:rsidRPr="001213B8" w:rsidRDefault="006E68F3" w:rsidP="006E68F3">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r w:rsidRPr="001213B8">
        <w:rPr>
          <w:rFonts w:ascii="Arial" w:eastAsia="Times New Roman" w:hAnsi="Arial" w:cs="Arial"/>
          <w:b w:val="0"/>
          <w:color w:val="00B274"/>
          <w:szCs w:val="20"/>
        </w:rPr>
        <w:t>(Joint Office to complete)</w:t>
      </w:r>
    </w:p>
    <w:p w14:paraId="6603ED5F" w14:textId="77777777" w:rsidR="006E68F3" w:rsidRDefault="006E68F3" w:rsidP="006E68F3">
      <w:pPr>
        <w:rPr>
          <w:rFonts w:cs="Arial"/>
        </w:rPr>
      </w:pPr>
      <w:r w:rsidRPr="008D54E0">
        <w:rPr>
          <w:rFonts w:cs="Arial"/>
        </w:rPr>
        <w:t>Insert text here</w:t>
      </w:r>
      <w:r>
        <w:rPr>
          <w:rFonts w:cs="Arial"/>
        </w:rPr>
        <w:t>.</w:t>
      </w:r>
    </w:p>
    <w:p w14:paraId="3FB6314D" w14:textId="77777777" w:rsidR="006E68F3" w:rsidRPr="008D54E0" w:rsidRDefault="006E68F3" w:rsidP="006E68F3">
      <w:pPr>
        <w:pStyle w:val="Heading4"/>
        <w:keepLines w:val="0"/>
        <w:numPr>
          <w:ilvl w:val="0"/>
          <w:numId w:val="0"/>
        </w:numPr>
        <w:spacing w:before="240"/>
        <w:rPr>
          <w:rFonts w:ascii="Arial" w:eastAsia="Times New Roman" w:hAnsi="Arial" w:cs="Arial"/>
          <w:i w:val="0"/>
          <w:iCs w:val="0"/>
          <w:color w:val="008576"/>
          <w:sz w:val="24"/>
        </w:rPr>
      </w:pPr>
      <w:r w:rsidRPr="007B005E">
        <w:rPr>
          <w:rFonts w:ascii="Arial" w:eastAsia="Times New Roman" w:hAnsi="Arial" w:cs="Arial"/>
          <w:i w:val="0"/>
          <w:iCs w:val="0"/>
          <w:color w:val="008576"/>
          <w:sz w:val="24"/>
          <w:szCs w:val="28"/>
        </w:rPr>
        <w:t>Reference Documents</w:t>
      </w:r>
      <w:r>
        <w:rPr>
          <w:rFonts w:ascii="Arial" w:eastAsia="Times New Roman" w:hAnsi="Arial" w:cs="Arial"/>
          <w:i w:val="0"/>
          <w:iCs w:val="0"/>
          <w:color w:val="008576"/>
          <w:sz w:val="24"/>
        </w:rPr>
        <w:t xml:space="preserve"> </w:t>
      </w:r>
      <w:r w:rsidRPr="001213B8">
        <w:rPr>
          <w:rFonts w:ascii="Arial" w:eastAsia="Times New Roman" w:hAnsi="Arial" w:cs="Arial"/>
          <w:b w:val="0"/>
          <w:color w:val="00B274"/>
          <w:szCs w:val="20"/>
        </w:rPr>
        <w:t>(Joint Office to complete)</w:t>
      </w:r>
    </w:p>
    <w:p w14:paraId="4B8E1E01" w14:textId="77777777" w:rsidR="006E68F3" w:rsidRPr="00FE2EA4" w:rsidRDefault="006E68F3" w:rsidP="006E68F3">
      <w:pPr>
        <w:rPr>
          <w:rFonts w:cs="Arial"/>
          <w:i/>
          <w:color w:val="00B274"/>
          <w:szCs w:val="20"/>
        </w:rPr>
      </w:pPr>
      <w:r>
        <w:rPr>
          <w:rFonts w:cs="Arial"/>
          <w:i/>
          <w:color w:val="00B274"/>
          <w:szCs w:val="20"/>
        </w:rPr>
        <w:t xml:space="preserve">Workgroup to consider if changes will be required to </w:t>
      </w:r>
      <w:r w:rsidRPr="00CA74C4">
        <w:rPr>
          <w:rFonts w:cs="Arial"/>
          <w:i/>
          <w:color w:val="00B274"/>
          <w:szCs w:val="20"/>
        </w:rPr>
        <w:t xml:space="preserve">any Code Related Documents or Guidance </w:t>
      </w:r>
      <w:r>
        <w:rPr>
          <w:rFonts w:cs="Arial"/>
          <w:i/>
          <w:color w:val="00B274"/>
          <w:szCs w:val="20"/>
        </w:rPr>
        <w:t>Documents and whether</w:t>
      </w:r>
      <w:r w:rsidRPr="00FE2EA4">
        <w:rPr>
          <w:rFonts w:cs="Arial"/>
          <w:i/>
          <w:color w:val="00B274"/>
          <w:szCs w:val="20"/>
        </w:rPr>
        <w:t xml:space="preserve"> such proposed modifications shall be submitted to the Uniform Network Code Committee and considered by the Uniform Network Committee or any relevant </w:t>
      </w:r>
      <w:r>
        <w:rPr>
          <w:rFonts w:cs="Arial"/>
          <w:i/>
          <w:color w:val="00B274"/>
          <w:szCs w:val="20"/>
        </w:rPr>
        <w:t>sub-committee</w:t>
      </w:r>
      <w:r w:rsidRPr="00FE2EA4">
        <w:rPr>
          <w:rFonts w:cs="Arial"/>
          <w:i/>
          <w:color w:val="00B274"/>
          <w:szCs w:val="20"/>
        </w:rPr>
        <w:t xml:space="preserve"> where the Uniform Network Code Committee so decide by majority vote</w:t>
      </w:r>
      <w:r>
        <w:rPr>
          <w:rFonts w:cs="Arial"/>
          <w:i/>
          <w:color w:val="00B274"/>
          <w:szCs w:val="20"/>
        </w:rPr>
        <w:t xml:space="preserve"> </w:t>
      </w:r>
      <w:r w:rsidRPr="002604F5">
        <w:rPr>
          <w:rFonts w:cs="Arial"/>
          <w:i/>
          <w:color w:val="00B274"/>
          <w:szCs w:val="20"/>
        </w:rPr>
        <w:t>in accordance with the requirements set out in paragraph 12 of Section V of the UNC Transportation Principal Document</w:t>
      </w:r>
    </w:p>
    <w:p w14:paraId="2621EDB2" w14:textId="77777777" w:rsidR="006E68F3" w:rsidRPr="00042CC1" w:rsidRDefault="006E68F3" w:rsidP="006E68F3">
      <w:pPr>
        <w:rPr>
          <w:rFonts w:cs="Arial"/>
          <w:szCs w:val="20"/>
        </w:rPr>
      </w:pPr>
      <w:r w:rsidRPr="008D54E0">
        <w:rPr>
          <w:rFonts w:cs="Arial"/>
          <w:szCs w:val="20"/>
        </w:rPr>
        <w:t>Insert text here</w:t>
      </w:r>
      <w:r>
        <w:rPr>
          <w:rFonts w:cs="Arial"/>
          <w:szCs w:val="20"/>
        </w:rPr>
        <w:t>.</w:t>
      </w:r>
    </w:p>
    <w:p w14:paraId="3260362E" w14:textId="77777777" w:rsidR="00263600" w:rsidRPr="00CA74C4" w:rsidRDefault="00263600" w:rsidP="00B65F28">
      <w:pPr>
        <w:pStyle w:val="Heading02"/>
      </w:pPr>
      <w:bookmarkStart w:id="10" w:name="_Toc168471588"/>
      <w:r w:rsidRPr="00CA74C4">
        <w:lastRenderedPageBreak/>
        <w:t>Relevant Objectives</w:t>
      </w:r>
      <w:bookmarkEnd w:id="10"/>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8212"/>
        <w:gridCol w:w="1863"/>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2B209A">
        <w:trPr>
          <w:trHeight w:val="397"/>
        </w:trPr>
        <w:tc>
          <w:tcPr>
            <w:tcW w:w="8212"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1863"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2B209A">
        <w:trPr>
          <w:trHeight w:val="397"/>
        </w:trPr>
        <w:tc>
          <w:tcPr>
            <w:tcW w:w="8212"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1863" w:type="dxa"/>
          </w:tcPr>
          <w:p w14:paraId="7FDEAE5E" w14:textId="0A4E503F" w:rsidR="0018496D" w:rsidRPr="00CA74C4" w:rsidRDefault="00D178C2" w:rsidP="006D765D">
            <w:pPr>
              <w:spacing w:before="40"/>
              <w:ind w:left="113"/>
              <w:rPr>
                <w:rFonts w:cs="Arial"/>
              </w:rPr>
            </w:pPr>
            <w:r>
              <w:rPr>
                <w:rFonts w:cs="Arial"/>
              </w:rPr>
              <w:t>None</w:t>
            </w:r>
          </w:p>
        </w:tc>
      </w:tr>
      <w:tr w:rsidR="0018496D" w:rsidRPr="00CA74C4" w14:paraId="5A4DD07E" w14:textId="77777777" w:rsidTr="002B209A">
        <w:trPr>
          <w:trHeight w:val="397"/>
        </w:trPr>
        <w:tc>
          <w:tcPr>
            <w:tcW w:w="8212"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1863" w:type="dxa"/>
          </w:tcPr>
          <w:p w14:paraId="207C441D" w14:textId="65B13B73" w:rsidR="0018496D" w:rsidRPr="00CA74C4" w:rsidRDefault="00D178C2" w:rsidP="006D765D">
            <w:pPr>
              <w:spacing w:before="40"/>
              <w:ind w:left="113" w:right="113"/>
              <w:rPr>
                <w:rFonts w:cs="Arial"/>
              </w:rPr>
            </w:pPr>
            <w:r>
              <w:rPr>
                <w:rFonts w:cs="Arial"/>
              </w:rPr>
              <w:t>None</w:t>
            </w:r>
          </w:p>
        </w:tc>
      </w:tr>
      <w:tr w:rsidR="0018496D" w:rsidRPr="00CA74C4" w14:paraId="13C24058" w14:textId="77777777" w:rsidTr="002B209A">
        <w:trPr>
          <w:trHeight w:val="397"/>
        </w:trPr>
        <w:tc>
          <w:tcPr>
            <w:tcW w:w="8212"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1863" w:type="dxa"/>
          </w:tcPr>
          <w:p w14:paraId="3962862D" w14:textId="3279AC29" w:rsidR="0018496D" w:rsidRPr="00CA74C4" w:rsidRDefault="00D178C2" w:rsidP="006D765D">
            <w:pPr>
              <w:spacing w:before="40"/>
              <w:ind w:left="113" w:right="113"/>
              <w:rPr>
                <w:rFonts w:cs="Arial"/>
              </w:rPr>
            </w:pPr>
            <w:r>
              <w:rPr>
                <w:rFonts w:cs="Arial"/>
              </w:rPr>
              <w:t>None</w:t>
            </w:r>
          </w:p>
        </w:tc>
      </w:tr>
      <w:tr w:rsidR="0018496D" w:rsidRPr="00CA74C4" w14:paraId="05FD2AAC" w14:textId="77777777" w:rsidTr="002B209A">
        <w:trPr>
          <w:trHeight w:val="397"/>
        </w:trPr>
        <w:tc>
          <w:tcPr>
            <w:tcW w:w="8212"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1863" w:type="dxa"/>
          </w:tcPr>
          <w:p w14:paraId="293F8C7C" w14:textId="0A9F5CEB" w:rsidR="0018496D" w:rsidRPr="00CA74C4" w:rsidRDefault="0018496D" w:rsidP="006D765D">
            <w:pPr>
              <w:spacing w:before="40"/>
              <w:ind w:left="113" w:right="113"/>
              <w:rPr>
                <w:rFonts w:cs="Arial"/>
              </w:rPr>
            </w:pPr>
            <w:r w:rsidRPr="00CA74C4">
              <w:rPr>
                <w:rFonts w:cs="Arial"/>
              </w:rPr>
              <w:t>Positive</w:t>
            </w:r>
          </w:p>
        </w:tc>
      </w:tr>
      <w:tr w:rsidR="0018496D" w:rsidRPr="00CA74C4" w14:paraId="298B52D9" w14:textId="77777777" w:rsidTr="002B209A">
        <w:trPr>
          <w:trHeight w:val="397"/>
        </w:trPr>
        <w:tc>
          <w:tcPr>
            <w:tcW w:w="8212"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1863" w:type="dxa"/>
          </w:tcPr>
          <w:p w14:paraId="1E15131F" w14:textId="00C57440" w:rsidR="0018496D" w:rsidRPr="00CA74C4" w:rsidRDefault="0018496D" w:rsidP="006D765D">
            <w:pPr>
              <w:spacing w:before="40"/>
              <w:ind w:left="113" w:right="113"/>
              <w:rPr>
                <w:rFonts w:cs="Arial"/>
              </w:rPr>
            </w:pPr>
            <w:r w:rsidRPr="00CA74C4">
              <w:rPr>
                <w:rFonts w:cs="Arial"/>
              </w:rPr>
              <w:t>None</w:t>
            </w:r>
          </w:p>
        </w:tc>
      </w:tr>
      <w:tr w:rsidR="0018496D" w:rsidRPr="00CA74C4" w14:paraId="1D7C0600" w14:textId="77777777" w:rsidTr="002B209A">
        <w:trPr>
          <w:trHeight w:val="397"/>
        </w:trPr>
        <w:tc>
          <w:tcPr>
            <w:tcW w:w="8212"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1863" w:type="dxa"/>
          </w:tcPr>
          <w:p w14:paraId="595E9B63" w14:textId="1232BD17" w:rsidR="0018496D" w:rsidRPr="00CA74C4" w:rsidRDefault="0018496D" w:rsidP="006D765D">
            <w:pPr>
              <w:spacing w:before="40"/>
              <w:ind w:left="113" w:right="113"/>
              <w:rPr>
                <w:rFonts w:cs="Arial"/>
              </w:rPr>
            </w:pPr>
            <w:r w:rsidRPr="00CA74C4">
              <w:rPr>
                <w:rFonts w:cs="Arial"/>
              </w:rPr>
              <w:t>Positive</w:t>
            </w:r>
          </w:p>
        </w:tc>
      </w:tr>
      <w:tr w:rsidR="0018496D" w:rsidRPr="00CA74C4" w14:paraId="31123917" w14:textId="77777777" w:rsidTr="002B209A">
        <w:trPr>
          <w:trHeight w:val="397"/>
        </w:trPr>
        <w:tc>
          <w:tcPr>
            <w:tcW w:w="8212" w:type="dxa"/>
            <w:tcBorders>
              <w:left w:val="single" w:sz="8" w:space="0" w:color="CCE0DA"/>
              <w:bottom w:val="single" w:sz="8" w:space="0" w:color="CCE0DA"/>
            </w:tcBorders>
          </w:tcPr>
          <w:p w14:paraId="39FEEA18" w14:textId="32E3B0AC"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1863" w:type="dxa"/>
          </w:tcPr>
          <w:p w14:paraId="03676820" w14:textId="77F0806E" w:rsidR="0018496D" w:rsidRPr="00CA74C4" w:rsidRDefault="0018496D" w:rsidP="006D765D">
            <w:pPr>
              <w:spacing w:before="40"/>
              <w:ind w:left="113" w:right="113"/>
              <w:rPr>
                <w:rFonts w:cs="Arial"/>
              </w:rPr>
            </w:pPr>
            <w:r w:rsidRPr="00CA74C4">
              <w:rPr>
                <w:rFonts w:cs="Arial"/>
              </w:rPr>
              <w:t>None</w:t>
            </w:r>
          </w:p>
        </w:tc>
      </w:tr>
    </w:tbl>
    <w:p w14:paraId="74279438" w14:textId="0E3DBF71" w:rsidR="00F34649" w:rsidRDefault="00D178C2" w:rsidP="00A60DFF">
      <w:pPr>
        <w:jc w:val="both"/>
        <w:rPr>
          <w:rFonts w:cs="Arial"/>
        </w:rPr>
      </w:pPr>
      <w:r>
        <w:rPr>
          <w:rFonts w:cs="Arial"/>
        </w:rPr>
        <w:t xml:space="preserve">Facilitating gas entry </w:t>
      </w:r>
      <w:r w:rsidR="00156BEB">
        <w:rPr>
          <w:rFonts w:cs="Arial"/>
        </w:rPr>
        <w:t>increases supply and hence the potential for facilitating effective competition among Shippers and Suppliers. Ensuring there are appropriate arrangements for all entry options facilitates competition between Gas Transporters.</w:t>
      </w:r>
    </w:p>
    <w:p w14:paraId="20B3DA9D" w14:textId="69B8154F" w:rsidR="00156BEB" w:rsidRDefault="00156BEB" w:rsidP="00A60DFF">
      <w:pPr>
        <w:jc w:val="both"/>
        <w:rPr>
          <w:rFonts w:cs="Arial"/>
        </w:rPr>
      </w:pPr>
      <w:r>
        <w:rPr>
          <w:rFonts w:cs="Arial"/>
        </w:rPr>
        <w:t>Ensuring the UNC does not allow double counting and has provisions that facilitate all entry options promotes efficiency in the implementation of the Code.</w:t>
      </w:r>
    </w:p>
    <w:p w14:paraId="34AB8DBA" w14:textId="77777777" w:rsidR="00FF464B" w:rsidRDefault="00FF464B" w:rsidP="00FF464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 of Relevant Objectives</w:t>
      </w:r>
    </w:p>
    <w:p w14:paraId="3468EC57" w14:textId="77777777" w:rsidR="00FF464B" w:rsidRPr="00B32D70" w:rsidRDefault="00FF464B" w:rsidP="00FF464B">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of how the Relevant Objectives are furthered and respond to what the proposer has provided</w:t>
      </w:r>
    </w:p>
    <w:p w14:paraId="383FA24B" w14:textId="77777777" w:rsidR="00FF464B" w:rsidRDefault="00FF464B" w:rsidP="00FF464B">
      <w:pPr>
        <w:rPr>
          <w:rFonts w:cs="Arial"/>
        </w:rPr>
      </w:pPr>
      <w:r w:rsidRPr="008D54E0">
        <w:rPr>
          <w:rFonts w:cs="Arial"/>
        </w:rPr>
        <w:t>Insert text here</w:t>
      </w:r>
    </w:p>
    <w:p w14:paraId="176F487A" w14:textId="58AA1FBE" w:rsidR="00D42D54" w:rsidRPr="008D54E0" w:rsidRDefault="00D42D54" w:rsidP="00FF464B">
      <w:pPr>
        <w:rPr>
          <w:rFonts w:cs="Arial"/>
        </w:rPr>
      </w:pPr>
      <w:r>
        <w:rPr>
          <w:rFonts w:cs="Arial"/>
        </w:rPr>
        <w:t xml:space="preserve">The Workgroup agreed with the Proposer that </w:t>
      </w:r>
      <w:r w:rsidR="00452EE3">
        <w:rPr>
          <w:rFonts w:cs="Arial"/>
        </w:rPr>
        <w:t xml:space="preserve">this </w:t>
      </w:r>
      <w:r w:rsidR="001A4AD6">
        <w:rPr>
          <w:rFonts w:cs="Arial"/>
        </w:rPr>
        <w:t>Modification would have a positive impact on relevant objectives d) and f), because …</w:t>
      </w:r>
    </w:p>
    <w:p w14:paraId="2D6E1631" w14:textId="77777777" w:rsidR="00450385" w:rsidRPr="00CA74C4" w:rsidRDefault="00C31A20" w:rsidP="00B65F28">
      <w:pPr>
        <w:pStyle w:val="Heading02"/>
        <w:rPr>
          <w:noProof/>
        </w:rPr>
      </w:pPr>
      <w:bookmarkStart w:id="11" w:name="_Toc168471589"/>
      <w:r w:rsidRPr="00CA74C4">
        <w:rPr>
          <w:noProof/>
        </w:rPr>
        <w:lastRenderedPageBreak/>
        <w:t>Imple</w:t>
      </w:r>
      <w:r w:rsidR="00461C2F" w:rsidRPr="00CA74C4">
        <w:rPr>
          <w:noProof/>
        </w:rPr>
        <w:t>me</w:t>
      </w:r>
      <w:r w:rsidRPr="00CA74C4">
        <w:rPr>
          <w:noProof/>
        </w:rPr>
        <w:t>ntation</w:t>
      </w:r>
      <w:bookmarkEnd w:id="11"/>
    </w:p>
    <w:p w14:paraId="5BD0F811" w14:textId="2A0A07E9" w:rsidR="00D76054" w:rsidRPr="00156BEB" w:rsidRDefault="00D76054" w:rsidP="00A60DFF">
      <w:pPr>
        <w:jc w:val="both"/>
        <w:rPr>
          <w:rFonts w:cs="Arial"/>
          <w:b/>
          <w:i/>
          <w:color w:val="00B274"/>
        </w:rPr>
      </w:pPr>
      <w:r w:rsidRPr="00CA74C4">
        <w:rPr>
          <w:rFonts w:cs="Arial"/>
        </w:rPr>
        <w:t>As</w:t>
      </w:r>
      <w:r w:rsidR="002B209A">
        <w:rPr>
          <w:rFonts w:cs="Arial"/>
        </w:rPr>
        <w:t xml:space="preserve">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p>
    <w:p w14:paraId="69763EEB" w14:textId="77777777" w:rsidR="00F007A0" w:rsidRPr="00CA74C4" w:rsidRDefault="00F007A0" w:rsidP="00B65F28">
      <w:pPr>
        <w:pStyle w:val="Heading02"/>
      </w:pPr>
      <w:bookmarkStart w:id="12" w:name="_Toc156882583"/>
      <w:bookmarkStart w:id="13" w:name="_Toc163008071"/>
      <w:bookmarkStart w:id="14" w:name="_Toc168471590"/>
      <w:r w:rsidRPr="00CA74C4">
        <w:t>Legal Text</w:t>
      </w:r>
      <w:bookmarkEnd w:id="12"/>
      <w:bookmarkEnd w:id="13"/>
      <w:bookmarkEnd w:id="14"/>
    </w:p>
    <w:p w14:paraId="6FF611D5" w14:textId="77777777" w:rsidR="00792FD0" w:rsidRDefault="00792FD0" w:rsidP="00792FD0">
      <w:pPr>
        <w:rPr>
          <w:rStyle w:val="Hyperlink"/>
          <w:rFonts w:cs="Arial"/>
        </w:rPr>
      </w:pPr>
      <w:bookmarkStart w:id="15" w:name="_Hlk534356732"/>
      <w:r w:rsidRPr="008D54E0">
        <w:rPr>
          <w:rFonts w:cs="Arial"/>
          <w:bCs/>
          <w:i/>
          <w:iCs/>
          <w:color w:val="00B274"/>
          <w:szCs w:val="20"/>
        </w:rPr>
        <w:t>Legal text will be drawn up by the relevant Transporter at a time when the modification is sufficiently developed in line with the</w:t>
      </w:r>
      <w:r w:rsidRPr="008D54E0">
        <w:rPr>
          <w:rFonts w:cs="Arial"/>
        </w:rPr>
        <w:t xml:space="preserve"> </w:t>
      </w:r>
      <w:hyperlink r:id="rId20" w:history="1">
        <w:r w:rsidRPr="008D54E0">
          <w:rPr>
            <w:rStyle w:val="Hyperlink"/>
            <w:rFonts w:cs="Arial"/>
          </w:rPr>
          <w:t>Legal Text Guidance Document</w:t>
        </w:r>
      </w:hyperlink>
      <w:r w:rsidRPr="008D54E0">
        <w:rPr>
          <w:rStyle w:val="Hyperlink"/>
          <w:rFonts w:cs="Arial"/>
        </w:rPr>
        <w:t>.</w:t>
      </w:r>
    </w:p>
    <w:p w14:paraId="4E17034D" w14:textId="1EA567B7" w:rsidR="00792FD0" w:rsidRDefault="00792FD0" w:rsidP="00792FD0">
      <w:pPr>
        <w:rPr>
          <w:rFonts w:cs="Arial"/>
        </w:rPr>
      </w:pPr>
      <w:r w:rsidRPr="0088780C">
        <w:t>L</w:t>
      </w:r>
      <w:r w:rsidRPr="0088780C">
        <w:rPr>
          <w:rFonts w:cs="Arial"/>
        </w:rPr>
        <w:t xml:space="preserve">egal Text has been provided by </w:t>
      </w:r>
      <w:r w:rsidR="001A4AD6">
        <w:rPr>
          <w:rFonts w:cs="Arial"/>
        </w:rPr>
        <w:t xml:space="preserve">National Gas Transmission </w:t>
      </w:r>
      <w:r w:rsidRPr="0088780C">
        <w:rPr>
          <w:rFonts w:cs="Arial"/>
        </w:rPr>
        <w:t xml:space="preserve">and is [included below/published alongside this report]. </w:t>
      </w:r>
    </w:p>
    <w:p w14:paraId="63E6829A" w14:textId="77777777" w:rsidR="00792FD0" w:rsidRPr="008D54E0" w:rsidRDefault="00792FD0" w:rsidP="00792FD0">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1D2D41C9" w14:textId="77777777" w:rsidR="00792FD0" w:rsidRDefault="00792FD0" w:rsidP="00792FD0">
      <w:pPr>
        <w:keepNext/>
        <w:outlineLvl w:val="3"/>
        <w:rPr>
          <w:i/>
          <w:noProof/>
          <w:color w:val="00B274"/>
        </w:rPr>
      </w:pPr>
      <w:r>
        <w:rPr>
          <w:i/>
          <w:noProof/>
          <w:color w:val="00B274"/>
        </w:rPr>
        <w:t xml:space="preserve">Workgroup’s </w:t>
      </w:r>
      <w:r w:rsidRPr="00020683">
        <w:rPr>
          <w:i/>
          <w:noProof/>
          <w:color w:val="00B274"/>
        </w:rPr>
        <w:t xml:space="preserve">Assessment </w:t>
      </w:r>
      <w:r>
        <w:rPr>
          <w:i/>
          <w:noProof/>
          <w:color w:val="00B274"/>
        </w:rPr>
        <w:t>of the proposed changes and how these meet the intent of the Solution.</w:t>
      </w:r>
    </w:p>
    <w:p w14:paraId="6C418ED0" w14:textId="77777777" w:rsidR="00792FD0" w:rsidRPr="0088780C" w:rsidRDefault="00792FD0" w:rsidP="00792FD0">
      <w:pPr>
        <w:rPr>
          <w:rFonts w:cs="Arial"/>
        </w:rPr>
      </w:pPr>
      <w:r w:rsidRPr="0088780C" w:rsidDel="00A7121D">
        <w:rPr>
          <w:rFonts w:cs="Arial"/>
        </w:rPr>
        <w:t>The Workgroup has considered the Legal Text and is satisfied that it meets the intent of the Solution.</w:t>
      </w:r>
    </w:p>
    <w:bookmarkEnd w:id="15"/>
    <w:p w14:paraId="2A10B6C1" w14:textId="77777777" w:rsidR="00792FD0" w:rsidRPr="00CA74C4" w:rsidRDefault="00792FD0" w:rsidP="00792FD0">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5E3FC0E2" w14:textId="77777777" w:rsidR="00792FD0" w:rsidRPr="00CA74C4" w:rsidRDefault="00792FD0" w:rsidP="00792FD0">
      <w:pPr>
        <w:rPr>
          <w:rFonts w:cs="Arial"/>
        </w:rPr>
      </w:pPr>
      <w:r w:rsidRPr="00CA74C4">
        <w:rPr>
          <w:rFonts w:cs="Arial"/>
        </w:rPr>
        <w:t>Insert text here</w:t>
      </w:r>
      <w:r>
        <w:rPr>
          <w:rFonts w:cs="Arial"/>
        </w:rPr>
        <w:t>.</w:t>
      </w:r>
    </w:p>
    <w:p w14:paraId="4ED795D6" w14:textId="77777777" w:rsidR="00792FD0" w:rsidRPr="00CA74C4" w:rsidRDefault="00792FD0" w:rsidP="00792FD0">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3F9C169F" w14:textId="77777777" w:rsidR="00792FD0" w:rsidRDefault="00792FD0" w:rsidP="00792FD0">
      <w:pPr>
        <w:rPr>
          <w:rFonts w:cs="Arial"/>
        </w:rPr>
      </w:pPr>
      <w:r w:rsidRPr="00CA74C4">
        <w:rPr>
          <w:rFonts w:cs="Arial"/>
        </w:rPr>
        <w:t>Insert text here</w:t>
      </w:r>
      <w:r>
        <w:rPr>
          <w:rFonts w:cs="Arial"/>
        </w:rPr>
        <w:t>.</w:t>
      </w:r>
    </w:p>
    <w:p w14:paraId="2F8DF12A" w14:textId="77777777" w:rsidR="0099297A" w:rsidRPr="00CA74C4" w:rsidRDefault="0099297A" w:rsidP="0099297A">
      <w:pPr>
        <w:pStyle w:val="Heading02"/>
      </w:pPr>
      <w:bookmarkStart w:id="16" w:name="_Toc157431034"/>
      <w:bookmarkStart w:id="17" w:name="_Toc168471591"/>
      <w:r w:rsidRPr="00CA74C4">
        <w:t>Recommendations</w:t>
      </w:r>
      <w:bookmarkEnd w:id="16"/>
      <w:bookmarkEnd w:id="17"/>
      <w:r w:rsidRPr="00CA74C4">
        <w:t xml:space="preserve"> </w:t>
      </w:r>
    </w:p>
    <w:p w14:paraId="7369B4F1" w14:textId="77777777" w:rsidR="0099297A" w:rsidRPr="00EB32BB" w:rsidRDefault="0099297A" w:rsidP="0099297A">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394F75D7" w14:textId="25FDE0CA" w:rsidR="0099297A" w:rsidRDefault="0099297A" w:rsidP="0099297A">
      <w:r w:rsidRPr="008C182E">
        <w:t xml:space="preserve">The Workgroup </w:t>
      </w:r>
      <w:r>
        <w:t>asks Panel to agree that t</w:t>
      </w:r>
      <w:r w:rsidRPr="008C182E">
        <w:t xml:space="preserve">his </w:t>
      </w:r>
      <w:r>
        <w:t>Self-Governance M</w:t>
      </w:r>
      <w:r w:rsidRPr="008C182E">
        <w:t xml:space="preserve">odification should </w:t>
      </w:r>
      <w:r>
        <w:t>proceed to</w:t>
      </w:r>
      <w:r w:rsidRPr="008C182E">
        <w:t xml:space="preserve"> consultation.</w:t>
      </w:r>
    </w:p>
    <w:p w14:paraId="09EB428F" w14:textId="77777777" w:rsidR="0099297A" w:rsidRPr="00E337D4" w:rsidRDefault="0099297A" w:rsidP="0099297A">
      <w:pPr>
        <w:pStyle w:val="Heading02"/>
      </w:pPr>
      <w:bookmarkStart w:id="18" w:name="_Toc83103130"/>
      <w:bookmarkStart w:id="19" w:name="_Toc83277564"/>
      <w:bookmarkStart w:id="20" w:name="_Toc83795992"/>
      <w:bookmarkStart w:id="21" w:name="_Toc157431035"/>
      <w:bookmarkStart w:id="22" w:name="_Toc168471592"/>
      <w:r w:rsidRPr="00E337D4">
        <w:t xml:space="preserve">Appended </w:t>
      </w:r>
      <w:r w:rsidRPr="00BD06F6">
        <w:t>Representations</w:t>
      </w:r>
      <w:bookmarkEnd w:id="18"/>
      <w:bookmarkEnd w:id="19"/>
      <w:bookmarkEnd w:id="20"/>
      <w:bookmarkEnd w:id="21"/>
      <w:bookmarkEnd w:id="22"/>
    </w:p>
    <w:p w14:paraId="540D7920" w14:textId="1E8CF785" w:rsidR="00F34649" w:rsidRPr="00156BEB" w:rsidRDefault="0099297A" w:rsidP="0099297A">
      <w:pPr>
        <w:rPr>
          <w:rFonts w:cs="Arial"/>
        </w:rPr>
      </w:pPr>
      <w:r w:rsidRPr="00435708">
        <w:rPr>
          <w:rFonts w:cs="Arial"/>
        </w:rPr>
        <w:t>Initial Representation</w:t>
      </w:r>
      <w:r w:rsidR="00894765">
        <w:rPr>
          <w:rFonts w:cs="Arial"/>
        </w:rPr>
        <w:t>s</w:t>
      </w:r>
      <w:r w:rsidRPr="00435708">
        <w:rPr>
          <w:rFonts w:cs="Arial"/>
        </w:rPr>
        <w:t xml:space="preserve"> –</w:t>
      </w:r>
      <w:r>
        <w:rPr>
          <w:rFonts w:cs="Arial"/>
        </w:rPr>
        <w:t xml:space="preserve"> </w:t>
      </w:r>
      <w:r w:rsidR="00894765">
        <w:rPr>
          <w:rFonts w:cs="Arial"/>
        </w:rPr>
        <w:t>None</w:t>
      </w:r>
    </w:p>
    <w:sectPr w:rsidR="00F34649" w:rsidRPr="00156BEB" w:rsidSect="0057684A">
      <w:headerReference w:type="default" r:id="rId21"/>
      <w:footerReference w:type="default" r:id="rId22"/>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2F690" w14:textId="77777777" w:rsidR="001638A7" w:rsidRDefault="001638A7">
      <w:pPr>
        <w:spacing w:line="240" w:lineRule="auto"/>
      </w:pPr>
      <w:r>
        <w:separator/>
      </w:r>
    </w:p>
    <w:p w14:paraId="4A69E600" w14:textId="77777777" w:rsidR="001638A7" w:rsidRDefault="001638A7"/>
  </w:endnote>
  <w:endnote w:type="continuationSeparator" w:id="0">
    <w:p w14:paraId="0F9C56C7" w14:textId="77777777" w:rsidR="001638A7" w:rsidRDefault="001638A7">
      <w:pPr>
        <w:spacing w:line="240" w:lineRule="auto"/>
      </w:pPr>
      <w:r>
        <w:continuationSeparator/>
      </w:r>
    </w:p>
    <w:p w14:paraId="7BB9C650" w14:textId="77777777" w:rsidR="001638A7" w:rsidRDefault="001638A7"/>
  </w:endnote>
  <w:endnote w:type="continuationNotice" w:id="1">
    <w:p w14:paraId="2E8CC3D5" w14:textId="77777777" w:rsidR="001638A7" w:rsidRDefault="001638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9BE5" w14:textId="5BAAE965"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UNC</w:t>
    </w:r>
    <w:r w:rsidR="00577E80">
      <w:rPr>
        <w:rFonts w:cs="Arial"/>
        <w:sz w:val="16"/>
        <w:szCs w:val="16"/>
      </w:rPr>
      <w:t xml:space="preserve"> 087</w:t>
    </w:r>
    <w:r w:rsidR="00FF781A">
      <w:rPr>
        <w:rFonts w:cs="Arial"/>
        <w:sz w:val="16"/>
        <w:szCs w:val="16"/>
      </w:rPr>
      <w:t>1</w:t>
    </w:r>
    <w:r w:rsidR="00FD0C8F">
      <w:rPr>
        <w:rFonts w:cs="Arial"/>
        <w:sz w:val="16"/>
        <w:szCs w:val="16"/>
      </w:rPr>
      <w:t>S</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FD0C8F">
      <w:rPr>
        <w:rFonts w:cs="Arial"/>
        <w:sz w:val="16"/>
        <w:szCs w:val="16"/>
        <w:lang w:val="en-US"/>
      </w:rPr>
      <w:t>0.1</w:t>
    </w:r>
  </w:p>
  <w:p w14:paraId="1DF57ED4" w14:textId="7B64A10D" w:rsidR="0000619E" w:rsidRPr="000660DF" w:rsidRDefault="00FD0C8F"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Pr>
        <w:rFonts w:cs="Arial"/>
        <w:sz w:val="16"/>
        <w:szCs w:val="16"/>
        <w:lang w:val="en-US"/>
      </w:rPr>
      <w:t>0</w:t>
    </w:r>
    <w:r w:rsidR="002B209A">
      <w:rPr>
        <w:rFonts w:cs="Arial"/>
        <w:sz w:val="16"/>
        <w:szCs w:val="16"/>
        <w:lang w:val="en-US"/>
      </w:rPr>
      <w:t xml:space="preserve">4 July </w:t>
    </w:r>
    <w:r>
      <w:rPr>
        <w:rFonts w:cs="Arial"/>
        <w:sz w:val="16"/>
        <w:szCs w:val="16"/>
        <w:lang w:val="en-US"/>
      </w:rPr>
      <w:t>2024</w:t>
    </w:r>
    <w:r w:rsidR="0000619E">
      <w:rPr>
        <w:rFonts w:cs="Arial"/>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56F89" w14:textId="77777777" w:rsidR="001638A7" w:rsidRDefault="001638A7">
      <w:pPr>
        <w:spacing w:line="240" w:lineRule="auto"/>
      </w:pPr>
      <w:r>
        <w:separator/>
      </w:r>
    </w:p>
    <w:p w14:paraId="5924ABFE" w14:textId="77777777" w:rsidR="001638A7" w:rsidRDefault="001638A7"/>
  </w:footnote>
  <w:footnote w:type="continuationSeparator" w:id="0">
    <w:p w14:paraId="2FBFF5EF" w14:textId="77777777" w:rsidR="001638A7" w:rsidRDefault="001638A7">
      <w:pPr>
        <w:spacing w:line="240" w:lineRule="auto"/>
      </w:pPr>
      <w:r>
        <w:continuationSeparator/>
      </w:r>
    </w:p>
    <w:p w14:paraId="724A9B7A" w14:textId="77777777" w:rsidR="001638A7" w:rsidRDefault="001638A7"/>
  </w:footnote>
  <w:footnote w:type="continuationNotice" w:id="1">
    <w:p w14:paraId="0D9E7F1F" w14:textId="77777777" w:rsidR="001638A7" w:rsidRDefault="001638A7">
      <w:pPr>
        <w:spacing w:before="0" w:after="0" w:line="240" w:lineRule="auto"/>
      </w:pPr>
    </w:p>
  </w:footnote>
  <w:footnote w:id="2">
    <w:p w14:paraId="382EF5CE" w14:textId="77777777" w:rsidR="00AB60CB" w:rsidRDefault="00AB60CB" w:rsidP="00AB60CB">
      <w:pPr>
        <w:pStyle w:val="FootnoteText"/>
      </w:pPr>
      <w:r>
        <w:rPr>
          <w:rStyle w:val="FootnoteReference"/>
        </w:rPr>
        <w:footnoteRef/>
      </w:r>
      <w:r>
        <w:t xml:space="preserve"> TPD Section A1.1.1</w:t>
      </w:r>
    </w:p>
  </w:footnote>
  <w:footnote w:id="3">
    <w:p w14:paraId="0B850319" w14:textId="77777777" w:rsidR="00AB60CB" w:rsidRDefault="00AB60CB" w:rsidP="00AB60CB">
      <w:pPr>
        <w:pStyle w:val="FootnoteText"/>
      </w:pPr>
      <w:r>
        <w:rPr>
          <w:rStyle w:val="FootnoteReference"/>
        </w:rPr>
        <w:footnoteRef/>
      </w:r>
      <w:r>
        <w:t xml:space="preserve"> TPD Section A2.3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2F5FC" w14:textId="2BCDDED6"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109FA"/>
    <w:multiLevelType w:val="hybridMultilevel"/>
    <w:tmpl w:val="FDFE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65B2A"/>
    <w:multiLevelType w:val="hybridMultilevel"/>
    <w:tmpl w:val="273C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1D064A"/>
    <w:multiLevelType w:val="hybridMultilevel"/>
    <w:tmpl w:val="AC604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8"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9"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E6449"/>
    <w:multiLevelType w:val="hybridMultilevel"/>
    <w:tmpl w:val="2DD0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7"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694114600">
    <w:abstractNumId w:val="26"/>
  </w:num>
  <w:num w:numId="2" w16cid:durableId="1057163357">
    <w:abstractNumId w:val="21"/>
  </w:num>
  <w:num w:numId="3" w16cid:durableId="1976911458">
    <w:abstractNumId w:val="11"/>
  </w:num>
  <w:num w:numId="4" w16cid:durableId="1094670027">
    <w:abstractNumId w:val="14"/>
  </w:num>
  <w:num w:numId="5" w16cid:durableId="1287354093">
    <w:abstractNumId w:val="6"/>
  </w:num>
  <w:num w:numId="6" w16cid:durableId="589697700">
    <w:abstractNumId w:val="23"/>
  </w:num>
  <w:num w:numId="7" w16cid:durableId="1280647101">
    <w:abstractNumId w:val="15"/>
  </w:num>
  <w:num w:numId="8" w16cid:durableId="416513770">
    <w:abstractNumId w:val="8"/>
  </w:num>
  <w:num w:numId="9" w16cid:durableId="1988436112">
    <w:abstractNumId w:val="20"/>
  </w:num>
  <w:num w:numId="10" w16cid:durableId="1424958761">
    <w:abstractNumId w:val="18"/>
  </w:num>
  <w:num w:numId="11" w16cid:durableId="435174689">
    <w:abstractNumId w:val="5"/>
  </w:num>
  <w:num w:numId="12" w16cid:durableId="460853062">
    <w:abstractNumId w:val="4"/>
  </w:num>
  <w:num w:numId="13" w16cid:durableId="206113461">
    <w:abstractNumId w:val="19"/>
  </w:num>
  <w:num w:numId="14" w16cid:durableId="1739396447">
    <w:abstractNumId w:val="1"/>
  </w:num>
  <w:num w:numId="15" w16cid:durableId="336467888">
    <w:abstractNumId w:val="3"/>
  </w:num>
  <w:num w:numId="16" w16cid:durableId="1951624899">
    <w:abstractNumId w:val="25"/>
  </w:num>
  <w:num w:numId="17" w16cid:durableId="59330820">
    <w:abstractNumId w:val="27"/>
  </w:num>
  <w:num w:numId="18" w16cid:durableId="990259254">
    <w:abstractNumId w:val="17"/>
  </w:num>
  <w:num w:numId="19" w16cid:durableId="6904807">
    <w:abstractNumId w:val="7"/>
  </w:num>
  <w:num w:numId="20" w16cid:durableId="1271089848">
    <w:abstractNumId w:val="13"/>
  </w:num>
  <w:num w:numId="21" w16cid:durableId="961695858">
    <w:abstractNumId w:val="16"/>
  </w:num>
  <w:num w:numId="22" w16cid:durableId="2070499080">
    <w:abstractNumId w:val="2"/>
  </w:num>
  <w:num w:numId="23" w16cid:durableId="236595819">
    <w:abstractNumId w:val="0"/>
  </w:num>
  <w:num w:numId="24" w16cid:durableId="286468611">
    <w:abstractNumId w:val="22"/>
  </w:num>
  <w:num w:numId="25" w16cid:durableId="1541086232">
    <w:abstractNumId w:val="1"/>
  </w:num>
  <w:num w:numId="26" w16cid:durableId="1619413766">
    <w:abstractNumId w:val="13"/>
  </w:num>
  <w:num w:numId="27" w16cid:durableId="494153988">
    <w:abstractNumId w:val="10"/>
  </w:num>
  <w:num w:numId="28" w16cid:durableId="1543786921">
    <w:abstractNumId w:val="24"/>
  </w:num>
  <w:num w:numId="29" w16cid:durableId="706225198">
    <w:abstractNumId w:val="12"/>
  </w:num>
  <w:num w:numId="30" w16cid:durableId="110299266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embedSystemFont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NK4FAJrKnCYtAAAA"/>
  </w:docVars>
  <w:rsids>
    <w:rsidRoot w:val="00731B99"/>
    <w:rsid w:val="0000132F"/>
    <w:rsid w:val="0000215A"/>
    <w:rsid w:val="0000274D"/>
    <w:rsid w:val="00003462"/>
    <w:rsid w:val="00004426"/>
    <w:rsid w:val="00004A78"/>
    <w:rsid w:val="00005977"/>
    <w:rsid w:val="00005C2A"/>
    <w:rsid w:val="0000619E"/>
    <w:rsid w:val="000105D1"/>
    <w:rsid w:val="0001312A"/>
    <w:rsid w:val="000131C0"/>
    <w:rsid w:val="00014A06"/>
    <w:rsid w:val="00017F43"/>
    <w:rsid w:val="00021E27"/>
    <w:rsid w:val="00023048"/>
    <w:rsid w:val="0002309B"/>
    <w:rsid w:val="00026A6A"/>
    <w:rsid w:val="0003121B"/>
    <w:rsid w:val="000363FA"/>
    <w:rsid w:val="00041A17"/>
    <w:rsid w:val="00041BF0"/>
    <w:rsid w:val="00041D10"/>
    <w:rsid w:val="000427B0"/>
    <w:rsid w:val="00045F75"/>
    <w:rsid w:val="00050442"/>
    <w:rsid w:val="000507BD"/>
    <w:rsid w:val="000546C7"/>
    <w:rsid w:val="00055793"/>
    <w:rsid w:val="0005617C"/>
    <w:rsid w:val="000561DC"/>
    <w:rsid w:val="00057C9D"/>
    <w:rsid w:val="0006088F"/>
    <w:rsid w:val="00062E0D"/>
    <w:rsid w:val="000703A7"/>
    <w:rsid w:val="00075FA7"/>
    <w:rsid w:val="000775A5"/>
    <w:rsid w:val="00080D66"/>
    <w:rsid w:val="00082674"/>
    <w:rsid w:val="00082F1D"/>
    <w:rsid w:val="00084725"/>
    <w:rsid w:val="00085099"/>
    <w:rsid w:val="00087004"/>
    <w:rsid w:val="0009052E"/>
    <w:rsid w:val="000922F8"/>
    <w:rsid w:val="00092D84"/>
    <w:rsid w:val="000930DF"/>
    <w:rsid w:val="00096C4E"/>
    <w:rsid w:val="000A0250"/>
    <w:rsid w:val="000A36A8"/>
    <w:rsid w:val="000A7E70"/>
    <w:rsid w:val="000A7E7C"/>
    <w:rsid w:val="000B007D"/>
    <w:rsid w:val="000B2E3D"/>
    <w:rsid w:val="000B5CFC"/>
    <w:rsid w:val="000B5D6C"/>
    <w:rsid w:val="000C0DD1"/>
    <w:rsid w:val="000D1E02"/>
    <w:rsid w:val="000D1ECA"/>
    <w:rsid w:val="000D2D4A"/>
    <w:rsid w:val="000D5720"/>
    <w:rsid w:val="000E0100"/>
    <w:rsid w:val="000E034A"/>
    <w:rsid w:val="000E2951"/>
    <w:rsid w:val="000E2E48"/>
    <w:rsid w:val="000E3F5B"/>
    <w:rsid w:val="000E76BF"/>
    <w:rsid w:val="000F08EA"/>
    <w:rsid w:val="001060C1"/>
    <w:rsid w:val="00111F27"/>
    <w:rsid w:val="00112F45"/>
    <w:rsid w:val="001156C4"/>
    <w:rsid w:val="00116E9B"/>
    <w:rsid w:val="001216C5"/>
    <w:rsid w:val="00122382"/>
    <w:rsid w:val="00122D68"/>
    <w:rsid w:val="0012496E"/>
    <w:rsid w:val="00132A8F"/>
    <w:rsid w:val="00135667"/>
    <w:rsid w:val="00142F98"/>
    <w:rsid w:val="00143041"/>
    <w:rsid w:val="00143204"/>
    <w:rsid w:val="0014327C"/>
    <w:rsid w:val="001445A0"/>
    <w:rsid w:val="001451F4"/>
    <w:rsid w:val="00150AE6"/>
    <w:rsid w:val="00153B91"/>
    <w:rsid w:val="00156BEB"/>
    <w:rsid w:val="001638A7"/>
    <w:rsid w:val="00164E30"/>
    <w:rsid w:val="001703AA"/>
    <w:rsid w:val="00172837"/>
    <w:rsid w:val="00174D21"/>
    <w:rsid w:val="00182A0C"/>
    <w:rsid w:val="00182FC4"/>
    <w:rsid w:val="00183E09"/>
    <w:rsid w:val="0018496D"/>
    <w:rsid w:val="0018581B"/>
    <w:rsid w:val="001874E9"/>
    <w:rsid w:val="00187E2F"/>
    <w:rsid w:val="001937A0"/>
    <w:rsid w:val="00193F47"/>
    <w:rsid w:val="00197A37"/>
    <w:rsid w:val="001A4AD6"/>
    <w:rsid w:val="001A5839"/>
    <w:rsid w:val="001A6F74"/>
    <w:rsid w:val="001B0CAC"/>
    <w:rsid w:val="001B2D7A"/>
    <w:rsid w:val="001B6BEA"/>
    <w:rsid w:val="001C01D5"/>
    <w:rsid w:val="001C0AAE"/>
    <w:rsid w:val="001C0C6E"/>
    <w:rsid w:val="001C1CD8"/>
    <w:rsid w:val="001C2039"/>
    <w:rsid w:val="001C207A"/>
    <w:rsid w:val="001C665E"/>
    <w:rsid w:val="001D0B92"/>
    <w:rsid w:val="001D2BFA"/>
    <w:rsid w:val="001D323F"/>
    <w:rsid w:val="001D3EFD"/>
    <w:rsid w:val="001D59BA"/>
    <w:rsid w:val="001D5C1B"/>
    <w:rsid w:val="001D653B"/>
    <w:rsid w:val="001D7EC5"/>
    <w:rsid w:val="001E32D7"/>
    <w:rsid w:val="001E434D"/>
    <w:rsid w:val="001E59BC"/>
    <w:rsid w:val="001E5D9F"/>
    <w:rsid w:val="001E6DCF"/>
    <w:rsid w:val="001F0629"/>
    <w:rsid w:val="001F1BE2"/>
    <w:rsid w:val="001F36FC"/>
    <w:rsid w:val="001F3812"/>
    <w:rsid w:val="001F4DA0"/>
    <w:rsid w:val="001F6DA9"/>
    <w:rsid w:val="001F7908"/>
    <w:rsid w:val="001F7D0E"/>
    <w:rsid w:val="002036BB"/>
    <w:rsid w:val="002038D5"/>
    <w:rsid w:val="002047E2"/>
    <w:rsid w:val="00205E60"/>
    <w:rsid w:val="002112ED"/>
    <w:rsid w:val="002126D4"/>
    <w:rsid w:val="00212BF5"/>
    <w:rsid w:val="0021418F"/>
    <w:rsid w:val="002148B6"/>
    <w:rsid w:val="00215877"/>
    <w:rsid w:val="002161A4"/>
    <w:rsid w:val="00224658"/>
    <w:rsid w:val="00225131"/>
    <w:rsid w:val="00225C5D"/>
    <w:rsid w:val="00225F2B"/>
    <w:rsid w:val="00226AFD"/>
    <w:rsid w:val="002272EF"/>
    <w:rsid w:val="00236DCB"/>
    <w:rsid w:val="0024000A"/>
    <w:rsid w:val="00240472"/>
    <w:rsid w:val="002426A7"/>
    <w:rsid w:val="00251679"/>
    <w:rsid w:val="00251F86"/>
    <w:rsid w:val="002538D9"/>
    <w:rsid w:val="0025424D"/>
    <w:rsid w:val="00256075"/>
    <w:rsid w:val="00256566"/>
    <w:rsid w:val="00260BAE"/>
    <w:rsid w:val="00260C2C"/>
    <w:rsid w:val="002612FD"/>
    <w:rsid w:val="00262EC6"/>
    <w:rsid w:val="00263600"/>
    <w:rsid w:val="00266BC0"/>
    <w:rsid w:val="00272979"/>
    <w:rsid w:val="002758A6"/>
    <w:rsid w:val="00281CF1"/>
    <w:rsid w:val="00281F45"/>
    <w:rsid w:val="00285343"/>
    <w:rsid w:val="00286CBD"/>
    <w:rsid w:val="00290E44"/>
    <w:rsid w:val="00290F86"/>
    <w:rsid w:val="00291083"/>
    <w:rsid w:val="002966A9"/>
    <w:rsid w:val="002A369F"/>
    <w:rsid w:val="002A7031"/>
    <w:rsid w:val="002B209A"/>
    <w:rsid w:val="002B4393"/>
    <w:rsid w:val="002B4FCA"/>
    <w:rsid w:val="002B6556"/>
    <w:rsid w:val="002B6671"/>
    <w:rsid w:val="002B68DB"/>
    <w:rsid w:val="002C1553"/>
    <w:rsid w:val="002C22C1"/>
    <w:rsid w:val="002C39D1"/>
    <w:rsid w:val="002C4C65"/>
    <w:rsid w:val="002C5985"/>
    <w:rsid w:val="002D25F9"/>
    <w:rsid w:val="002D4AED"/>
    <w:rsid w:val="002D5DFC"/>
    <w:rsid w:val="002D6272"/>
    <w:rsid w:val="002E2ECA"/>
    <w:rsid w:val="002E4ADC"/>
    <w:rsid w:val="002E5FE4"/>
    <w:rsid w:val="002E6ABD"/>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E9E"/>
    <w:rsid w:val="00313EDF"/>
    <w:rsid w:val="00313FE4"/>
    <w:rsid w:val="00316676"/>
    <w:rsid w:val="00320457"/>
    <w:rsid w:val="003221E9"/>
    <w:rsid w:val="003241A3"/>
    <w:rsid w:val="003248D1"/>
    <w:rsid w:val="003261A6"/>
    <w:rsid w:val="00326724"/>
    <w:rsid w:val="0033097B"/>
    <w:rsid w:val="00332A65"/>
    <w:rsid w:val="00332FE3"/>
    <w:rsid w:val="00336821"/>
    <w:rsid w:val="00341CAD"/>
    <w:rsid w:val="00344FDC"/>
    <w:rsid w:val="00347428"/>
    <w:rsid w:val="0034786E"/>
    <w:rsid w:val="00351769"/>
    <w:rsid w:val="00351960"/>
    <w:rsid w:val="00351CEC"/>
    <w:rsid w:val="00352800"/>
    <w:rsid w:val="00352A27"/>
    <w:rsid w:val="0035487C"/>
    <w:rsid w:val="003557B1"/>
    <w:rsid w:val="00356A50"/>
    <w:rsid w:val="00357570"/>
    <w:rsid w:val="00362030"/>
    <w:rsid w:val="00363FE9"/>
    <w:rsid w:val="0036715B"/>
    <w:rsid w:val="00367F60"/>
    <w:rsid w:val="0037034E"/>
    <w:rsid w:val="003711F3"/>
    <w:rsid w:val="00376BF4"/>
    <w:rsid w:val="00377752"/>
    <w:rsid w:val="00380C64"/>
    <w:rsid w:val="00381EB7"/>
    <w:rsid w:val="00382814"/>
    <w:rsid w:val="00383EC5"/>
    <w:rsid w:val="00386096"/>
    <w:rsid w:val="00386528"/>
    <w:rsid w:val="00390D19"/>
    <w:rsid w:val="00390D7B"/>
    <w:rsid w:val="003920ED"/>
    <w:rsid w:val="003971AB"/>
    <w:rsid w:val="003A016A"/>
    <w:rsid w:val="003A2AA8"/>
    <w:rsid w:val="003A2BCC"/>
    <w:rsid w:val="003A3114"/>
    <w:rsid w:val="003A4FC7"/>
    <w:rsid w:val="003A5C76"/>
    <w:rsid w:val="003A6413"/>
    <w:rsid w:val="003A6CCA"/>
    <w:rsid w:val="003A6E9F"/>
    <w:rsid w:val="003B0780"/>
    <w:rsid w:val="003B1A71"/>
    <w:rsid w:val="003B4359"/>
    <w:rsid w:val="003B44D0"/>
    <w:rsid w:val="003B5816"/>
    <w:rsid w:val="003C1BBC"/>
    <w:rsid w:val="003C1E4D"/>
    <w:rsid w:val="003C22DF"/>
    <w:rsid w:val="003C2B1D"/>
    <w:rsid w:val="003C2E56"/>
    <w:rsid w:val="003C3E68"/>
    <w:rsid w:val="003C457B"/>
    <w:rsid w:val="003C6AB2"/>
    <w:rsid w:val="003C6D82"/>
    <w:rsid w:val="003D0281"/>
    <w:rsid w:val="003D277E"/>
    <w:rsid w:val="003D41D8"/>
    <w:rsid w:val="003D5877"/>
    <w:rsid w:val="003D6504"/>
    <w:rsid w:val="003D689D"/>
    <w:rsid w:val="003D6F3E"/>
    <w:rsid w:val="003E0757"/>
    <w:rsid w:val="003E0B53"/>
    <w:rsid w:val="003E16D8"/>
    <w:rsid w:val="003E1B16"/>
    <w:rsid w:val="003E2E2E"/>
    <w:rsid w:val="003E66EC"/>
    <w:rsid w:val="003F030F"/>
    <w:rsid w:val="003F0B70"/>
    <w:rsid w:val="003F2A86"/>
    <w:rsid w:val="004028D5"/>
    <w:rsid w:val="004045E4"/>
    <w:rsid w:val="0041259C"/>
    <w:rsid w:val="00413790"/>
    <w:rsid w:val="00416FC8"/>
    <w:rsid w:val="00417D78"/>
    <w:rsid w:val="00420BE7"/>
    <w:rsid w:val="00420FB8"/>
    <w:rsid w:val="00421B40"/>
    <w:rsid w:val="00422258"/>
    <w:rsid w:val="0042584E"/>
    <w:rsid w:val="00426FD6"/>
    <w:rsid w:val="00430E90"/>
    <w:rsid w:val="00431140"/>
    <w:rsid w:val="00432081"/>
    <w:rsid w:val="0043213A"/>
    <w:rsid w:val="00432932"/>
    <w:rsid w:val="00433909"/>
    <w:rsid w:val="00433CFE"/>
    <w:rsid w:val="00435C42"/>
    <w:rsid w:val="00435CF2"/>
    <w:rsid w:val="00436AEA"/>
    <w:rsid w:val="004376BD"/>
    <w:rsid w:val="004428DE"/>
    <w:rsid w:val="00446636"/>
    <w:rsid w:val="00446C45"/>
    <w:rsid w:val="00447064"/>
    <w:rsid w:val="00447C11"/>
    <w:rsid w:val="00450385"/>
    <w:rsid w:val="004504EA"/>
    <w:rsid w:val="00451EE0"/>
    <w:rsid w:val="00452EE3"/>
    <w:rsid w:val="004570AC"/>
    <w:rsid w:val="004579CF"/>
    <w:rsid w:val="0046001A"/>
    <w:rsid w:val="00461C2F"/>
    <w:rsid w:val="00463EF6"/>
    <w:rsid w:val="004654ED"/>
    <w:rsid w:val="00465988"/>
    <w:rsid w:val="004701BE"/>
    <w:rsid w:val="00472110"/>
    <w:rsid w:val="00473B9D"/>
    <w:rsid w:val="00481AF8"/>
    <w:rsid w:val="00484BB9"/>
    <w:rsid w:val="00484E6D"/>
    <w:rsid w:val="004850B1"/>
    <w:rsid w:val="0048657A"/>
    <w:rsid w:val="00491C25"/>
    <w:rsid w:val="00491D53"/>
    <w:rsid w:val="004958FC"/>
    <w:rsid w:val="004A105A"/>
    <w:rsid w:val="004A22E8"/>
    <w:rsid w:val="004A2F77"/>
    <w:rsid w:val="004A3386"/>
    <w:rsid w:val="004A3AB1"/>
    <w:rsid w:val="004A41F8"/>
    <w:rsid w:val="004A5970"/>
    <w:rsid w:val="004A631D"/>
    <w:rsid w:val="004A78B7"/>
    <w:rsid w:val="004B0BA0"/>
    <w:rsid w:val="004B0EA7"/>
    <w:rsid w:val="004B27FB"/>
    <w:rsid w:val="004B376C"/>
    <w:rsid w:val="004B53C8"/>
    <w:rsid w:val="004B7673"/>
    <w:rsid w:val="004B7ABF"/>
    <w:rsid w:val="004C13AF"/>
    <w:rsid w:val="004C1719"/>
    <w:rsid w:val="004C2158"/>
    <w:rsid w:val="004C2609"/>
    <w:rsid w:val="004C2B25"/>
    <w:rsid w:val="004C4371"/>
    <w:rsid w:val="004C5653"/>
    <w:rsid w:val="004C6117"/>
    <w:rsid w:val="004C66D0"/>
    <w:rsid w:val="004D09F0"/>
    <w:rsid w:val="004D0D74"/>
    <w:rsid w:val="004D149E"/>
    <w:rsid w:val="004D1C38"/>
    <w:rsid w:val="004D1CB3"/>
    <w:rsid w:val="004D430C"/>
    <w:rsid w:val="004D5A7A"/>
    <w:rsid w:val="004D7385"/>
    <w:rsid w:val="004D7A51"/>
    <w:rsid w:val="004E2468"/>
    <w:rsid w:val="004F4A12"/>
    <w:rsid w:val="00500707"/>
    <w:rsid w:val="00500B49"/>
    <w:rsid w:val="005023B5"/>
    <w:rsid w:val="00504E6C"/>
    <w:rsid w:val="005054CF"/>
    <w:rsid w:val="00506F60"/>
    <w:rsid w:val="005079E0"/>
    <w:rsid w:val="00511FB8"/>
    <w:rsid w:val="00512745"/>
    <w:rsid w:val="00513062"/>
    <w:rsid w:val="00513631"/>
    <w:rsid w:val="0051566C"/>
    <w:rsid w:val="00516197"/>
    <w:rsid w:val="005177DA"/>
    <w:rsid w:val="005251AD"/>
    <w:rsid w:val="00527545"/>
    <w:rsid w:val="00527A54"/>
    <w:rsid w:val="005304C2"/>
    <w:rsid w:val="005310CC"/>
    <w:rsid w:val="00531B35"/>
    <w:rsid w:val="005352A6"/>
    <w:rsid w:val="005357A0"/>
    <w:rsid w:val="00540357"/>
    <w:rsid w:val="0054336E"/>
    <w:rsid w:val="0054683B"/>
    <w:rsid w:val="005469C0"/>
    <w:rsid w:val="0055068A"/>
    <w:rsid w:val="005541FB"/>
    <w:rsid w:val="0055672D"/>
    <w:rsid w:val="005568A8"/>
    <w:rsid w:val="0056041A"/>
    <w:rsid w:val="00560EF2"/>
    <w:rsid w:val="00563F6D"/>
    <w:rsid w:val="005648EE"/>
    <w:rsid w:val="005649CA"/>
    <w:rsid w:val="005703B3"/>
    <w:rsid w:val="0057684A"/>
    <w:rsid w:val="00577E80"/>
    <w:rsid w:val="005814FE"/>
    <w:rsid w:val="00587C49"/>
    <w:rsid w:val="00587E1E"/>
    <w:rsid w:val="00591431"/>
    <w:rsid w:val="00596925"/>
    <w:rsid w:val="00597D29"/>
    <w:rsid w:val="005A0143"/>
    <w:rsid w:val="005A1E00"/>
    <w:rsid w:val="005A4046"/>
    <w:rsid w:val="005A4F5D"/>
    <w:rsid w:val="005A6174"/>
    <w:rsid w:val="005A7145"/>
    <w:rsid w:val="005A7C55"/>
    <w:rsid w:val="005B0B30"/>
    <w:rsid w:val="005B105E"/>
    <w:rsid w:val="005B378E"/>
    <w:rsid w:val="005C0A61"/>
    <w:rsid w:val="005C2175"/>
    <w:rsid w:val="005C22EF"/>
    <w:rsid w:val="005C7DDF"/>
    <w:rsid w:val="005D437A"/>
    <w:rsid w:val="005D4418"/>
    <w:rsid w:val="005D4631"/>
    <w:rsid w:val="005D4958"/>
    <w:rsid w:val="005D4A2B"/>
    <w:rsid w:val="005D72CA"/>
    <w:rsid w:val="005E0CEE"/>
    <w:rsid w:val="005E103C"/>
    <w:rsid w:val="005E3915"/>
    <w:rsid w:val="005E661A"/>
    <w:rsid w:val="005F1F9D"/>
    <w:rsid w:val="005F3932"/>
    <w:rsid w:val="005F394F"/>
    <w:rsid w:val="005F4AE3"/>
    <w:rsid w:val="005F6711"/>
    <w:rsid w:val="00600B78"/>
    <w:rsid w:val="00601288"/>
    <w:rsid w:val="00601A46"/>
    <w:rsid w:val="006074E1"/>
    <w:rsid w:val="00610C8D"/>
    <w:rsid w:val="00613074"/>
    <w:rsid w:val="00620543"/>
    <w:rsid w:val="0062062A"/>
    <w:rsid w:val="00621E88"/>
    <w:rsid w:val="00622259"/>
    <w:rsid w:val="00622DC8"/>
    <w:rsid w:val="00623022"/>
    <w:rsid w:val="00624FA6"/>
    <w:rsid w:val="00625362"/>
    <w:rsid w:val="00625378"/>
    <w:rsid w:val="00625946"/>
    <w:rsid w:val="00627983"/>
    <w:rsid w:val="00630F15"/>
    <w:rsid w:val="00631710"/>
    <w:rsid w:val="0063186C"/>
    <w:rsid w:val="00631EBB"/>
    <w:rsid w:val="0063277A"/>
    <w:rsid w:val="00635957"/>
    <w:rsid w:val="006361BA"/>
    <w:rsid w:val="006377B6"/>
    <w:rsid w:val="00637CD6"/>
    <w:rsid w:val="006446DD"/>
    <w:rsid w:val="00646A68"/>
    <w:rsid w:val="00647335"/>
    <w:rsid w:val="00650186"/>
    <w:rsid w:val="006508CA"/>
    <w:rsid w:val="00652D78"/>
    <w:rsid w:val="006533C3"/>
    <w:rsid w:val="006551B8"/>
    <w:rsid w:val="006635C0"/>
    <w:rsid w:val="00665358"/>
    <w:rsid w:val="006653B5"/>
    <w:rsid w:val="006735F4"/>
    <w:rsid w:val="0067455A"/>
    <w:rsid w:val="00674659"/>
    <w:rsid w:val="00676075"/>
    <w:rsid w:val="00680E23"/>
    <w:rsid w:val="0068509B"/>
    <w:rsid w:val="006876B6"/>
    <w:rsid w:val="00691A06"/>
    <w:rsid w:val="00694865"/>
    <w:rsid w:val="0069604A"/>
    <w:rsid w:val="0069705B"/>
    <w:rsid w:val="00697683"/>
    <w:rsid w:val="006A0767"/>
    <w:rsid w:val="006A0D54"/>
    <w:rsid w:val="006A50E3"/>
    <w:rsid w:val="006A5279"/>
    <w:rsid w:val="006B68D8"/>
    <w:rsid w:val="006B6D83"/>
    <w:rsid w:val="006B7D4F"/>
    <w:rsid w:val="006C1381"/>
    <w:rsid w:val="006C1856"/>
    <w:rsid w:val="006C4B34"/>
    <w:rsid w:val="006C5683"/>
    <w:rsid w:val="006D016E"/>
    <w:rsid w:val="006D0CC1"/>
    <w:rsid w:val="006D0E98"/>
    <w:rsid w:val="006D0FB6"/>
    <w:rsid w:val="006D1F16"/>
    <w:rsid w:val="006D75CD"/>
    <w:rsid w:val="006D765D"/>
    <w:rsid w:val="006E035D"/>
    <w:rsid w:val="006E68F3"/>
    <w:rsid w:val="006E7327"/>
    <w:rsid w:val="006E7560"/>
    <w:rsid w:val="006E7A7E"/>
    <w:rsid w:val="006F19E3"/>
    <w:rsid w:val="006F378F"/>
    <w:rsid w:val="006F4689"/>
    <w:rsid w:val="006F4798"/>
    <w:rsid w:val="007015FF"/>
    <w:rsid w:val="00701B10"/>
    <w:rsid w:val="00701D85"/>
    <w:rsid w:val="00701E18"/>
    <w:rsid w:val="00702801"/>
    <w:rsid w:val="00706916"/>
    <w:rsid w:val="00710E92"/>
    <w:rsid w:val="0071167B"/>
    <w:rsid w:val="00714BBD"/>
    <w:rsid w:val="00714EDE"/>
    <w:rsid w:val="0071547D"/>
    <w:rsid w:val="00717F52"/>
    <w:rsid w:val="00722FCE"/>
    <w:rsid w:val="007233D2"/>
    <w:rsid w:val="0072385C"/>
    <w:rsid w:val="0072423E"/>
    <w:rsid w:val="00726171"/>
    <w:rsid w:val="00731B99"/>
    <w:rsid w:val="00733D46"/>
    <w:rsid w:val="00733F4B"/>
    <w:rsid w:val="00734630"/>
    <w:rsid w:val="007374B9"/>
    <w:rsid w:val="00740A8F"/>
    <w:rsid w:val="00742876"/>
    <w:rsid w:val="00746078"/>
    <w:rsid w:val="00746B4F"/>
    <w:rsid w:val="00747A24"/>
    <w:rsid w:val="007607E8"/>
    <w:rsid w:val="007608FF"/>
    <w:rsid w:val="00760BD6"/>
    <w:rsid w:val="007626D9"/>
    <w:rsid w:val="00765357"/>
    <w:rsid w:val="00771ACE"/>
    <w:rsid w:val="00772942"/>
    <w:rsid w:val="00774F15"/>
    <w:rsid w:val="00775EF4"/>
    <w:rsid w:val="00776C2F"/>
    <w:rsid w:val="00777336"/>
    <w:rsid w:val="0077778C"/>
    <w:rsid w:val="00780130"/>
    <w:rsid w:val="0078013C"/>
    <w:rsid w:val="00781A44"/>
    <w:rsid w:val="00784486"/>
    <w:rsid w:val="0079113B"/>
    <w:rsid w:val="00792FD0"/>
    <w:rsid w:val="00797AA8"/>
    <w:rsid w:val="007A0FB2"/>
    <w:rsid w:val="007A4F58"/>
    <w:rsid w:val="007A551B"/>
    <w:rsid w:val="007A6725"/>
    <w:rsid w:val="007A7ADD"/>
    <w:rsid w:val="007B002D"/>
    <w:rsid w:val="007B2962"/>
    <w:rsid w:val="007B4476"/>
    <w:rsid w:val="007B559A"/>
    <w:rsid w:val="007C00DA"/>
    <w:rsid w:val="007C0E16"/>
    <w:rsid w:val="007C1163"/>
    <w:rsid w:val="007C5959"/>
    <w:rsid w:val="007C7B09"/>
    <w:rsid w:val="007D073E"/>
    <w:rsid w:val="007D47BD"/>
    <w:rsid w:val="007D7C47"/>
    <w:rsid w:val="007D7FFB"/>
    <w:rsid w:val="007E1A43"/>
    <w:rsid w:val="007E3C0E"/>
    <w:rsid w:val="007E572E"/>
    <w:rsid w:val="007E718E"/>
    <w:rsid w:val="007F128F"/>
    <w:rsid w:val="007F33AE"/>
    <w:rsid w:val="0080168A"/>
    <w:rsid w:val="0080196A"/>
    <w:rsid w:val="008023A6"/>
    <w:rsid w:val="008115C5"/>
    <w:rsid w:val="00812C70"/>
    <w:rsid w:val="0081418A"/>
    <w:rsid w:val="008149B0"/>
    <w:rsid w:val="008177D7"/>
    <w:rsid w:val="00822D9F"/>
    <w:rsid w:val="00826203"/>
    <w:rsid w:val="008272A5"/>
    <w:rsid w:val="008277A6"/>
    <w:rsid w:val="00833183"/>
    <w:rsid w:val="0083470D"/>
    <w:rsid w:val="00837D85"/>
    <w:rsid w:val="008423A3"/>
    <w:rsid w:val="00846074"/>
    <w:rsid w:val="00846D9D"/>
    <w:rsid w:val="0085211A"/>
    <w:rsid w:val="00856C0B"/>
    <w:rsid w:val="00860C22"/>
    <w:rsid w:val="0086142A"/>
    <w:rsid w:val="00861D88"/>
    <w:rsid w:val="00862D16"/>
    <w:rsid w:val="00867539"/>
    <w:rsid w:val="008706D4"/>
    <w:rsid w:val="0087362B"/>
    <w:rsid w:val="008741B0"/>
    <w:rsid w:val="00876FA4"/>
    <w:rsid w:val="00880168"/>
    <w:rsid w:val="00880CFD"/>
    <w:rsid w:val="00881B75"/>
    <w:rsid w:val="008827FC"/>
    <w:rsid w:val="00882D3C"/>
    <w:rsid w:val="008847ED"/>
    <w:rsid w:val="00887D24"/>
    <w:rsid w:val="00892D3B"/>
    <w:rsid w:val="00893757"/>
    <w:rsid w:val="00894765"/>
    <w:rsid w:val="00895154"/>
    <w:rsid w:val="00897953"/>
    <w:rsid w:val="00897EDC"/>
    <w:rsid w:val="008A17EB"/>
    <w:rsid w:val="008A1B66"/>
    <w:rsid w:val="008A2F12"/>
    <w:rsid w:val="008A5134"/>
    <w:rsid w:val="008B26A5"/>
    <w:rsid w:val="008B6CCD"/>
    <w:rsid w:val="008C32AB"/>
    <w:rsid w:val="008C5774"/>
    <w:rsid w:val="008C579E"/>
    <w:rsid w:val="008D0FCF"/>
    <w:rsid w:val="008D37F6"/>
    <w:rsid w:val="008D3A63"/>
    <w:rsid w:val="008D4614"/>
    <w:rsid w:val="008D5B54"/>
    <w:rsid w:val="008D5F14"/>
    <w:rsid w:val="008D6266"/>
    <w:rsid w:val="008D7983"/>
    <w:rsid w:val="008D7EFA"/>
    <w:rsid w:val="008E390E"/>
    <w:rsid w:val="008E3BE0"/>
    <w:rsid w:val="008E7155"/>
    <w:rsid w:val="008F09A9"/>
    <w:rsid w:val="008F48D5"/>
    <w:rsid w:val="008F51FF"/>
    <w:rsid w:val="00900963"/>
    <w:rsid w:val="0090492C"/>
    <w:rsid w:val="009102DD"/>
    <w:rsid w:val="00910FE6"/>
    <w:rsid w:val="009121FF"/>
    <w:rsid w:val="009129DC"/>
    <w:rsid w:val="00913148"/>
    <w:rsid w:val="00915922"/>
    <w:rsid w:val="00915A74"/>
    <w:rsid w:val="009208D8"/>
    <w:rsid w:val="00922DBD"/>
    <w:rsid w:val="0092387F"/>
    <w:rsid w:val="00923B0E"/>
    <w:rsid w:val="00925F3A"/>
    <w:rsid w:val="00926505"/>
    <w:rsid w:val="009265C0"/>
    <w:rsid w:val="00926F0E"/>
    <w:rsid w:val="00930194"/>
    <w:rsid w:val="00935546"/>
    <w:rsid w:val="00935573"/>
    <w:rsid w:val="009356A2"/>
    <w:rsid w:val="0093617A"/>
    <w:rsid w:val="00936FDF"/>
    <w:rsid w:val="0093726B"/>
    <w:rsid w:val="00940E25"/>
    <w:rsid w:val="00941587"/>
    <w:rsid w:val="009469BE"/>
    <w:rsid w:val="0094797C"/>
    <w:rsid w:val="00947DC2"/>
    <w:rsid w:val="00950590"/>
    <w:rsid w:val="00950ADD"/>
    <w:rsid w:val="00951FDE"/>
    <w:rsid w:val="00954FC6"/>
    <w:rsid w:val="00957FBC"/>
    <w:rsid w:val="00960420"/>
    <w:rsid w:val="00960714"/>
    <w:rsid w:val="0096255F"/>
    <w:rsid w:val="009636D9"/>
    <w:rsid w:val="0096445B"/>
    <w:rsid w:val="00965D92"/>
    <w:rsid w:val="00967C6A"/>
    <w:rsid w:val="009704FB"/>
    <w:rsid w:val="0097527E"/>
    <w:rsid w:val="00976E52"/>
    <w:rsid w:val="00977E45"/>
    <w:rsid w:val="009807AB"/>
    <w:rsid w:val="009832ED"/>
    <w:rsid w:val="00985A9A"/>
    <w:rsid w:val="00985FC1"/>
    <w:rsid w:val="00991785"/>
    <w:rsid w:val="0099297A"/>
    <w:rsid w:val="00993E9F"/>
    <w:rsid w:val="00994B34"/>
    <w:rsid w:val="00994EF3"/>
    <w:rsid w:val="00995804"/>
    <w:rsid w:val="00997577"/>
    <w:rsid w:val="009A03A4"/>
    <w:rsid w:val="009A200B"/>
    <w:rsid w:val="009A4EB4"/>
    <w:rsid w:val="009B2E28"/>
    <w:rsid w:val="009B48C4"/>
    <w:rsid w:val="009B54CB"/>
    <w:rsid w:val="009B73C8"/>
    <w:rsid w:val="009C1C52"/>
    <w:rsid w:val="009C29B1"/>
    <w:rsid w:val="009C2EA4"/>
    <w:rsid w:val="009C7CDB"/>
    <w:rsid w:val="009D1A9A"/>
    <w:rsid w:val="009D7913"/>
    <w:rsid w:val="009D7B56"/>
    <w:rsid w:val="009E1A09"/>
    <w:rsid w:val="009E318C"/>
    <w:rsid w:val="009E4D2D"/>
    <w:rsid w:val="009E63A4"/>
    <w:rsid w:val="009E7589"/>
    <w:rsid w:val="009E76C1"/>
    <w:rsid w:val="009F2F77"/>
    <w:rsid w:val="009F3981"/>
    <w:rsid w:val="009F4D87"/>
    <w:rsid w:val="009F70E9"/>
    <w:rsid w:val="009F7168"/>
    <w:rsid w:val="00A00034"/>
    <w:rsid w:val="00A00B4A"/>
    <w:rsid w:val="00A07664"/>
    <w:rsid w:val="00A0777B"/>
    <w:rsid w:val="00A101DF"/>
    <w:rsid w:val="00A10251"/>
    <w:rsid w:val="00A13230"/>
    <w:rsid w:val="00A15AA8"/>
    <w:rsid w:val="00A16360"/>
    <w:rsid w:val="00A21AD2"/>
    <w:rsid w:val="00A25D84"/>
    <w:rsid w:val="00A3139E"/>
    <w:rsid w:val="00A31D12"/>
    <w:rsid w:val="00A36AD9"/>
    <w:rsid w:val="00A4337D"/>
    <w:rsid w:val="00A452FB"/>
    <w:rsid w:val="00A455DA"/>
    <w:rsid w:val="00A507CF"/>
    <w:rsid w:val="00A50878"/>
    <w:rsid w:val="00A51787"/>
    <w:rsid w:val="00A5412F"/>
    <w:rsid w:val="00A56ED0"/>
    <w:rsid w:val="00A579D3"/>
    <w:rsid w:val="00A60DFF"/>
    <w:rsid w:val="00A62298"/>
    <w:rsid w:val="00A66894"/>
    <w:rsid w:val="00A702D2"/>
    <w:rsid w:val="00A75449"/>
    <w:rsid w:val="00A8047B"/>
    <w:rsid w:val="00A804DB"/>
    <w:rsid w:val="00A809BC"/>
    <w:rsid w:val="00A80EE0"/>
    <w:rsid w:val="00A81AA5"/>
    <w:rsid w:val="00A85694"/>
    <w:rsid w:val="00A87028"/>
    <w:rsid w:val="00A90299"/>
    <w:rsid w:val="00A90C0C"/>
    <w:rsid w:val="00A93BF0"/>
    <w:rsid w:val="00A94C94"/>
    <w:rsid w:val="00A96295"/>
    <w:rsid w:val="00A968AB"/>
    <w:rsid w:val="00A97DD5"/>
    <w:rsid w:val="00AA463E"/>
    <w:rsid w:val="00AA69EF"/>
    <w:rsid w:val="00AB2DA2"/>
    <w:rsid w:val="00AB3915"/>
    <w:rsid w:val="00AB4DE5"/>
    <w:rsid w:val="00AB60CB"/>
    <w:rsid w:val="00AB6552"/>
    <w:rsid w:val="00AB7B24"/>
    <w:rsid w:val="00AC0309"/>
    <w:rsid w:val="00AC0716"/>
    <w:rsid w:val="00AC5BEF"/>
    <w:rsid w:val="00AC68BE"/>
    <w:rsid w:val="00AC7DD6"/>
    <w:rsid w:val="00AD0028"/>
    <w:rsid w:val="00AD3477"/>
    <w:rsid w:val="00AD5C29"/>
    <w:rsid w:val="00AE2F29"/>
    <w:rsid w:val="00AE4FA9"/>
    <w:rsid w:val="00AE5F4A"/>
    <w:rsid w:val="00AE7C82"/>
    <w:rsid w:val="00AF2CAB"/>
    <w:rsid w:val="00AF30A5"/>
    <w:rsid w:val="00AF3186"/>
    <w:rsid w:val="00AF5B6E"/>
    <w:rsid w:val="00B00616"/>
    <w:rsid w:val="00B057CB"/>
    <w:rsid w:val="00B058E2"/>
    <w:rsid w:val="00B10136"/>
    <w:rsid w:val="00B11637"/>
    <w:rsid w:val="00B116B8"/>
    <w:rsid w:val="00B17022"/>
    <w:rsid w:val="00B23EB4"/>
    <w:rsid w:val="00B27FD9"/>
    <w:rsid w:val="00B30CA1"/>
    <w:rsid w:val="00B320DC"/>
    <w:rsid w:val="00B35A8E"/>
    <w:rsid w:val="00B36FAF"/>
    <w:rsid w:val="00B37860"/>
    <w:rsid w:val="00B40062"/>
    <w:rsid w:val="00B4014F"/>
    <w:rsid w:val="00B40ED7"/>
    <w:rsid w:val="00B432A2"/>
    <w:rsid w:val="00B45635"/>
    <w:rsid w:val="00B50F34"/>
    <w:rsid w:val="00B52044"/>
    <w:rsid w:val="00B53898"/>
    <w:rsid w:val="00B539A1"/>
    <w:rsid w:val="00B53C15"/>
    <w:rsid w:val="00B544C1"/>
    <w:rsid w:val="00B548A8"/>
    <w:rsid w:val="00B57DA6"/>
    <w:rsid w:val="00B615CC"/>
    <w:rsid w:val="00B6291B"/>
    <w:rsid w:val="00B6539C"/>
    <w:rsid w:val="00B65F28"/>
    <w:rsid w:val="00B7023F"/>
    <w:rsid w:val="00B70844"/>
    <w:rsid w:val="00B7268A"/>
    <w:rsid w:val="00B762A2"/>
    <w:rsid w:val="00B7630C"/>
    <w:rsid w:val="00B81F70"/>
    <w:rsid w:val="00B828CB"/>
    <w:rsid w:val="00B85482"/>
    <w:rsid w:val="00B93137"/>
    <w:rsid w:val="00B9451F"/>
    <w:rsid w:val="00B955C4"/>
    <w:rsid w:val="00B97897"/>
    <w:rsid w:val="00BA1172"/>
    <w:rsid w:val="00BA2BEC"/>
    <w:rsid w:val="00BA68EC"/>
    <w:rsid w:val="00BB29EB"/>
    <w:rsid w:val="00BB32F0"/>
    <w:rsid w:val="00BB473F"/>
    <w:rsid w:val="00BC05A6"/>
    <w:rsid w:val="00BC10C2"/>
    <w:rsid w:val="00BC1448"/>
    <w:rsid w:val="00BC1CFB"/>
    <w:rsid w:val="00BD10A6"/>
    <w:rsid w:val="00BD2895"/>
    <w:rsid w:val="00BD3393"/>
    <w:rsid w:val="00BD3CB9"/>
    <w:rsid w:val="00BD3E31"/>
    <w:rsid w:val="00BD78DB"/>
    <w:rsid w:val="00BE1FA8"/>
    <w:rsid w:val="00BE50AA"/>
    <w:rsid w:val="00BE5121"/>
    <w:rsid w:val="00BE7048"/>
    <w:rsid w:val="00BE7316"/>
    <w:rsid w:val="00BE7C55"/>
    <w:rsid w:val="00BF00E3"/>
    <w:rsid w:val="00BF0C5F"/>
    <w:rsid w:val="00C04C22"/>
    <w:rsid w:val="00C06503"/>
    <w:rsid w:val="00C10827"/>
    <w:rsid w:val="00C11964"/>
    <w:rsid w:val="00C12560"/>
    <w:rsid w:val="00C12D3D"/>
    <w:rsid w:val="00C14277"/>
    <w:rsid w:val="00C17615"/>
    <w:rsid w:val="00C236F4"/>
    <w:rsid w:val="00C25C0F"/>
    <w:rsid w:val="00C31605"/>
    <w:rsid w:val="00C31A20"/>
    <w:rsid w:val="00C3321C"/>
    <w:rsid w:val="00C346F5"/>
    <w:rsid w:val="00C356E8"/>
    <w:rsid w:val="00C471ED"/>
    <w:rsid w:val="00C5056D"/>
    <w:rsid w:val="00C50F95"/>
    <w:rsid w:val="00C607C9"/>
    <w:rsid w:val="00C64B15"/>
    <w:rsid w:val="00C65823"/>
    <w:rsid w:val="00C6615E"/>
    <w:rsid w:val="00C67F24"/>
    <w:rsid w:val="00C72782"/>
    <w:rsid w:val="00C730A2"/>
    <w:rsid w:val="00C75154"/>
    <w:rsid w:val="00C75F85"/>
    <w:rsid w:val="00C76D9F"/>
    <w:rsid w:val="00C83898"/>
    <w:rsid w:val="00C83A31"/>
    <w:rsid w:val="00C867BC"/>
    <w:rsid w:val="00C924ED"/>
    <w:rsid w:val="00C93A21"/>
    <w:rsid w:val="00C94E7B"/>
    <w:rsid w:val="00C954D7"/>
    <w:rsid w:val="00CA3630"/>
    <w:rsid w:val="00CA3C2E"/>
    <w:rsid w:val="00CA4EA1"/>
    <w:rsid w:val="00CA5E1B"/>
    <w:rsid w:val="00CA6F12"/>
    <w:rsid w:val="00CA74C4"/>
    <w:rsid w:val="00CA75DC"/>
    <w:rsid w:val="00CA7800"/>
    <w:rsid w:val="00CA7D25"/>
    <w:rsid w:val="00CB070F"/>
    <w:rsid w:val="00CB5849"/>
    <w:rsid w:val="00CB5D46"/>
    <w:rsid w:val="00CB5E73"/>
    <w:rsid w:val="00CB5E98"/>
    <w:rsid w:val="00CB6330"/>
    <w:rsid w:val="00CC39D2"/>
    <w:rsid w:val="00CC42C0"/>
    <w:rsid w:val="00CD4346"/>
    <w:rsid w:val="00CD70EB"/>
    <w:rsid w:val="00CD719F"/>
    <w:rsid w:val="00CE19AC"/>
    <w:rsid w:val="00CE3410"/>
    <w:rsid w:val="00CE5938"/>
    <w:rsid w:val="00CE7F33"/>
    <w:rsid w:val="00CF08FF"/>
    <w:rsid w:val="00CF4CC3"/>
    <w:rsid w:val="00CF549A"/>
    <w:rsid w:val="00D00947"/>
    <w:rsid w:val="00D06875"/>
    <w:rsid w:val="00D122BE"/>
    <w:rsid w:val="00D14592"/>
    <w:rsid w:val="00D14D19"/>
    <w:rsid w:val="00D1530C"/>
    <w:rsid w:val="00D1613E"/>
    <w:rsid w:val="00D1658D"/>
    <w:rsid w:val="00D178C2"/>
    <w:rsid w:val="00D20C24"/>
    <w:rsid w:val="00D2126B"/>
    <w:rsid w:val="00D22C38"/>
    <w:rsid w:val="00D22CEB"/>
    <w:rsid w:val="00D253BF"/>
    <w:rsid w:val="00D25970"/>
    <w:rsid w:val="00D31D9A"/>
    <w:rsid w:val="00D34E70"/>
    <w:rsid w:val="00D34F74"/>
    <w:rsid w:val="00D35A55"/>
    <w:rsid w:val="00D363E8"/>
    <w:rsid w:val="00D36D0C"/>
    <w:rsid w:val="00D41486"/>
    <w:rsid w:val="00D4173D"/>
    <w:rsid w:val="00D42CA7"/>
    <w:rsid w:val="00D42D54"/>
    <w:rsid w:val="00D43886"/>
    <w:rsid w:val="00D50089"/>
    <w:rsid w:val="00D517BA"/>
    <w:rsid w:val="00D54568"/>
    <w:rsid w:val="00D552EC"/>
    <w:rsid w:val="00D620D5"/>
    <w:rsid w:val="00D62469"/>
    <w:rsid w:val="00D635CE"/>
    <w:rsid w:val="00D64AE7"/>
    <w:rsid w:val="00D64E17"/>
    <w:rsid w:val="00D65068"/>
    <w:rsid w:val="00D7092D"/>
    <w:rsid w:val="00D76054"/>
    <w:rsid w:val="00D80A98"/>
    <w:rsid w:val="00D8769C"/>
    <w:rsid w:val="00D90F5D"/>
    <w:rsid w:val="00D95793"/>
    <w:rsid w:val="00DA5F89"/>
    <w:rsid w:val="00DA6586"/>
    <w:rsid w:val="00DA6C89"/>
    <w:rsid w:val="00DB034C"/>
    <w:rsid w:val="00DB5096"/>
    <w:rsid w:val="00DB7918"/>
    <w:rsid w:val="00DC3562"/>
    <w:rsid w:val="00DC6F5D"/>
    <w:rsid w:val="00DD269D"/>
    <w:rsid w:val="00DD4827"/>
    <w:rsid w:val="00DD7C82"/>
    <w:rsid w:val="00DE141D"/>
    <w:rsid w:val="00DE1518"/>
    <w:rsid w:val="00DE2088"/>
    <w:rsid w:val="00DE6A97"/>
    <w:rsid w:val="00DF184E"/>
    <w:rsid w:val="00DF29F0"/>
    <w:rsid w:val="00DF46CF"/>
    <w:rsid w:val="00DF6863"/>
    <w:rsid w:val="00E01C94"/>
    <w:rsid w:val="00E02F60"/>
    <w:rsid w:val="00E070F1"/>
    <w:rsid w:val="00E07BA5"/>
    <w:rsid w:val="00E10A8C"/>
    <w:rsid w:val="00E1701D"/>
    <w:rsid w:val="00E22CF0"/>
    <w:rsid w:val="00E24BDF"/>
    <w:rsid w:val="00E26DA7"/>
    <w:rsid w:val="00E2789D"/>
    <w:rsid w:val="00E31AB6"/>
    <w:rsid w:val="00E349BC"/>
    <w:rsid w:val="00E367F4"/>
    <w:rsid w:val="00E40304"/>
    <w:rsid w:val="00E41BB9"/>
    <w:rsid w:val="00E4348E"/>
    <w:rsid w:val="00E45898"/>
    <w:rsid w:val="00E468DD"/>
    <w:rsid w:val="00E50E01"/>
    <w:rsid w:val="00E510C9"/>
    <w:rsid w:val="00E55C4A"/>
    <w:rsid w:val="00E6212D"/>
    <w:rsid w:val="00E666BF"/>
    <w:rsid w:val="00E67BE7"/>
    <w:rsid w:val="00E70BE7"/>
    <w:rsid w:val="00E74111"/>
    <w:rsid w:val="00E742A2"/>
    <w:rsid w:val="00E760FB"/>
    <w:rsid w:val="00E801A1"/>
    <w:rsid w:val="00E81739"/>
    <w:rsid w:val="00E8236B"/>
    <w:rsid w:val="00E82BDD"/>
    <w:rsid w:val="00E8416D"/>
    <w:rsid w:val="00E844CC"/>
    <w:rsid w:val="00E855A5"/>
    <w:rsid w:val="00E91400"/>
    <w:rsid w:val="00E97DB3"/>
    <w:rsid w:val="00EA09D9"/>
    <w:rsid w:val="00EA1C2B"/>
    <w:rsid w:val="00EA2475"/>
    <w:rsid w:val="00EA3C72"/>
    <w:rsid w:val="00EA3F0B"/>
    <w:rsid w:val="00EA4674"/>
    <w:rsid w:val="00EA53D0"/>
    <w:rsid w:val="00EA632D"/>
    <w:rsid w:val="00EA78F2"/>
    <w:rsid w:val="00EB1FF2"/>
    <w:rsid w:val="00EB32BB"/>
    <w:rsid w:val="00EB362B"/>
    <w:rsid w:val="00EB4172"/>
    <w:rsid w:val="00EB6226"/>
    <w:rsid w:val="00EC0659"/>
    <w:rsid w:val="00EC361C"/>
    <w:rsid w:val="00EC647D"/>
    <w:rsid w:val="00EE1190"/>
    <w:rsid w:val="00EE11A0"/>
    <w:rsid w:val="00EE2334"/>
    <w:rsid w:val="00EE2569"/>
    <w:rsid w:val="00EE4519"/>
    <w:rsid w:val="00EE5AFB"/>
    <w:rsid w:val="00EE5CD9"/>
    <w:rsid w:val="00EF0CE5"/>
    <w:rsid w:val="00EF6ACD"/>
    <w:rsid w:val="00EF6CC8"/>
    <w:rsid w:val="00EF789C"/>
    <w:rsid w:val="00F007A0"/>
    <w:rsid w:val="00F1043A"/>
    <w:rsid w:val="00F10E14"/>
    <w:rsid w:val="00F1132A"/>
    <w:rsid w:val="00F1175C"/>
    <w:rsid w:val="00F14070"/>
    <w:rsid w:val="00F14A61"/>
    <w:rsid w:val="00F14D7C"/>
    <w:rsid w:val="00F14EC4"/>
    <w:rsid w:val="00F17B9C"/>
    <w:rsid w:val="00F20FAB"/>
    <w:rsid w:val="00F212C1"/>
    <w:rsid w:val="00F306DA"/>
    <w:rsid w:val="00F322A7"/>
    <w:rsid w:val="00F336FE"/>
    <w:rsid w:val="00F33E41"/>
    <w:rsid w:val="00F34649"/>
    <w:rsid w:val="00F34F88"/>
    <w:rsid w:val="00F42F29"/>
    <w:rsid w:val="00F4356A"/>
    <w:rsid w:val="00F450C9"/>
    <w:rsid w:val="00F450E7"/>
    <w:rsid w:val="00F46D5E"/>
    <w:rsid w:val="00F504AF"/>
    <w:rsid w:val="00F50C02"/>
    <w:rsid w:val="00F51122"/>
    <w:rsid w:val="00F511D1"/>
    <w:rsid w:val="00F51FCB"/>
    <w:rsid w:val="00F57A16"/>
    <w:rsid w:val="00F61549"/>
    <w:rsid w:val="00F61C1D"/>
    <w:rsid w:val="00F62E4B"/>
    <w:rsid w:val="00F63904"/>
    <w:rsid w:val="00F726D8"/>
    <w:rsid w:val="00F73FD6"/>
    <w:rsid w:val="00F751E8"/>
    <w:rsid w:val="00F76FF6"/>
    <w:rsid w:val="00F80207"/>
    <w:rsid w:val="00F80510"/>
    <w:rsid w:val="00F81314"/>
    <w:rsid w:val="00F83919"/>
    <w:rsid w:val="00F847DE"/>
    <w:rsid w:val="00F8532E"/>
    <w:rsid w:val="00F936F5"/>
    <w:rsid w:val="00F940B1"/>
    <w:rsid w:val="00F94961"/>
    <w:rsid w:val="00F94F85"/>
    <w:rsid w:val="00F962B5"/>
    <w:rsid w:val="00F97DFE"/>
    <w:rsid w:val="00FA10A9"/>
    <w:rsid w:val="00FA22E9"/>
    <w:rsid w:val="00FA4B61"/>
    <w:rsid w:val="00FB1692"/>
    <w:rsid w:val="00FB3016"/>
    <w:rsid w:val="00FB3CE8"/>
    <w:rsid w:val="00FB44B2"/>
    <w:rsid w:val="00FB71C1"/>
    <w:rsid w:val="00FB7362"/>
    <w:rsid w:val="00FC1065"/>
    <w:rsid w:val="00FC320C"/>
    <w:rsid w:val="00FC4FB1"/>
    <w:rsid w:val="00FD0418"/>
    <w:rsid w:val="00FD0C8F"/>
    <w:rsid w:val="00FD29A2"/>
    <w:rsid w:val="00FD2BFB"/>
    <w:rsid w:val="00FD32A2"/>
    <w:rsid w:val="00FD60CA"/>
    <w:rsid w:val="00FD6F76"/>
    <w:rsid w:val="00FE004A"/>
    <w:rsid w:val="00FE3169"/>
    <w:rsid w:val="00FE46EE"/>
    <w:rsid w:val="00FE4A41"/>
    <w:rsid w:val="00FE7419"/>
    <w:rsid w:val="00FF252A"/>
    <w:rsid w:val="00FF2A3E"/>
    <w:rsid w:val="00FF3D9D"/>
    <w:rsid w:val="00FF464B"/>
    <w:rsid w:val="00FF617A"/>
    <w:rsid w:val="00FF67BD"/>
    <w:rsid w:val="00FF729F"/>
    <w:rsid w:val="00FF781A"/>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BBDCC787-640A-4704-9F1A-7D015F87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EB6226"/>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AB60CB"/>
    <w:pPr>
      <w:spacing w:before="0" w:after="0" w:line="240" w:lineRule="auto"/>
    </w:pPr>
    <w:rPr>
      <w:szCs w:val="20"/>
    </w:rPr>
  </w:style>
  <w:style w:type="character" w:customStyle="1" w:styleId="FootnoteTextChar">
    <w:name w:val="Footnote Text Char"/>
    <w:basedOn w:val="DefaultParagraphFont"/>
    <w:link w:val="FootnoteText"/>
    <w:rsid w:val="00AB60CB"/>
    <w:rPr>
      <w:rFonts w:ascii="Arial" w:eastAsia="Times New Roman" w:hAnsi="Arial"/>
    </w:rPr>
  </w:style>
  <w:style w:type="character" w:styleId="FootnoteReference">
    <w:name w:val="footnote reference"/>
    <w:basedOn w:val="DefaultParagraphFont"/>
    <w:rsid w:val="00AB6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03950037">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Malcolm.Montgomery@nationalgas.com" TargetMode="External"/><Relationship Id="rId2" Type="http://schemas.openxmlformats.org/officeDocument/2006/relationships/customXml" Target="../customXml/item2.xml"/><Relationship Id="rId16" Type="http://schemas.openxmlformats.org/officeDocument/2006/relationships/hyperlink" Target="mailto:ghunter@barrowshipping.co.uk" TargetMode="External"/><Relationship Id="rId20" Type="http://schemas.openxmlformats.org/officeDocument/2006/relationships/hyperlink" Target="http://www.gasgovernance.co.uk/sites/default/files/Legal%20Text%20Guidance%20Document%20Revision%20v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gt-unc.co.uk/igt172-optional-service-for-physical-gas-entry-into-an-igt-pipeline-and-into-the-unc-total-system-marrying-to-unc-mod-08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e84ff3-1fa2-4b0e-bbc1-9d3729ac2ba9" xsi:nil="true"/>
    <lcf76f155ced4ddcb4097134ff3c332f xmlns="028dae23-1077-43f0-af6a-f64793792108">
      <Terms xmlns="http://schemas.microsoft.com/office/infopath/2007/PartnerControls"/>
    </lcf76f155ced4ddcb4097134ff3c332f>
    <_Flow_SignoffStatus xmlns="028dae23-1077-43f0-af6a-f64793792108">Pending</_Flow_SignoffStatus>
    <Sign_x002d_off_x0020_status xmlns="028dae23-1077-43f0-af6a-f64793792108">
      <UserInfo>
        <DisplayName/>
        <AccountId xsi:nil="true"/>
        <AccountType/>
      </UserInfo>
    </Sign_x002d_off_x0020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F1071FEC59E41A820E9294AE07AB1" ma:contentTypeVersion="18" ma:contentTypeDescription="Create a new document." ma:contentTypeScope="" ma:versionID="d1c85b6fb3522f36906ef8d3e38ea8bd">
  <xsd:schema xmlns:xsd="http://www.w3.org/2001/XMLSchema" xmlns:xs="http://www.w3.org/2001/XMLSchema" xmlns:p="http://schemas.microsoft.com/office/2006/metadata/properties" xmlns:ns2="028dae23-1077-43f0-af6a-f64793792108" xmlns:ns3="3ee84ff3-1fa2-4b0e-bbc1-9d3729ac2ba9" targetNamespace="http://schemas.microsoft.com/office/2006/metadata/properties" ma:root="true" ma:fieldsID="69c2d85aa40762de626347c0a74a18e1" ns2:_="" ns3:_="">
    <xsd:import namespace="028dae23-1077-43f0-af6a-f64793792108"/>
    <xsd:import namespace="3ee84ff3-1fa2-4b0e-bbc1-9d3729ac2ba9"/>
    <xsd:element name="properties">
      <xsd:complexType>
        <xsd:sequence>
          <xsd:element name="documentManagement">
            <xsd:complexType>
              <xsd:all>
                <xsd:element ref="ns2:Sign_x002d_off_x0020_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ae23-1077-43f0-af6a-f64793792108" elementFormDefault="qualified">
    <xsd:import namespace="http://schemas.microsoft.com/office/2006/documentManagement/types"/>
    <xsd:import namespace="http://schemas.microsoft.com/office/infopath/2007/PartnerControls"/>
    <xsd:element name="Sign_x002d_off_x0020_status" ma:index="8" nillable="true" ma:displayName="Sign-off status" ma:list="UserInfo" ma:SharePointGroup="0" ma:internalName="Sign_x002d_off_x0020_statu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0">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3ee84ff3-1fa2-4b0e-bbc1-9d3729ac2ba9"/>
    <ds:schemaRef ds:uri="028dae23-1077-43f0-af6a-f64793792108"/>
  </ds:schemaRefs>
</ds:datastoreItem>
</file>

<file path=customXml/itemProps2.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3.xml><?xml version="1.0" encoding="utf-8"?>
<ds:datastoreItem xmlns:ds="http://schemas.openxmlformats.org/officeDocument/2006/customXml" ds:itemID="{562DA86A-9F91-430B-B37F-B69A89C8D1FE}">
  <ds:schemaRefs>
    <ds:schemaRef ds:uri="http://schemas.microsoft.com/sharepoint/v3/contenttype/forms"/>
  </ds:schemaRefs>
</ds:datastoreItem>
</file>

<file path=customXml/itemProps4.xml><?xml version="1.0" encoding="utf-8"?>
<ds:datastoreItem xmlns:ds="http://schemas.openxmlformats.org/officeDocument/2006/customXml" ds:itemID="{870D1161-E8A9-48FC-A04B-3A4EFCE8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ae23-1077-43f0-af6a-f64793792108"/>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2093</Words>
  <Characters>11285</Characters>
  <Application>Microsoft Office Word</Application>
  <DocSecurity>0</DocSecurity>
  <Lines>322</Lines>
  <Paragraphs>252</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13126</CharactersWithSpaces>
  <SharedDoc>false</SharedDoc>
  <HyperlinkBase/>
  <HLinks>
    <vt:vector size="24" baseType="variant">
      <vt:variant>
        <vt:i4>1966111</vt:i4>
      </vt:variant>
      <vt:variant>
        <vt:i4>42</vt:i4>
      </vt:variant>
      <vt:variant>
        <vt:i4>0</vt:i4>
      </vt:variant>
      <vt:variant>
        <vt:i4>5</vt:i4>
      </vt:variant>
      <vt:variant>
        <vt:lpwstr>https://www.igt-unc.co.uk/igt172-optional-service-for-physical-gas-entry-into-an-igt-pipeline-and-into-the-unc-total-system-marrying-to-unc-mod-0842</vt:lpwstr>
      </vt:variant>
      <vt:variant>
        <vt:lpwstr/>
      </vt:variant>
      <vt:variant>
        <vt:i4>6815836</vt:i4>
      </vt:variant>
      <vt:variant>
        <vt:i4>39</vt:i4>
      </vt:variant>
      <vt:variant>
        <vt:i4>0</vt:i4>
      </vt:variant>
      <vt:variant>
        <vt:i4>5</vt:i4>
      </vt:variant>
      <vt:variant>
        <vt:lpwstr>mailto:UKLink@xoserve.com</vt:lpwstr>
      </vt:variant>
      <vt:variant>
        <vt:lpwstr/>
      </vt:variant>
      <vt:variant>
        <vt:i4>3735638</vt:i4>
      </vt:variant>
      <vt:variant>
        <vt:i4>36</vt:i4>
      </vt:variant>
      <vt:variant>
        <vt:i4>0</vt:i4>
      </vt:variant>
      <vt:variant>
        <vt:i4>5</vt:i4>
      </vt:variant>
      <vt:variant>
        <vt:lpwstr>mailto:ghunter@barrowshipping.co.uk</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Cuin</cp:lastModifiedBy>
  <cp:revision>20</cp:revision>
  <cp:lastPrinted>2024-06-26T08:27:00Z</cp:lastPrinted>
  <dcterms:created xsi:type="dcterms:W3CDTF">2024-06-12T12:47:00Z</dcterms:created>
  <dcterms:modified xsi:type="dcterms:W3CDTF">2024-06-26T08:27:00Z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0x010100895F1071FEC59E41A820E9294AE07AB1</vt:lpwstr>
  </property>
  <property fmtid="{D5CDD505-2E9C-101B-9397-08002B2CF9AE}" pid="3" name="GrammarlyDocumentId">
    <vt:lpwstr>9f8bf97028e1d6f32cb835ad5bbf51159b70aeaeb0985712566b4e82b0f03fe5</vt:lpwstr>
  </property>
  <property fmtid="{D5CDD505-2E9C-101B-9397-08002B2CF9AE}" pid="4" name="MediaServiceImageTags">
    <vt:lpwstr/>
  </property>
</Properties>
</file>