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00A90299">
        <w:trPr>
          <w:trHeight w:val="690"/>
        </w:trPr>
        <w:tc>
          <w:tcPr>
            <w:tcW w:w="8079" w:type="dxa"/>
            <w:shd w:val="clear" w:color="auto" w:fill="auto"/>
          </w:tcPr>
          <w:p w14:paraId="68BDE93A" w14:textId="1B57FBA2" w:rsidR="00224658" w:rsidRPr="00714EDE" w:rsidRDefault="00224658" w:rsidP="00CE3F16">
            <w:pPr>
              <w:pStyle w:val="UNC2WGR"/>
            </w:pPr>
            <w:r w:rsidRPr="00224658">
              <w:t xml:space="preserve">UNC </w:t>
            </w:r>
            <w:r w:rsidR="00CE3F16">
              <w:t>Workgroup Report</w:t>
            </w:r>
          </w:p>
        </w:tc>
        <w:tc>
          <w:tcPr>
            <w:tcW w:w="2126" w:type="dxa"/>
            <w:shd w:val="clear" w:color="auto" w:fill="auto"/>
          </w:tcPr>
          <w:p w14:paraId="58A9396D" w14:textId="77777777" w:rsidR="00224658" w:rsidRPr="00224658" w:rsidRDefault="00224658" w:rsidP="00CE3F16">
            <w:pPr>
              <w:pStyle w:val="UNCStage2"/>
            </w:pPr>
            <w:r w:rsidRPr="00224658">
              <w:t xml:space="preserve">At what stage is this </w:t>
            </w:r>
            <w:r w:rsidRPr="00FC4FB1">
              <w:t>document</w:t>
            </w:r>
            <w:r w:rsidRPr="00224658">
              <w:t xml:space="preserve"> in the process?</w:t>
            </w:r>
          </w:p>
        </w:tc>
      </w:tr>
      <w:tr w:rsidR="006F19E3" w:rsidRPr="00CA74C4" w14:paraId="6A9E599D" w14:textId="77777777" w:rsidTr="00A90299">
        <w:trPr>
          <w:trHeight w:val="2725"/>
        </w:trPr>
        <w:tc>
          <w:tcPr>
            <w:tcW w:w="8079" w:type="dxa"/>
            <w:shd w:val="clear" w:color="auto" w:fill="auto"/>
          </w:tcPr>
          <w:p w14:paraId="5BCFB7EE" w14:textId="63BE5F2C" w:rsidR="00E367F4" w:rsidRDefault="00E367F4" w:rsidP="007C1163">
            <w:pPr>
              <w:ind w:left="113" w:right="113"/>
              <w:rPr>
                <w:rFonts w:cs="Arial"/>
                <w:color w:val="008576"/>
                <w:sz w:val="80"/>
                <w:szCs w:val="80"/>
              </w:rPr>
            </w:pPr>
            <w:r>
              <w:rPr>
                <w:rFonts w:cs="Arial"/>
                <w:color w:val="008576"/>
                <w:sz w:val="80"/>
                <w:szCs w:val="80"/>
              </w:rPr>
              <w:t xml:space="preserve">UNC </w:t>
            </w:r>
            <w:r w:rsidR="0000710A">
              <w:rPr>
                <w:rFonts w:cs="Arial"/>
                <w:color w:val="008576"/>
                <w:sz w:val="80"/>
                <w:szCs w:val="80"/>
              </w:rPr>
              <w:t>08</w:t>
            </w:r>
            <w:r w:rsidR="003B5B30">
              <w:rPr>
                <w:rFonts w:cs="Arial"/>
                <w:color w:val="008576"/>
                <w:sz w:val="80"/>
                <w:szCs w:val="80"/>
              </w:rPr>
              <w:t>60</w:t>
            </w:r>
            <w:r w:rsidR="006F19E3" w:rsidRPr="00CA74C4">
              <w:rPr>
                <w:rFonts w:cs="Arial"/>
                <w:color w:val="008576"/>
                <w:sz w:val="80"/>
                <w:szCs w:val="80"/>
              </w:rPr>
              <w:t>:</w:t>
            </w:r>
          </w:p>
          <w:p w14:paraId="282602C9" w14:textId="563BEA55" w:rsidR="006F19E3" w:rsidRPr="00CA74C4" w:rsidRDefault="003D7487" w:rsidP="008836B2">
            <w:pPr>
              <w:ind w:left="113" w:right="113"/>
              <w:jc w:val="both"/>
              <w:rPr>
                <w:rFonts w:cs="Arial"/>
                <w:i/>
                <w:color w:val="00B274"/>
                <w:sz w:val="24"/>
              </w:rPr>
            </w:pPr>
            <w:r>
              <w:rPr>
                <w:rFonts w:cs="Arial"/>
                <w:color w:val="008000"/>
                <w:sz w:val="48"/>
                <w:szCs w:val="48"/>
              </w:rPr>
              <w:t>Clarify impact of exit c</w:t>
            </w:r>
            <w:r w:rsidRPr="003D7487">
              <w:rPr>
                <w:rFonts w:cs="Arial"/>
                <w:color w:val="008000"/>
                <w:sz w:val="48"/>
                <w:szCs w:val="48"/>
              </w:rPr>
              <w:t xml:space="preserve">apacity holdings </w:t>
            </w:r>
            <w:r>
              <w:rPr>
                <w:rFonts w:cs="Arial"/>
                <w:color w:val="008000"/>
                <w:sz w:val="48"/>
                <w:szCs w:val="48"/>
              </w:rPr>
              <w:t>on</w:t>
            </w:r>
            <w:r w:rsidRPr="003D7487">
              <w:rPr>
                <w:rFonts w:cs="Arial"/>
                <w:color w:val="008000"/>
                <w:sz w:val="48"/>
                <w:szCs w:val="48"/>
              </w:rPr>
              <w:t xml:space="preserve"> offtake rights</w:t>
            </w:r>
            <w:r w:rsidR="006F19E3" w:rsidRPr="00CA74C4">
              <w:rPr>
                <w:rFonts w:cs="Arial"/>
                <w:color w:val="008000"/>
                <w:sz w:val="24"/>
              </w:rPr>
              <w:t xml:space="preserve"> </w:t>
            </w:r>
          </w:p>
        </w:tc>
        <w:tc>
          <w:tcPr>
            <w:tcW w:w="2126" w:type="dxa"/>
            <w:shd w:val="clear" w:color="auto" w:fill="auto"/>
          </w:tcPr>
          <w:p w14:paraId="55459CD4" w14:textId="76BF80D9" w:rsidR="006F19E3" w:rsidRPr="00CA74C4" w:rsidRDefault="00FC6428"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2BBEF394" wp14:editId="57933A39">
                  <wp:extent cx="1250315" cy="152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15FA81D3" w14:textId="77777777" w:rsidTr="00A90299">
        <w:trPr>
          <w:trHeight w:val="828"/>
        </w:trPr>
        <w:tc>
          <w:tcPr>
            <w:tcW w:w="10205" w:type="dxa"/>
            <w:gridSpan w:val="2"/>
            <w:shd w:val="clear" w:color="auto" w:fill="auto"/>
          </w:tcPr>
          <w:p w14:paraId="57E0CBC1" w14:textId="2346E395"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65F57E48" w14:textId="40BCAFB2" w:rsidR="006F19E3" w:rsidRPr="00EB1875" w:rsidRDefault="00F232B9" w:rsidP="000023DC">
            <w:pPr>
              <w:ind w:left="113" w:right="113"/>
              <w:jc w:val="both"/>
              <w:rPr>
                <w:rFonts w:cs="Arial"/>
                <w:sz w:val="24"/>
              </w:rPr>
            </w:pPr>
            <w:r>
              <w:rPr>
                <w:rFonts w:cs="Arial"/>
                <w:sz w:val="24"/>
              </w:rPr>
              <w:t xml:space="preserve">To </w:t>
            </w:r>
            <w:r w:rsidR="00846ED0">
              <w:rPr>
                <w:rFonts w:cs="Arial"/>
                <w:sz w:val="24"/>
              </w:rPr>
              <w:t xml:space="preserve">clarify that </w:t>
            </w:r>
            <w:r w:rsidRPr="00F232B9">
              <w:rPr>
                <w:rFonts w:cs="Arial"/>
                <w:sz w:val="24"/>
              </w:rPr>
              <w:t xml:space="preserve">NTS Registered Capacity holdings </w:t>
            </w:r>
            <w:r w:rsidR="00303C74">
              <w:rPr>
                <w:rFonts w:cs="Arial"/>
                <w:sz w:val="24"/>
              </w:rPr>
              <w:t>at</w:t>
            </w:r>
            <w:r w:rsidR="00303C74" w:rsidRPr="00303C74">
              <w:rPr>
                <w:rFonts w:cs="Arial"/>
                <w:sz w:val="24"/>
              </w:rPr>
              <w:t xml:space="preserve"> </w:t>
            </w:r>
            <w:r w:rsidR="00303C74" w:rsidRPr="003948EC">
              <w:rPr>
                <w:rFonts w:cs="Arial"/>
                <w:sz w:val="24"/>
              </w:rPr>
              <w:t>NTS Supply Points</w:t>
            </w:r>
            <w:r w:rsidR="00303C74" w:rsidRPr="00303C74">
              <w:rPr>
                <w:rFonts w:cs="Arial"/>
                <w:sz w:val="24"/>
              </w:rPr>
              <w:t xml:space="preserve"> and NTS Connected System Exit Points </w:t>
            </w:r>
            <w:r w:rsidRPr="00F232B9">
              <w:rPr>
                <w:rFonts w:cs="Arial"/>
                <w:sz w:val="24"/>
              </w:rPr>
              <w:t xml:space="preserve">are </w:t>
            </w:r>
            <w:r w:rsidR="00870848">
              <w:rPr>
                <w:rFonts w:cs="Arial"/>
                <w:sz w:val="24"/>
              </w:rPr>
              <w:t>a</w:t>
            </w:r>
            <w:r w:rsidRPr="00F232B9">
              <w:rPr>
                <w:rFonts w:cs="Arial"/>
                <w:sz w:val="24"/>
              </w:rPr>
              <w:t xml:space="preserve"> financial </w:t>
            </w:r>
            <w:proofErr w:type="gramStart"/>
            <w:r w:rsidR="000023DC">
              <w:rPr>
                <w:rFonts w:cs="Arial"/>
                <w:sz w:val="24"/>
              </w:rPr>
              <w:t xml:space="preserve">instrument, </w:t>
            </w:r>
            <w:r w:rsidRPr="00F232B9">
              <w:rPr>
                <w:rFonts w:cs="Arial"/>
                <w:sz w:val="24"/>
              </w:rPr>
              <w:t>and</w:t>
            </w:r>
            <w:proofErr w:type="gramEnd"/>
            <w:r w:rsidRPr="00F232B9">
              <w:rPr>
                <w:rFonts w:cs="Arial"/>
                <w:sz w:val="24"/>
              </w:rPr>
              <w:t xml:space="preserve"> should not </w:t>
            </w:r>
            <w:r w:rsidR="002D6616">
              <w:rPr>
                <w:rFonts w:cs="Arial"/>
                <w:sz w:val="24"/>
              </w:rPr>
              <w:t>affect</w:t>
            </w:r>
            <w:r w:rsidRPr="00F232B9">
              <w:rPr>
                <w:rFonts w:cs="Arial"/>
                <w:sz w:val="24"/>
              </w:rPr>
              <w:t xml:space="preserve"> the operational NTS offtake rights of the holder</w:t>
            </w:r>
            <w:r w:rsidR="004E720F">
              <w:rPr>
                <w:rFonts w:cs="Arial"/>
                <w:sz w:val="24"/>
              </w:rPr>
              <w:t xml:space="preserve">. </w:t>
            </w:r>
            <w:r w:rsidR="000023DC">
              <w:rPr>
                <w:rFonts w:cs="Arial"/>
                <w:sz w:val="24"/>
              </w:rPr>
              <w:t xml:space="preserve">The </w:t>
            </w:r>
            <w:r w:rsidR="004E5ABC">
              <w:rPr>
                <w:rFonts w:cs="Arial"/>
                <w:sz w:val="24"/>
              </w:rPr>
              <w:t>proposal includes</w:t>
            </w:r>
            <w:r>
              <w:rPr>
                <w:rFonts w:cs="Arial"/>
                <w:sz w:val="24"/>
              </w:rPr>
              <w:t xml:space="preserve"> remov</w:t>
            </w:r>
            <w:r w:rsidR="002D6616">
              <w:rPr>
                <w:rFonts w:cs="Arial"/>
                <w:sz w:val="24"/>
              </w:rPr>
              <w:t>ing</w:t>
            </w:r>
            <w:r>
              <w:rPr>
                <w:rFonts w:cs="Arial"/>
                <w:sz w:val="24"/>
              </w:rPr>
              <w:t xml:space="preserve"> </w:t>
            </w:r>
            <w:r w:rsidR="000023DC">
              <w:rPr>
                <w:rFonts w:cs="Arial"/>
                <w:sz w:val="24"/>
              </w:rPr>
              <w:t>the</w:t>
            </w:r>
            <w:r w:rsidR="004E720F">
              <w:rPr>
                <w:rFonts w:cs="Arial"/>
                <w:sz w:val="24"/>
              </w:rPr>
              <w:t xml:space="preserve"> </w:t>
            </w:r>
            <w:r>
              <w:rPr>
                <w:rFonts w:cs="Arial"/>
                <w:sz w:val="24"/>
              </w:rPr>
              <w:t>limit</w:t>
            </w:r>
            <w:r w:rsidR="002D6616">
              <w:rPr>
                <w:rFonts w:cs="Arial"/>
                <w:sz w:val="24"/>
              </w:rPr>
              <w:t xml:space="preserve"> </w:t>
            </w:r>
            <w:r w:rsidR="00507EE0">
              <w:rPr>
                <w:rFonts w:cs="Arial"/>
                <w:sz w:val="24"/>
              </w:rPr>
              <w:t>of</w:t>
            </w:r>
            <w:r w:rsidR="002D6616">
              <w:rPr>
                <w:rFonts w:cs="Arial"/>
                <w:sz w:val="24"/>
              </w:rPr>
              <w:t xml:space="preserve"> </w:t>
            </w:r>
            <w:r w:rsidR="004169FF">
              <w:rPr>
                <w:rFonts w:cs="Arial"/>
                <w:sz w:val="24"/>
              </w:rPr>
              <w:t xml:space="preserve">a User’s </w:t>
            </w:r>
            <w:r w:rsidR="004E720F">
              <w:rPr>
                <w:rFonts w:cs="Arial"/>
                <w:sz w:val="24"/>
              </w:rPr>
              <w:t>exit capacity holdings</w:t>
            </w:r>
            <w:r w:rsidR="003948EC">
              <w:rPr>
                <w:rFonts w:cs="Arial"/>
                <w:sz w:val="24"/>
              </w:rPr>
              <w:t xml:space="preserve"> at </w:t>
            </w:r>
            <w:r w:rsidR="003948EC" w:rsidRPr="00303C74">
              <w:rPr>
                <w:rFonts w:cs="Arial"/>
                <w:sz w:val="24"/>
              </w:rPr>
              <w:t>NTS Supply Points and NTS Connected System Exit Points</w:t>
            </w:r>
            <w:r w:rsidR="004E720F">
              <w:rPr>
                <w:rFonts w:cs="Arial"/>
                <w:sz w:val="24"/>
              </w:rPr>
              <w:t xml:space="preserve"> from the Permitted Rate of O</w:t>
            </w:r>
            <w:r>
              <w:rPr>
                <w:rFonts w:cs="Arial"/>
                <w:sz w:val="24"/>
              </w:rPr>
              <w:t xml:space="preserve">fftake in </w:t>
            </w:r>
            <w:r w:rsidR="004E720F">
              <w:rPr>
                <w:rFonts w:cs="Arial"/>
                <w:sz w:val="24"/>
              </w:rPr>
              <w:t xml:space="preserve">an </w:t>
            </w:r>
            <w:r>
              <w:rPr>
                <w:rFonts w:cs="Arial"/>
                <w:sz w:val="24"/>
              </w:rPr>
              <w:t>Offtake Profile Notice</w:t>
            </w:r>
            <w:r w:rsidR="002D6616">
              <w:rPr>
                <w:rFonts w:cs="Arial"/>
                <w:sz w:val="24"/>
              </w:rPr>
              <w:t xml:space="preserve">. Additionally, it is proposed that a clause be added </w:t>
            </w:r>
            <w:r w:rsidR="000023DC">
              <w:rPr>
                <w:rFonts w:cs="Arial"/>
                <w:sz w:val="24"/>
              </w:rPr>
              <w:t xml:space="preserve">to clarify, for the avoidance of doubt, </w:t>
            </w:r>
            <w:r w:rsidR="004E720F" w:rsidRPr="004E720F">
              <w:rPr>
                <w:rFonts w:cs="Arial"/>
                <w:sz w:val="24"/>
              </w:rPr>
              <w:t xml:space="preserve">that the reduction or discontinuance of the offtake of gas at Exit Points may only be </w:t>
            </w:r>
            <w:r w:rsidR="002D6616">
              <w:rPr>
                <w:rFonts w:cs="Arial"/>
                <w:sz w:val="24"/>
              </w:rPr>
              <w:t xml:space="preserve">enforced </w:t>
            </w:r>
            <w:r w:rsidR="004E720F" w:rsidRPr="004E720F">
              <w:rPr>
                <w:rFonts w:cs="Arial"/>
                <w:sz w:val="24"/>
              </w:rPr>
              <w:t>in accordance with the provisions</w:t>
            </w:r>
            <w:r w:rsidR="004E720F">
              <w:rPr>
                <w:rFonts w:cs="Arial"/>
                <w:sz w:val="24"/>
              </w:rPr>
              <w:t xml:space="preserve"> of</w:t>
            </w:r>
            <w:r w:rsidR="000023DC">
              <w:rPr>
                <w:rFonts w:cs="Arial"/>
                <w:sz w:val="24"/>
              </w:rPr>
              <w:t xml:space="preserve"> TPD Section</w:t>
            </w:r>
            <w:r w:rsidR="0030163A">
              <w:rPr>
                <w:rFonts w:cs="Arial"/>
                <w:sz w:val="24"/>
              </w:rPr>
              <w:t xml:space="preserve"> </w:t>
            </w:r>
            <w:r w:rsidR="000023DC">
              <w:rPr>
                <w:rFonts w:cs="Arial"/>
                <w:sz w:val="24"/>
              </w:rPr>
              <w:t>Q – Emergencies</w:t>
            </w:r>
            <w:r w:rsidR="00507EE0">
              <w:rPr>
                <w:rFonts w:cs="Arial"/>
                <w:sz w:val="24"/>
              </w:rPr>
              <w:t xml:space="preserve"> or where the Permitted Rate of Offtake is exceeded</w:t>
            </w:r>
            <w:r w:rsidR="000023DC">
              <w:rPr>
                <w:rFonts w:cs="Arial"/>
                <w:sz w:val="24"/>
              </w:rPr>
              <w:t>.</w:t>
            </w:r>
          </w:p>
        </w:tc>
      </w:tr>
      <w:tr w:rsidR="00A90299" w:rsidRPr="00CA74C4" w14:paraId="4E7D61F0" w14:textId="77777777" w:rsidTr="008F1584">
        <w:trPr>
          <w:trHeight w:val="2077"/>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671FEFA9" w14:textId="1E72EB35" w:rsidR="003038DD" w:rsidRDefault="003038DD" w:rsidP="003038DD">
            <w:pPr>
              <w:pStyle w:val="BodyText3"/>
              <w:ind w:left="113" w:right="113"/>
              <w:rPr>
                <w:rFonts w:cs="Arial"/>
              </w:rPr>
            </w:pPr>
            <w:r w:rsidRPr="00EB32BB">
              <w:t xml:space="preserve">The </w:t>
            </w:r>
            <w:r>
              <w:t>Workgroup</w:t>
            </w:r>
            <w:r w:rsidRPr="00EB32BB">
              <w:t xml:space="preserve"> recommends that this </w:t>
            </w:r>
            <w:r>
              <w:t>M</w:t>
            </w:r>
            <w:r w:rsidRPr="00EB32BB">
              <w:t xml:space="preserve">odification </w:t>
            </w:r>
            <w:r w:rsidRPr="008F1584">
              <w:t>should not</w:t>
            </w:r>
            <w:r w:rsidR="008F1584" w:rsidRPr="008F1584">
              <w:t xml:space="preserve"> </w:t>
            </w:r>
            <w:r w:rsidRPr="008F1584">
              <w:t xml:space="preserve">be </w:t>
            </w:r>
            <w:r w:rsidRPr="008F1584">
              <w:rPr>
                <w:rFonts w:cs="Arial"/>
              </w:rPr>
              <w:t xml:space="preserve">subject </w:t>
            </w:r>
            <w:r>
              <w:rPr>
                <w:rFonts w:cs="Arial"/>
                <w:color w:val="000000"/>
              </w:rPr>
              <w:t>to</w:t>
            </w:r>
            <w:r w:rsidRPr="00EB32BB">
              <w:rPr>
                <w:rFonts w:cs="Arial"/>
              </w:rPr>
              <w:t xml:space="preserve"> </w:t>
            </w:r>
            <w:r>
              <w:rPr>
                <w:rFonts w:cs="Arial"/>
              </w:rPr>
              <w:t>Self-Governance</w:t>
            </w:r>
          </w:p>
          <w:p w14:paraId="4F3A1C7B" w14:textId="39F53618" w:rsidR="003038DD" w:rsidRPr="008A13AC" w:rsidRDefault="003038DD" w:rsidP="003038DD">
            <w:pPr>
              <w:pStyle w:val="BodyText3"/>
              <w:ind w:left="113" w:right="113"/>
              <w:rPr>
                <w:rFonts w:cs="Arial"/>
              </w:rPr>
            </w:pPr>
            <w:r w:rsidRPr="008A13AC">
              <w:rPr>
                <w:rFonts w:cs="Arial"/>
              </w:rPr>
              <w:t>The Workgroup asks Panel to agree that this Modification should proceed to consultation.</w:t>
            </w:r>
          </w:p>
          <w:p w14:paraId="59B34C27" w14:textId="340F7538" w:rsidR="00A90299" w:rsidRPr="00AD5C29" w:rsidRDefault="003038DD" w:rsidP="003038DD">
            <w:pPr>
              <w:pStyle w:val="BodyText3"/>
              <w:ind w:left="113" w:right="113"/>
              <w:jc w:val="both"/>
              <w:rPr>
                <w:rFonts w:cs="Arial"/>
              </w:rPr>
            </w:pPr>
            <w:r w:rsidRPr="005B0B30">
              <w:rPr>
                <w:rFonts w:cs="Arial"/>
              </w:rPr>
              <w:t>The Panel will consider this Workgroup Report</w:t>
            </w:r>
            <w:r>
              <w:rPr>
                <w:rFonts w:cs="Arial"/>
              </w:rPr>
              <w:t xml:space="preserve"> on </w:t>
            </w:r>
            <w:r w:rsidRPr="003038DD">
              <w:rPr>
                <w:rFonts w:cs="Arial"/>
              </w:rPr>
              <w:t xml:space="preserve">18 July </w:t>
            </w:r>
            <w:r w:rsidRPr="003038DD">
              <w:rPr>
                <w:rFonts w:cs="Arial"/>
              </w:rPr>
              <w:t xml:space="preserve">2024.  The </w:t>
            </w:r>
            <w:r>
              <w:rPr>
                <w:rFonts w:cs="Arial"/>
              </w:rPr>
              <w:t>Panel will consider the</w:t>
            </w:r>
            <w:r w:rsidRPr="00C11964">
              <w:rPr>
                <w:rFonts w:cs="Arial"/>
              </w:rPr>
              <w:t xml:space="preserve"> recommendation</w:t>
            </w:r>
            <w:r>
              <w:rPr>
                <w:rFonts w:cs="Arial"/>
              </w:rPr>
              <w:t>s and determine the appropriate next steps.</w:t>
            </w:r>
          </w:p>
        </w:tc>
      </w:tr>
      <w:tr w:rsidR="00A90299" w:rsidRPr="00CA74C4" w14:paraId="280AEF87" w14:textId="77777777" w:rsidTr="00A90299">
        <w:trPr>
          <w:trHeight w:val="739"/>
        </w:trPr>
        <w:tc>
          <w:tcPr>
            <w:tcW w:w="10205" w:type="dxa"/>
            <w:gridSpan w:val="2"/>
            <w:shd w:val="clear" w:color="auto" w:fill="auto"/>
          </w:tcPr>
          <w:p w14:paraId="3B231200" w14:textId="2F421EDE"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4E4429F8" w14:textId="7F0CC6F9" w:rsidR="00A90299" w:rsidRPr="00B97897" w:rsidRDefault="00A90299" w:rsidP="000023DC">
            <w:pPr>
              <w:pStyle w:val="BodyText3"/>
              <w:ind w:left="113" w:right="113"/>
              <w:rPr>
                <w:rFonts w:cs="Arial"/>
              </w:rPr>
            </w:pPr>
            <w:r w:rsidRPr="0093726B">
              <w:rPr>
                <w:szCs w:val="24"/>
              </w:rPr>
              <w:t>High:</w:t>
            </w:r>
            <w:r w:rsidR="00FE46EE">
              <w:rPr>
                <w:szCs w:val="24"/>
              </w:rPr>
              <w:t xml:space="preserve"> </w:t>
            </w:r>
            <w:r w:rsidR="00F80D46">
              <w:rPr>
                <w:rFonts w:cs="Arial"/>
              </w:rPr>
              <w:t>Shippers</w:t>
            </w:r>
            <w:r w:rsidR="000023DC">
              <w:rPr>
                <w:rFonts w:cs="Arial"/>
              </w:rPr>
              <w:t xml:space="preserve">, </w:t>
            </w:r>
            <w:r w:rsidR="00F80D46">
              <w:rPr>
                <w:rFonts w:cs="Arial"/>
              </w:rPr>
              <w:t>Gas Transporters</w:t>
            </w:r>
            <w:r w:rsidR="00607EDC">
              <w:rPr>
                <w:rFonts w:cs="Arial"/>
              </w:rPr>
              <w:t xml:space="preserve">, </w:t>
            </w:r>
            <w:r w:rsidR="00607EDC" w:rsidRPr="00607EDC">
              <w:rPr>
                <w:rFonts w:cs="Arial"/>
              </w:rPr>
              <w:t>Distribution Network Operators</w:t>
            </w:r>
          </w:p>
        </w:tc>
      </w:tr>
      <w:tr w:rsidR="00A90299" w:rsidRPr="00CA74C4" w14:paraId="799EAB4A" w14:textId="77777777" w:rsidTr="00A90299">
        <w:trPr>
          <w:trHeight w:val="582"/>
        </w:trPr>
        <w:tc>
          <w:tcPr>
            <w:tcW w:w="10205" w:type="dxa"/>
            <w:gridSpan w:val="2"/>
            <w:shd w:val="clear" w:color="auto" w:fill="auto"/>
          </w:tcPr>
          <w:p w14:paraId="4693DF1E" w14:textId="3732C65B" w:rsidR="00A90299" w:rsidRPr="0093726B" w:rsidRDefault="00A90299" w:rsidP="00491D53">
            <w:pPr>
              <w:pStyle w:val="BodyText2"/>
              <w:ind w:left="113" w:right="113"/>
              <w:rPr>
                <w:rFonts w:cs="Arial"/>
                <w:b/>
                <w:sz w:val="24"/>
              </w:rPr>
            </w:pPr>
            <w:r w:rsidRPr="0093726B">
              <w:rPr>
                <w:rFonts w:cs="Arial"/>
                <w:b/>
                <w:sz w:val="24"/>
              </w:rPr>
              <w:t xml:space="preserve">Impacted Codes: </w:t>
            </w:r>
          </w:p>
          <w:p w14:paraId="7797121C" w14:textId="5C6C6AB0" w:rsidR="00A90299" w:rsidRPr="00CA74C4" w:rsidRDefault="00424D94" w:rsidP="00491D53">
            <w:pPr>
              <w:pStyle w:val="BodyText2"/>
              <w:ind w:left="113" w:right="113"/>
              <w:rPr>
                <w:rFonts w:cs="Arial"/>
              </w:rPr>
            </w:pPr>
            <w:r>
              <w:rPr>
                <w:rFonts w:cs="Arial"/>
                <w:sz w:val="24"/>
              </w:rPr>
              <w:t>None</w:t>
            </w:r>
          </w:p>
        </w:tc>
      </w:tr>
    </w:tbl>
    <w:p w14:paraId="571E1E1B" w14:textId="77777777" w:rsidR="005079E0" w:rsidRDefault="005079E0" w:rsidP="005B378E">
      <w:pPr>
        <w:rPr>
          <w:rFonts w:cs="Arial"/>
          <w:b/>
          <w:bCs/>
          <w:color w:val="FF0000"/>
        </w:rPr>
      </w:pPr>
    </w:p>
    <w:p w14:paraId="299F23CE" w14:textId="77777777" w:rsidR="00CE3F16" w:rsidRPr="00CE3F16" w:rsidRDefault="00CE3F16" w:rsidP="00CE3F16">
      <w:pPr>
        <w:rPr>
          <w:rFonts w:cs="Arial"/>
        </w:rPr>
      </w:pPr>
    </w:p>
    <w:p w14:paraId="3CE8EB20" w14:textId="77777777" w:rsidR="00CE3F16" w:rsidRPr="00CE3F16" w:rsidRDefault="00CE3F16" w:rsidP="00CE3F16">
      <w:pPr>
        <w:rPr>
          <w:rFonts w:cs="Arial"/>
        </w:rPr>
      </w:pPr>
    </w:p>
    <w:p w14:paraId="2DE089D5" w14:textId="77777777" w:rsidR="00CE3F16" w:rsidRPr="00CE3F16" w:rsidRDefault="00CE3F16" w:rsidP="00CE3F16">
      <w:pPr>
        <w:rPr>
          <w:rFonts w:cs="Arial"/>
        </w:rPr>
      </w:pPr>
    </w:p>
    <w:p w14:paraId="1FEDA4B1" w14:textId="77777777" w:rsidR="00CE3F16" w:rsidRPr="00CE3F16" w:rsidRDefault="00CE3F16" w:rsidP="00CE3F16">
      <w:pPr>
        <w:rPr>
          <w:rFonts w:cs="Arial"/>
        </w:rPr>
      </w:pPr>
    </w:p>
    <w:p w14:paraId="2D80FAD3" w14:textId="77777777" w:rsidR="00CE3F16" w:rsidRPr="00CE3F16" w:rsidRDefault="00CE3F16" w:rsidP="00CE3F16">
      <w:pPr>
        <w:rPr>
          <w:rFonts w:cs="Arial"/>
        </w:rPr>
      </w:pPr>
    </w:p>
    <w:p w14:paraId="0AD12DC3" w14:textId="77777777" w:rsidR="00CE3F16" w:rsidRPr="00CE3F16" w:rsidRDefault="00CE3F16" w:rsidP="00CE3F16">
      <w:pPr>
        <w:ind w:firstLine="720"/>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78350B4E"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975E520" w14:textId="77777777" w:rsidR="00F10E14" w:rsidRPr="00CA74C4" w:rsidRDefault="00F10E14" w:rsidP="00CE3F16">
            <w:pPr>
              <w:pStyle w:val="Contents02"/>
              <w:rPr>
                <w:noProof/>
              </w:rPr>
            </w:pPr>
            <w:r w:rsidRPr="00CA74C4">
              <w:rPr>
                <w:noProof/>
              </w:rPr>
              <w:lastRenderedPageBreak/>
              <w:t>Contents</w:t>
            </w:r>
          </w:p>
          <w:p w14:paraId="3282572C" w14:textId="4F8150EF" w:rsidR="00BA0228" w:rsidRDefault="00F10E14" w:rsidP="00BA0228">
            <w:pPr>
              <w:pStyle w:val="TOCContents02WGR"/>
              <w:rPr>
                <w:rFonts w:asciiTheme="minorHAnsi" w:eastAsiaTheme="minorEastAsia" w:hAnsiTheme="minorHAnsi" w:cstheme="minorBidi"/>
                <w:color w:val="auto"/>
                <w:kern w:val="2"/>
                <w14:ligatures w14:val="standardContextual"/>
              </w:rPr>
            </w:pPr>
            <w:r w:rsidRPr="00CA74C4">
              <w:rPr>
                <w:rFonts w:cs="Arial"/>
              </w:rPr>
              <w:fldChar w:fldCharType="begin"/>
            </w:r>
            <w:r w:rsidRPr="00CA74C4">
              <w:rPr>
                <w:rFonts w:cs="Arial"/>
              </w:rPr>
              <w:instrText xml:space="preserve"> TOC \o "1-1" </w:instrText>
            </w:r>
            <w:r w:rsidRPr="00CA74C4">
              <w:rPr>
                <w:rFonts w:cs="Arial"/>
              </w:rPr>
              <w:fldChar w:fldCharType="separate"/>
            </w:r>
            <w:r w:rsidR="00BA0228">
              <w:t>1</w:t>
            </w:r>
            <w:r w:rsidR="00BA0228">
              <w:rPr>
                <w:rFonts w:asciiTheme="minorHAnsi" w:eastAsiaTheme="minorEastAsia" w:hAnsiTheme="minorHAnsi" w:cstheme="minorBidi"/>
                <w:color w:val="auto"/>
                <w:kern w:val="2"/>
                <w14:ligatures w14:val="standardContextual"/>
              </w:rPr>
              <w:tab/>
            </w:r>
            <w:r w:rsidR="00BA0228">
              <w:t>Summary</w:t>
            </w:r>
            <w:r w:rsidR="00BA0228">
              <w:tab/>
            </w:r>
            <w:r w:rsidR="00BA0228">
              <w:fldChar w:fldCharType="begin"/>
            </w:r>
            <w:r w:rsidR="00BA0228">
              <w:instrText xml:space="preserve"> PAGEREF _Toc170220933 \h </w:instrText>
            </w:r>
            <w:r w:rsidR="00BA0228">
              <w:fldChar w:fldCharType="separate"/>
            </w:r>
            <w:r w:rsidR="00897C87">
              <w:t>3</w:t>
            </w:r>
            <w:r w:rsidR="00BA0228">
              <w:fldChar w:fldCharType="end"/>
            </w:r>
          </w:p>
          <w:p w14:paraId="4D56FBBD" w14:textId="4BC724FD" w:rsidR="00BA0228" w:rsidRDefault="00BA0228" w:rsidP="00BA0228">
            <w:pPr>
              <w:pStyle w:val="TOCContents02WGR"/>
              <w:rPr>
                <w:rFonts w:asciiTheme="minorHAnsi" w:eastAsiaTheme="minorEastAsia" w:hAnsiTheme="minorHAnsi" w:cstheme="minorBidi"/>
                <w:color w:val="auto"/>
                <w:kern w:val="2"/>
                <w14:ligatures w14:val="standardContextual"/>
              </w:rPr>
            </w:pPr>
            <w:r>
              <w:t>2</w:t>
            </w:r>
            <w:r>
              <w:rPr>
                <w:rFonts w:asciiTheme="minorHAnsi" w:eastAsiaTheme="minorEastAsia" w:hAnsiTheme="minorHAnsi" w:cstheme="minorBidi"/>
                <w:color w:val="auto"/>
                <w:kern w:val="2"/>
                <w14:ligatures w14:val="standardContextual"/>
              </w:rPr>
              <w:tab/>
            </w:r>
            <w:r>
              <w:t>Governance</w:t>
            </w:r>
            <w:r>
              <w:tab/>
            </w:r>
            <w:r>
              <w:fldChar w:fldCharType="begin"/>
            </w:r>
            <w:r>
              <w:instrText xml:space="preserve"> PAGEREF _Toc170220934 \h </w:instrText>
            </w:r>
            <w:r>
              <w:fldChar w:fldCharType="separate"/>
            </w:r>
            <w:r w:rsidR="00897C87">
              <w:t>4</w:t>
            </w:r>
            <w:r>
              <w:fldChar w:fldCharType="end"/>
            </w:r>
          </w:p>
          <w:p w14:paraId="1D0469D0" w14:textId="64ACE73E" w:rsidR="00BA0228" w:rsidRDefault="00BA0228" w:rsidP="00BA0228">
            <w:pPr>
              <w:pStyle w:val="TOCContents02WGR"/>
              <w:rPr>
                <w:rFonts w:asciiTheme="minorHAnsi" w:eastAsiaTheme="minorEastAsia" w:hAnsiTheme="minorHAnsi" w:cstheme="minorBidi"/>
                <w:color w:val="auto"/>
                <w:kern w:val="2"/>
                <w14:ligatures w14:val="standardContextual"/>
              </w:rPr>
            </w:pPr>
            <w:r>
              <w:t>3</w:t>
            </w:r>
            <w:r>
              <w:rPr>
                <w:rFonts w:asciiTheme="minorHAnsi" w:eastAsiaTheme="minorEastAsia" w:hAnsiTheme="minorHAnsi" w:cstheme="minorBidi"/>
                <w:color w:val="auto"/>
                <w:kern w:val="2"/>
                <w14:ligatures w14:val="standardContextual"/>
              </w:rPr>
              <w:tab/>
            </w:r>
            <w:r>
              <w:t>Why Change?</w:t>
            </w:r>
            <w:r>
              <w:tab/>
            </w:r>
            <w:r>
              <w:fldChar w:fldCharType="begin"/>
            </w:r>
            <w:r>
              <w:instrText xml:space="preserve"> PAGEREF _Toc170220935 \h </w:instrText>
            </w:r>
            <w:r>
              <w:fldChar w:fldCharType="separate"/>
            </w:r>
            <w:r w:rsidR="00897C87">
              <w:t>4</w:t>
            </w:r>
            <w:r>
              <w:fldChar w:fldCharType="end"/>
            </w:r>
          </w:p>
          <w:p w14:paraId="4D5C1678" w14:textId="486B01B4" w:rsidR="00BA0228" w:rsidRDefault="00BA0228" w:rsidP="00BA0228">
            <w:pPr>
              <w:pStyle w:val="TOCContents02WGR"/>
              <w:rPr>
                <w:rFonts w:asciiTheme="minorHAnsi" w:eastAsiaTheme="minorEastAsia" w:hAnsiTheme="minorHAnsi" w:cstheme="minorBidi"/>
                <w:color w:val="auto"/>
                <w:kern w:val="2"/>
                <w14:ligatures w14:val="standardContextual"/>
              </w:rPr>
            </w:pPr>
            <w:r>
              <w:t>4</w:t>
            </w:r>
            <w:r>
              <w:rPr>
                <w:rFonts w:asciiTheme="minorHAnsi" w:eastAsiaTheme="minorEastAsia" w:hAnsiTheme="minorHAnsi" w:cstheme="minorBidi"/>
                <w:color w:val="auto"/>
                <w:kern w:val="2"/>
                <w14:ligatures w14:val="standardContextual"/>
              </w:rPr>
              <w:tab/>
            </w:r>
            <w:r>
              <w:t>Code Specific Matters</w:t>
            </w:r>
            <w:r>
              <w:tab/>
            </w:r>
            <w:r>
              <w:fldChar w:fldCharType="begin"/>
            </w:r>
            <w:r>
              <w:instrText xml:space="preserve"> PAGEREF _Toc170220936 \h </w:instrText>
            </w:r>
            <w:r>
              <w:fldChar w:fldCharType="separate"/>
            </w:r>
            <w:r w:rsidR="00897C87">
              <w:t>6</w:t>
            </w:r>
            <w:r>
              <w:fldChar w:fldCharType="end"/>
            </w:r>
          </w:p>
          <w:p w14:paraId="60D6E57D" w14:textId="7EFE9DD0" w:rsidR="00BA0228" w:rsidRDefault="00BA0228" w:rsidP="00BA0228">
            <w:pPr>
              <w:pStyle w:val="TOCContents02WGR"/>
              <w:rPr>
                <w:rFonts w:asciiTheme="minorHAnsi" w:eastAsiaTheme="minorEastAsia" w:hAnsiTheme="minorHAnsi" w:cstheme="minorBidi"/>
                <w:color w:val="auto"/>
                <w:kern w:val="2"/>
                <w14:ligatures w14:val="standardContextual"/>
              </w:rPr>
            </w:pPr>
            <w:r>
              <w:t>5</w:t>
            </w:r>
            <w:r>
              <w:rPr>
                <w:rFonts w:asciiTheme="minorHAnsi" w:eastAsiaTheme="minorEastAsia" w:hAnsiTheme="minorHAnsi" w:cstheme="minorBidi"/>
                <w:color w:val="auto"/>
                <w:kern w:val="2"/>
                <w14:ligatures w14:val="standardContextual"/>
              </w:rPr>
              <w:tab/>
            </w:r>
            <w:r>
              <w:t>Solution</w:t>
            </w:r>
            <w:r>
              <w:tab/>
            </w:r>
            <w:r>
              <w:fldChar w:fldCharType="begin"/>
            </w:r>
            <w:r>
              <w:instrText xml:space="preserve"> PAGEREF _Toc170220937 \h </w:instrText>
            </w:r>
            <w:r>
              <w:fldChar w:fldCharType="separate"/>
            </w:r>
            <w:r w:rsidR="00897C87">
              <w:t>6</w:t>
            </w:r>
            <w:r>
              <w:fldChar w:fldCharType="end"/>
            </w:r>
          </w:p>
          <w:p w14:paraId="2F2EDBD4" w14:textId="5D445F89" w:rsidR="00BA0228" w:rsidRDefault="00BA0228" w:rsidP="00BA0228">
            <w:pPr>
              <w:pStyle w:val="TOCContents02WGR"/>
              <w:rPr>
                <w:rFonts w:asciiTheme="minorHAnsi" w:eastAsiaTheme="minorEastAsia" w:hAnsiTheme="minorHAnsi" w:cstheme="minorBidi"/>
                <w:color w:val="auto"/>
                <w:kern w:val="2"/>
                <w14:ligatures w14:val="standardContextual"/>
              </w:rPr>
            </w:pPr>
            <w:r>
              <w:t>6</w:t>
            </w:r>
            <w:r>
              <w:rPr>
                <w:rFonts w:asciiTheme="minorHAnsi" w:eastAsiaTheme="minorEastAsia" w:hAnsiTheme="minorHAnsi" w:cstheme="minorBidi"/>
                <w:color w:val="auto"/>
                <w:kern w:val="2"/>
                <w14:ligatures w14:val="standardContextual"/>
              </w:rPr>
              <w:tab/>
            </w:r>
            <w:r>
              <w:t>Impacts &amp; Other Considerations</w:t>
            </w:r>
            <w:r>
              <w:tab/>
            </w:r>
            <w:r>
              <w:fldChar w:fldCharType="begin"/>
            </w:r>
            <w:r>
              <w:instrText xml:space="preserve"> PAGEREF _Toc170220938 \h </w:instrText>
            </w:r>
            <w:r>
              <w:fldChar w:fldCharType="separate"/>
            </w:r>
            <w:r w:rsidR="00897C87">
              <w:t>7</w:t>
            </w:r>
            <w:r>
              <w:fldChar w:fldCharType="end"/>
            </w:r>
          </w:p>
          <w:p w14:paraId="33B431AD" w14:textId="020014E4" w:rsidR="00BA0228" w:rsidRDefault="00BA0228" w:rsidP="00BA0228">
            <w:pPr>
              <w:pStyle w:val="TOCContents02WGR"/>
              <w:rPr>
                <w:rFonts w:asciiTheme="minorHAnsi" w:eastAsiaTheme="minorEastAsia" w:hAnsiTheme="minorHAnsi" w:cstheme="minorBidi"/>
                <w:color w:val="auto"/>
                <w:kern w:val="2"/>
                <w14:ligatures w14:val="standardContextual"/>
              </w:rPr>
            </w:pPr>
            <w:r>
              <w:t>7</w:t>
            </w:r>
            <w:r>
              <w:rPr>
                <w:rFonts w:asciiTheme="minorHAnsi" w:eastAsiaTheme="minorEastAsia" w:hAnsiTheme="minorHAnsi" w:cstheme="minorBidi"/>
                <w:color w:val="auto"/>
                <w:kern w:val="2"/>
                <w14:ligatures w14:val="standardContextual"/>
              </w:rPr>
              <w:tab/>
            </w:r>
            <w:r>
              <w:t>Relevant Objectives</w:t>
            </w:r>
            <w:r>
              <w:tab/>
            </w:r>
            <w:r>
              <w:fldChar w:fldCharType="begin"/>
            </w:r>
            <w:r>
              <w:instrText xml:space="preserve"> PAGEREF _Toc170220939 \h </w:instrText>
            </w:r>
            <w:r>
              <w:fldChar w:fldCharType="separate"/>
            </w:r>
            <w:r w:rsidR="00897C87">
              <w:t>9</w:t>
            </w:r>
            <w:r>
              <w:fldChar w:fldCharType="end"/>
            </w:r>
          </w:p>
          <w:p w14:paraId="22E295A3" w14:textId="79F2DE05" w:rsidR="00BA0228" w:rsidRDefault="00BA0228" w:rsidP="00BA0228">
            <w:pPr>
              <w:pStyle w:val="TOCContents02WGR"/>
              <w:rPr>
                <w:rFonts w:asciiTheme="minorHAnsi" w:eastAsiaTheme="minorEastAsia" w:hAnsiTheme="minorHAnsi" w:cstheme="minorBidi"/>
                <w:color w:val="auto"/>
                <w:kern w:val="2"/>
                <w14:ligatures w14:val="standardContextual"/>
              </w:rPr>
            </w:pPr>
            <w:r>
              <w:t>8</w:t>
            </w:r>
            <w:r>
              <w:rPr>
                <w:rFonts w:asciiTheme="minorHAnsi" w:eastAsiaTheme="minorEastAsia" w:hAnsiTheme="minorHAnsi" w:cstheme="minorBidi"/>
                <w:color w:val="auto"/>
                <w:kern w:val="2"/>
                <w14:ligatures w14:val="standardContextual"/>
              </w:rPr>
              <w:tab/>
            </w:r>
            <w:r>
              <w:t>Implementation</w:t>
            </w:r>
            <w:r>
              <w:tab/>
            </w:r>
            <w:r>
              <w:fldChar w:fldCharType="begin"/>
            </w:r>
            <w:r>
              <w:instrText xml:space="preserve"> PAGEREF _Toc170220940 \h </w:instrText>
            </w:r>
            <w:r>
              <w:fldChar w:fldCharType="separate"/>
            </w:r>
            <w:r w:rsidR="00897C87">
              <w:t>9</w:t>
            </w:r>
            <w:r>
              <w:fldChar w:fldCharType="end"/>
            </w:r>
          </w:p>
          <w:p w14:paraId="6993553F" w14:textId="2836EA2B" w:rsidR="00BA0228" w:rsidRDefault="00BA0228" w:rsidP="00BA0228">
            <w:pPr>
              <w:pStyle w:val="TOCContents02WGR"/>
              <w:rPr>
                <w:rFonts w:asciiTheme="minorHAnsi" w:eastAsiaTheme="minorEastAsia" w:hAnsiTheme="minorHAnsi" w:cstheme="minorBidi"/>
                <w:color w:val="auto"/>
                <w:kern w:val="2"/>
                <w14:ligatures w14:val="standardContextual"/>
              </w:rPr>
            </w:pPr>
            <w:r>
              <w:t>9</w:t>
            </w:r>
            <w:r>
              <w:rPr>
                <w:rFonts w:asciiTheme="minorHAnsi" w:eastAsiaTheme="minorEastAsia" w:hAnsiTheme="minorHAnsi" w:cstheme="minorBidi"/>
                <w:color w:val="auto"/>
                <w:kern w:val="2"/>
                <w14:ligatures w14:val="standardContextual"/>
              </w:rPr>
              <w:tab/>
            </w:r>
            <w:r>
              <w:t>Legal Text</w:t>
            </w:r>
            <w:r>
              <w:tab/>
            </w:r>
            <w:r>
              <w:fldChar w:fldCharType="begin"/>
            </w:r>
            <w:r>
              <w:instrText xml:space="preserve"> PAGEREF _Toc170220941 \h </w:instrText>
            </w:r>
            <w:r>
              <w:fldChar w:fldCharType="separate"/>
            </w:r>
            <w:r w:rsidR="00897C87">
              <w:t>9</w:t>
            </w:r>
            <w:r>
              <w:fldChar w:fldCharType="end"/>
            </w:r>
          </w:p>
          <w:p w14:paraId="543A3338" w14:textId="0205BAD6" w:rsidR="00BA0228" w:rsidRDefault="00BA0228" w:rsidP="00BA0228">
            <w:pPr>
              <w:pStyle w:val="TOCContents02WGR"/>
              <w:rPr>
                <w:rFonts w:asciiTheme="minorHAnsi" w:eastAsiaTheme="minorEastAsia" w:hAnsiTheme="minorHAnsi" w:cstheme="minorBidi"/>
                <w:color w:val="auto"/>
                <w:kern w:val="2"/>
                <w14:ligatures w14:val="standardContextual"/>
              </w:rPr>
            </w:pPr>
            <w:r>
              <w:t>10</w:t>
            </w:r>
            <w:r>
              <w:rPr>
                <w:rFonts w:asciiTheme="minorHAnsi" w:eastAsiaTheme="minorEastAsia" w:hAnsiTheme="minorHAnsi" w:cstheme="minorBidi"/>
                <w:color w:val="auto"/>
                <w:kern w:val="2"/>
                <w14:ligatures w14:val="standardContextual"/>
              </w:rPr>
              <w:tab/>
            </w:r>
            <w:r>
              <w:t>Recommendations</w:t>
            </w:r>
            <w:r>
              <w:tab/>
            </w:r>
            <w:r>
              <w:fldChar w:fldCharType="begin"/>
            </w:r>
            <w:r>
              <w:instrText xml:space="preserve"> PAGEREF _Toc170220942 \h </w:instrText>
            </w:r>
            <w:r>
              <w:fldChar w:fldCharType="separate"/>
            </w:r>
            <w:r w:rsidR="00897C87">
              <w:t>10</w:t>
            </w:r>
            <w:r>
              <w:fldChar w:fldCharType="end"/>
            </w:r>
          </w:p>
          <w:p w14:paraId="57CBC34F" w14:textId="36C3CCE1" w:rsidR="00BA0228" w:rsidRDefault="00BA0228" w:rsidP="00BA0228">
            <w:pPr>
              <w:pStyle w:val="TOCContents02WGR"/>
              <w:rPr>
                <w:rFonts w:asciiTheme="minorHAnsi" w:eastAsiaTheme="minorEastAsia" w:hAnsiTheme="minorHAnsi" w:cstheme="minorBidi"/>
                <w:color w:val="auto"/>
                <w:kern w:val="2"/>
                <w14:ligatures w14:val="standardContextual"/>
              </w:rPr>
            </w:pPr>
            <w:r>
              <w:t>11</w:t>
            </w:r>
            <w:r>
              <w:rPr>
                <w:rFonts w:asciiTheme="minorHAnsi" w:eastAsiaTheme="minorEastAsia" w:hAnsiTheme="minorHAnsi" w:cstheme="minorBidi"/>
                <w:color w:val="auto"/>
                <w:kern w:val="2"/>
                <w14:ligatures w14:val="standardContextual"/>
              </w:rPr>
              <w:tab/>
            </w:r>
            <w:r>
              <w:t>Appended Representations</w:t>
            </w:r>
            <w:r>
              <w:tab/>
            </w:r>
            <w:r>
              <w:fldChar w:fldCharType="begin"/>
            </w:r>
            <w:r>
              <w:instrText xml:space="preserve"> PAGEREF _Toc170220943 \h </w:instrText>
            </w:r>
            <w:r>
              <w:fldChar w:fldCharType="separate"/>
            </w:r>
            <w:r w:rsidR="00897C87">
              <w:t>10</w:t>
            </w:r>
            <w:r>
              <w:fldChar w:fldCharType="end"/>
            </w:r>
          </w:p>
          <w:p w14:paraId="5AF4F9E2" w14:textId="3F1090FB" w:rsidR="00F10E14" w:rsidRPr="009577FB" w:rsidRDefault="00F10E14" w:rsidP="00BA0228">
            <w:pPr>
              <w:pStyle w:val="TOCContents02WGR"/>
              <w:rPr>
                <w:rFonts w:cs="Arial"/>
                <w:lang w:val="fr-FR"/>
              </w:rPr>
            </w:pPr>
            <w:r w:rsidRPr="00CA74C4">
              <w:rPr>
                <w:rFonts w:cs="Arial"/>
              </w:rPr>
              <w:fldChar w:fldCharType="end"/>
            </w:r>
          </w:p>
          <w:p w14:paraId="03232AFF" w14:textId="77777777" w:rsidR="00F10E14" w:rsidRPr="00CA74C4" w:rsidRDefault="008F48D5" w:rsidP="00CE3F16">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665"/>
              <w:gridCol w:w="2268"/>
            </w:tblGrid>
            <w:tr w:rsidR="00AA69EF" w:rsidRPr="00CA74C4" w14:paraId="61DC5609" w14:textId="77777777" w:rsidTr="00E81739">
              <w:tc>
                <w:tcPr>
                  <w:tcW w:w="7933" w:type="dxa"/>
                  <w:gridSpan w:val="2"/>
                  <w:shd w:val="clear" w:color="auto" w:fill="auto"/>
                </w:tcPr>
                <w:p w14:paraId="4E4901F1" w14:textId="2A415672" w:rsidR="00AA69EF" w:rsidRPr="00CA74C4" w:rsidRDefault="00491D53" w:rsidP="000B5CFC">
                  <w:pPr>
                    <w:spacing w:before="40" w:after="40"/>
                    <w:rPr>
                      <w:rFonts w:cs="Arial"/>
                      <w:szCs w:val="20"/>
                    </w:rPr>
                  </w:pPr>
                  <w:r>
                    <w:rPr>
                      <w:rFonts w:cs="Arial"/>
                      <w:b/>
                      <w:szCs w:val="20"/>
                    </w:rPr>
                    <w:t xml:space="preserve">Modification </w:t>
                  </w:r>
                  <w:r w:rsidR="00AA69EF" w:rsidRPr="00CA74C4">
                    <w:rPr>
                      <w:rFonts w:cs="Arial"/>
                      <w:b/>
                      <w:szCs w:val="20"/>
                    </w:rPr>
                    <w:t>timetable</w:t>
                  </w:r>
                  <w:r w:rsidR="000B5CFC" w:rsidRPr="00CA74C4">
                    <w:rPr>
                      <w:rFonts w:cs="Arial"/>
                      <w:b/>
                      <w:szCs w:val="20"/>
                    </w:rPr>
                    <w:t>:</w:t>
                  </w:r>
                </w:p>
              </w:tc>
            </w:tr>
            <w:tr w:rsidR="00936FDF" w:rsidRPr="00CA74C4" w14:paraId="6863E603" w14:textId="77777777" w:rsidTr="008E390E">
              <w:tc>
                <w:tcPr>
                  <w:tcW w:w="5665"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268" w:type="dxa"/>
                  <w:shd w:val="clear" w:color="auto" w:fill="auto"/>
                  <w:vAlign w:val="center"/>
                </w:tcPr>
                <w:p w14:paraId="3AC9BCFC" w14:textId="279E1FC5" w:rsidR="00936FDF" w:rsidRPr="00CA74C4" w:rsidRDefault="003A6DED" w:rsidP="00936FDF">
                  <w:pPr>
                    <w:spacing w:before="40" w:after="40"/>
                    <w:rPr>
                      <w:rFonts w:cs="Arial"/>
                      <w:szCs w:val="20"/>
                    </w:rPr>
                  </w:pPr>
                  <w:r>
                    <w:rPr>
                      <w:rFonts w:cs="Arial"/>
                      <w:szCs w:val="20"/>
                    </w:rPr>
                    <w:t>July 2023</w:t>
                  </w:r>
                </w:p>
              </w:tc>
            </w:tr>
            <w:tr w:rsidR="00936FDF" w:rsidRPr="00CA74C4" w14:paraId="5AA50968" w14:textId="77777777" w:rsidTr="008E390E">
              <w:tc>
                <w:tcPr>
                  <w:tcW w:w="5665"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268" w:type="dxa"/>
                  <w:shd w:val="clear" w:color="auto" w:fill="auto"/>
                  <w:vAlign w:val="center"/>
                </w:tcPr>
                <w:p w14:paraId="3D114586" w14:textId="78357F90" w:rsidR="00936FDF" w:rsidRPr="00CA74C4" w:rsidRDefault="003A6DED" w:rsidP="00936FDF">
                  <w:pPr>
                    <w:spacing w:before="40" w:after="40"/>
                    <w:rPr>
                      <w:rFonts w:cs="Arial"/>
                      <w:szCs w:val="20"/>
                    </w:rPr>
                  </w:pPr>
                  <w:r>
                    <w:rPr>
                      <w:rFonts w:cs="Arial"/>
                      <w:szCs w:val="20"/>
                    </w:rPr>
                    <w:t>05 October 2023</w:t>
                  </w:r>
                </w:p>
              </w:tc>
            </w:tr>
            <w:tr w:rsidR="00936FDF" w:rsidRPr="00CA74C4" w14:paraId="0CFE7BF7" w14:textId="77777777" w:rsidTr="008E390E">
              <w:tc>
                <w:tcPr>
                  <w:tcW w:w="5665" w:type="dxa"/>
                  <w:shd w:val="clear" w:color="auto" w:fill="auto"/>
                </w:tcPr>
                <w:p w14:paraId="0866D1EC" w14:textId="77777777" w:rsidR="00936FDF" w:rsidRPr="00CA74C4" w:rsidDel="002A7031" w:rsidRDefault="00936FDF" w:rsidP="00936FDF">
                  <w:pPr>
                    <w:tabs>
                      <w:tab w:val="left" w:pos="171"/>
                    </w:tabs>
                    <w:spacing w:before="40" w:after="40"/>
                    <w:rPr>
                      <w:rFonts w:cs="Arial"/>
                      <w:szCs w:val="20"/>
                    </w:rPr>
                  </w:pPr>
                  <w:r>
                    <w:rPr>
                      <w:rFonts w:cs="Arial"/>
                      <w:szCs w:val="20"/>
                    </w:rPr>
                    <w:t>New Modification to be considered by Panel</w:t>
                  </w:r>
                </w:p>
              </w:tc>
              <w:tc>
                <w:tcPr>
                  <w:tcW w:w="2268" w:type="dxa"/>
                  <w:shd w:val="clear" w:color="auto" w:fill="auto"/>
                  <w:vAlign w:val="center"/>
                </w:tcPr>
                <w:p w14:paraId="6B8FF6DD" w14:textId="376B9D97" w:rsidR="00936FDF" w:rsidRPr="00CA74C4" w:rsidRDefault="003A6DED" w:rsidP="00936FDF">
                  <w:pPr>
                    <w:spacing w:before="40" w:after="40"/>
                    <w:rPr>
                      <w:rFonts w:cs="Arial"/>
                      <w:szCs w:val="20"/>
                    </w:rPr>
                  </w:pPr>
                  <w:r>
                    <w:rPr>
                      <w:rFonts w:cs="Arial"/>
                      <w:szCs w:val="20"/>
                    </w:rPr>
                    <w:t>19 October 2023</w:t>
                  </w:r>
                </w:p>
              </w:tc>
            </w:tr>
            <w:tr w:rsidR="00936FDF" w:rsidRPr="00CA74C4" w14:paraId="4858209F" w14:textId="77777777" w:rsidTr="008E390E">
              <w:tc>
                <w:tcPr>
                  <w:tcW w:w="5665"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268" w:type="dxa"/>
                  <w:shd w:val="clear" w:color="auto" w:fill="auto"/>
                  <w:vAlign w:val="center"/>
                </w:tcPr>
                <w:p w14:paraId="39E2AEC9" w14:textId="36898173" w:rsidR="00936FDF" w:rsidRPr="00CA74C4" w:rsidRDefault="0023189F" w:rsidP="00936FDF">
                  <w:pPr>
                    <w:spacing w:before="40" w:after="40"/>
                    <w:rPr>
                      <w:rFonts w:cs="Arial"/>
                      <w:szCs w:val="20"/>
                    </w:rPr>
                  </w:pPr>
                  <w:r>
                    <w:rPr>
                      <w:rFonts w:cs="Arial"/>
                      <w:szCs w:val="20"/>
                    </w:rPr>
                    <w:t>02 November 2023</w:t>
                  </w:r>
                </w:p>
              </w:tc>
            </w:tr>
            <w:tr w:rsidR="00936FDF" w:rsidRPr="00CA74C4" w14:paraId="21327F73" w14:textId="77777777" w:rsidTr="008E390E">
              <w:tc>
                <w:tcPr>
                  <w:tcW w:w="5665" w:type="dxa"/>
                  <w:shd w:val="clear" w:color="auto" w:fill="auto"/>
                </w:tcPr>
                <w:p w14:paraId="77E8582A" w14:textId="77777777"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2268" w:type="dxa"/>
                  <w:shd w:val="clear" w:color="auto" w:fill="auto"/>
                  <w:vAlign w:val="center"/>
                </w:tcPr>
                <w:p w14:paraId="278B2C62" w14:textId="4E9578C4" w:rsidR="00936FDF" w:rsidRPr="00CA74C4" w:rsidRDefault="008354D2" w:rsidP="00936FDF">
                  <w:pPr>
                    <w:spacing w:before="40" w:after="40"/>
                    <w:rPr>
                      <w:rFonts w:cs="Arial"/>
                      <w:szCs w:val="20"/>
                    </w:rPr>
                  </w:pPr>
                  <w:r>
                    <w:rPr>
                      <w:rFonts w:cs="Arial"/>
                      <w:szCs w:val="20"/>
                    </w:rPr>
                    <w:t>18 July 2024</w:t>
                  </w:r>
                </w:p>
              </w:tc>
            </w:tr>
            <w:tr w:rsidR="00B50F34" w:rsidRPr="00CA74C4" w14:paraId="34B40E96" w14:textId="77777777" w:rsidTr="008E390E">
              <w:tc>
                <w:tcPr>
                  <w:tcW w:w="5665" w:type="dxa"/>
                  <w:shd w:val="clear" w:color="auto" w:fill="auto"/>
                </w:tcPr>
                <w:p w14:paraId="29501C12" w14:textId="77777777" w:rsidR="00B50F34" w:rsidRPr="00CA74C4" w:rsidRDefault="00B50F34" w:rsidP="00B50F34">
                  <w:pPr>
                    <w:tabs>
                      <w:tab w:val="left" w:pos="171"/>
                    </w:tabs>
                    <w:spacing w:before="40" w:after="40"/>
                    <w:rPr>
                      <w:rFonts w:cs="Arial"/>
                      <w:szCs w:val="20"/>
                    </w:rPr>
                  </w:pPr>
                  <w:r w:rsidRPr="00CA74C4">
                    <w:rPr>
                      <w:rFonts w:cs="Arial"/>
                      <w:szCs w:val="20"/>
                    </w:rPr>
                    <w:t>Draft Modification Report issued for consultation</w:t>
                  </w:r>
                </w:p>
              </w:tc>
              <w:tc>
                <w:tcPr>
                  <w:tcW w:w="2268" w:type="dxa"/>
                  <w:shd w:val="clear" w:color="auto" w:fill="auto"/>
                  <w:vAlign w:val="center"/>
                </w:tcPr>
                <w:p w14:paraId="0151A859" w14:textId="530951FA" w:rsidR="00B50F34" w:rsidRPr="00CA74C4" w:rsidRDefault="008354D2" w:rsidP="00B50F34">
                  <w:pPr>
                    <w:spacing w:before="40" w:after="40"/>
                    <w:rPr>
                      <w:rFonts w:cs="Arial"/>
                      <w:szCs w:val="20"/>
                    </w:rPr>
                  </w:pPr>
                  <w:r>
                    <w:rPr>
                      <w:rFonts w:cs="Arial"/>
                      <w:szCs w:val="20"/>
                    </w:rPr>
                    <w:t>1</w:t>
                  </w:r>
                  <w:r w:rsidR="006B47EC">
                    <w:rPr>
                      <w:rFonts w:cs="Arial"/>
                      <w:szCs w:val="20"/>
                    </w:rPr>
                    <w:t>9</w:t>
                  </w:r>
                  <w:r>
                    <w:rPr>
                      <w:rFonts w:cs="Arial"/>
                      <w:szCs w:val="20"/>
                    </w:rPr>
                    <w:t xml:space="preserve"> July 2024</w:t>
                  </w:r>
                </w:p>
              </w:tc>
            </w:tr>
            <w:tr w:rsidR="00B50F34" w:rsidRPr="00CA74C4" w14:paraId="6120101C" w14:textId="77777777" w:rsidTr="008E390E">
              <w:tc>
                <w:tcPr>
                  <w:tcW w:w="5665"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268" w:type="dxa"/>
                  <w:shd w:val="clear" w:color="auto" w:fill="auto"/>
                  <w:vAlign w:val="center"/>
                </w:tcPr>
                <w:p w14:paraId="76F99D9A" w14:textId="279AD856" w:rsidR="00B50F34" w:rsidRPr="00CA74C4" w:rsidRDefault="00B800F9" w:rsidP="00B50F34">
                  <w:pPr>
                    <w:spacing w:before="40" w:after="40"/>
                    <w:rPr>
                      <w:rFonts w:cs="Arial"/>
                      <w:szCs w:val="20"/>
                    </w:rPr>
                  </w:pPr>
                  <w:r>
                    <w:rPr>
                      <w:rFonts w:cs="Arial"/>
                      <w:szCs w:val="20"/>
                    </w:rPr>
                    <w:t>0</w:t>
                  </w:r>
                  <w:r w:rsidR="008354D2">
                    <w:rPr>
                      <w:rFonts w:cs="Arial"/>
                      <w:szCs w:val="20"/>
                    </w:rPr>
                    <w:t>8 August 2024</w:t>
                  </w:r>
                </w:p>
              </w:tc>
            </w:tr>
            <w:tr w:rsidR="00B50F34" w:rsidRPr="00CA74C4" w14:paraId="514D63F3" w14:textId="77777777" w:rsidTr="008E390E">
              <w:tc>
                <w:tcPr>
                  <w:tcW w:w="5665" w:type="dxa"/>
                  <w:shd w:val="clear" w:color="auto" w:fill="auto"/>
                </w:tcPr>
                <w:p w14:paraId="2616E30E" w14:textId="5CDB1DF6" w:rsidR="00B50F34" w:rsidRPr="00CA74C4" w:rsidRDefault="00B50F34" w:rsidP="00B50F34">
                  <w:pPr>
                    <w:tabs>
                      <w:tab w:val="left" w:pos="171"/>
                    </w:tabs>
                    <w:spacing w:before="40" w:after="40"/>
                    <w:rPr>
                      <w:rFonts w:cs="Arial"/>
                      <w:szCs w:val="20"/>
                    </w:rPr>
                  </w:pPr>
                  <w:r w:rsidRPr="00CA74C4">
                    <w:rPr>
                      <w:rFonts w:cs="Arial"/>
                      <w:szCs w:val="20"/>
                    </w:rPr>
                    <w:t>Final Modification Report available for Panel</w:t>
                  </w:r>
                  <w:r w:rsidR="00C55D4A">
                    <w:rPr>
                      <w:rFonts w:cs="Arial"/>
                      <w:szCs w:val="20"/>
                    </w:rPr>
                    <w:t xml:space="preserve"> (at short notice)</w:t>
                  </w:r>
                </w:p>
              </w:tc>
              <w:tc>
                <w:tcPr>
                  <w:tcW w:w="2268" w:type="dxa"/>
                  <w:shd w:val="clear" w:color="auto" w:fill="auto"/>
                  <w:vAlign w:val="center"/>
                </w:tcPr>
                <w:p w14:paraId="5711649B" w14:textId="7A6A2006" w:rsidR="00B50F34" w:rsidRPr="00CA74C4" w:rsidRDefault="008354D2" w:rsidP="00B50F34">
                  <w:pPr>
                    <w:spacing w:before="40" w:after="40"/>
                    <w:rPr>
                      <w:rFonts w:cs="Arial"/>
                      <w:szCs w:val="20"/>
                    </w:rPr>
                  </w:pPr>
                  <w:r>
                    <w:rPr>
                      <w:rFonts w:cs="Arial"/>
                      <w:szCs w:val="20"/>
                    </w:rPr>
                    <w:t>12 August 2024</w:t>
                  </w:r>
                </w:p>
              </w:tc>
            </w:tr>
            <w:tr w:rsidR="00B50F34" w:rsidRPr="00CA74C4" w14:paraId="4CAE68FD" w14:textId="77777777" w:rsidTr="008E390E">
              <w:trPr>
                <w:trHeight w:val="93"/>
              </w:trPr>
              <w:tc>
                <w:tcPr>
                  <w:tcW w:w="5665" w:type="dxa"/>
                  <w:shd w:val="clear" w:color="auto" w:fill="auto"/>
                </w:tcPr>
                <w:p w14:paraId="210052B9" w14:textId="77777777" w:rsidR="00B50F34" w:rsidRPr="00CA74C4" w:rsidRDefault="00B50F34" w:rsidP="00B50F34">
                  <w:pPr>
                    <w:tabs>
                      <w:tab w:val="left" w:pos="171"/>
                    </w:tabs>
                    <w:spacing w:before="40" w:after="40"/>
                    <w:rPr>
                      <w:rFonts w:cs="Arial"/>
                      <w:szCs w:val="20"/>
                    </w:rPr>
                  </w:pPr>
                  <w:r w:rsidRPr="00CA74C4">
                    <w:rPr>
                      <w:rFonts w:cs="Arial"/>
                      <w:szCs w:val="20"/>
                    </w:rPr>
                    <w:t>Modification Panel decision</w:t>
                  </w:r>
                </w:p>
              </w:tc>
              <w:tc>
                <w:tcPr>
                  <w:tcW w:w="2268" w:type="dxa"/>
                  <w:shd w:val="clear" w:color="auto" w:fill="auto"/>
                  <w:vAlign w:val="center"/>
                </w:tcPr>
                <w:p w14:paraId="247236D6" w14:textId="545B7CA4" w:rsidR="00B50F34" w:rsidRPr="00CA74C4" w:rsidRDefault="008354D2" w:rsidP="00B50F34">
                  <w:pPr>
                    <w:spacing w:before="40" w:after="40"/>
                    <w:rPr>
                      <w:rFonts w:cs="Arial"/>
                      <w:szCs w:val="20"/>
                    </w:rPr>
                  </w:pPr>
                  <w:r>
                    <w:rPr>
                      <w:rFonts w:cs="Arial"/>
                      <w:szCs w:val="20"/>
                    </w:rPr>
                    <w:t>15 August 2024</w:t>
                  </w:r>
                </w:p>
              </w:tc>
            </w:tr>
          </w:tbl>
          <w:p w14:paraId="59FE830E" w14:textId="3E44F091" w:rsidR="008F48D5" w:rsidRPr="00CA74C4" w:rsidRDefault="009B48C4" w:rsidP="007E718E">
            <w:pPr>
              <w:pStyle w:val="BodyTextFirstIndent"/>
              <w:ind w:firstLine="0"/>
              <w:rPr>
                <w:rFonts w:cs="Arial"/>
              </w:rPr>
            </w:pPr>
            <w:r>
              <w:rPr>
                <w:rFonts w:cs="Arial"/>
              </w:rPr>
              <w:t xml:space="preserve"> </w:t>
            </w: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5FF9ED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5D7891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4" w:history="1">
              <w:r w:rsidR="002D4AED" w:rsidRPr="002D4AED">
                <w:rPr>
                  <w:rStyle w:val="Hyperlink"/>
                  <w:rFonts w:cs="Arial"/>
                  <w:b/>
                  <w:szCs w:val="20"/>
                  <w:lang w:val="en-US"/>
                </w:rPr>
                <w:t>enquiries@gasgovernance.co.uk</w:t>
              </w:r>
            </w:hyperlink>
          </w:p>
        </w:tc>
      </w:tr>
      <w:tr w:rsidR="00F10E14" w:rsidRPr="00CA74C4" w14:paraId="3C27DD0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B6D87D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057C011"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066A2B68" w14:textId="77777777" w:rsidR="00F10E14" w:rsidRDefault="00A74B74" w:rsidP="002D4AED">
            <w:pPr>
              <w:spacing w:before="60" w:after="60" w:line="240" w:lineRule="auto"/>
              <w:rPr>
                <w:rFonts w:cs="Arial"/>
                <w:b/>
                <w:color w:val="008576"/>
                <w:szCs w:val="20"/>
              </w:rPr>
            </w:pPr>
            <w:r>
              <w:rPr>
                <w:rFonts w:cs="Arial"/>
                <w:b/>
                <w:color w:val="008576"/>
                <w:szCs w:val="20"/>
              </w:rPr>
              <w:t>Lauren Jauss</w:t>
            </w:r>
          </w:p>
          <w:p w14:paraId="6982D5B0" w14:textId="734A7177" w:rsidR="00A74B74" w:rsidRPr="00CA74C4" w:rsidRDefault="00A74B74" w:rsidP="002D4AED">
            <w:pPr>
              <w:spacing w:before="60" w:after="60" w:line="240" w:lineRule="auto"/>
              <w:rPr>
                <w:rFonts w:cs="Arial"/>
                <w:b/>
                <w:color w:val="008576"/>
                <w:szCs w:val="20"/>
              </w:rPr>
            </w:pPr>
            <w:r>
              <w:rPr>
                <w:rFonts w:cs="Arial"/>
                <w:b/>
                <w:color w:val="008576"/>
                <w:szCs w:val="20"/>
              </w:rPr>
              <w:t>RWE Supply &amp; Trading GmbH</w:t>
            </w:r>
          </w:p>
        </w:tc>
      </w:tr>
      <w:tr w:rsidR="00F10E14" w:rsidRPr="00CA74C4" w14:paraId="0645B31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80AF13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D57711" w14:textId="6730BF74" w:rsidR="003A6DED" w:rsidRPr="00CA74C4" w:rsidRDefault="003C3E68" w:rsidP="003A6D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A74B74">
              <w:rPr>
                <w:rFonts w:cs="Arial"/>
                <w:b/>
                <w:color w:val="008576"/>
                <w:sz w:val="16"/>
                <w:szCs w:val="16"/>
              </w:rPr>
              <w:t xml:space="preserve"> </w:t>
            </w:r>
            <w:hyperlink r:id="rId16" w:history="1">
              <w:r w:rsidR="003A6DED" w:rsidRPr="00E44566">
                <w:rPr>
                  <w:rStyle w:val="Hyperlink"/>
                  <w:rFonts w:cs="Arial"/>
                  <w:b/>
                  <w:szCs w:val="20"/>
                </w:rPr>
                <w:t>lauren.jauss@rwe.com</w:t>
              </w:r>
            </w:hyperlink>
          </w:p>
        </w:tc>
      </w:tr>
      <w:tr w:rsidR="00F10E14" w:rsidRPr="00CA74C4" w14:paraId="5C78018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AF3A8F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A59CAA" w14:textId="04D31EF9"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EF4AAF">
              <w:rPr>
                <w:rFonts w:cs="Arial"/>
                <w:b/>
                <w:color w:val="008576"/>
                <w:szCs w:val="20"/>
              </w:rPr>
              <w:t>07825 995497</w:t>
            </w:r>
          </w:p>
        </w:tc>
      </w:tr>
      <w:tr w:rsidR="00F10E14" w:rsidRPr="00CA74C4" w14:paraId="2A1880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2E01EE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7BCACF52" w14:textId="24FD64F1" w:rsidR="003948EC" w:rsidRDefault="003948EC" w:rsidP="002D4AED">
            <w:pPr>
              <w:pStyle w:val="BodyText"/>
              <w:spacing w:before="60" w:after="60" w:line="240" w:lineRule="auto"/>
              <w:rPr>
                <w:rFonts w:cs="Arial"/>
                <w:b/>
                <w:color w:val="008576"/>
                <w:szCs w:val="20"/>
              </w:rPr>
            </w:pPr>
            <w:r>
              <w:rPr>
                <w:rFonts w:cs="Arial"/>
                <w:b/>
                <w:color w:val="008576"/>
                <w:szCs w:val="20"/>
              </w:rPr>
              <w:t xml:space="preserve">Phil Lucas </w:t>
            </w:r>
          </w:p>
          <w:p w14:paraId="110FE6DE" w14:textId="39E0AFF3" w:rsidR="00080A61" w:rsidRPr="00CA74C4" w:rsidRDefault="003948EC" w:rsidP="002D4AED">
            <w:pPr>
              <w:pStyle w:val="BodyText"/>
              <w:spacing w:before="60" w:after="60" w:line="240" w:lineRule="auto"/>
              <w:rPr>
                <w:rFonts w:cs="Arial"/>
                <w:color w:val="008576"/>
                <w:szCs w:val="20"/>
              </w:rPr>
            </w:pPr>
            <w:r>
              <w:rPr>
                <w:rFonts w:cs="Arial"/>
                <w:b/>
                <w:color w:val="008576"/>
                <w:szCs w:val="20"/>
              </w:rPr>
              <w:t>NGT</w:t>
            </w:r>
          </w:p>
        </w:tc>
      </w:tr>
      <w:tr w:rsidR="00F10E14" w:rsidRPr="00CA74C4" w14:paraId="5C906A68"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8FE1563"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873888" w14:textId="36AD7DE5" w:rsidR="006B0FBF" w:rsidRPr="00CA74C4" w:rsidRDefault="003C3E68" w:rsidP="006B0FBF">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7" w:history="1">
              <w:r w:rsidR="006B0FBF" w:rsidRPr="00A11EB2">
                <w:rPr>
                  <w:rStyle w:val="Hyperlink"/>
                  <w:rFonts w:cs="Arial"/>
                  <w:b/>
                  <w:szCs w:val="20"/>
                </w:rPr>
                <w:t>phil.lucas@nationalgas.com</w:t>
              </w:r>
            </w:hyperlink>
          </w:p>
        </w:tc>
      </w:tr>
      <w:tr w:rsidR="00F10E14" w:rsidRPr="00CA74C4" w14:paraId="637F955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B4F100B"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273DEE" w14:textId="76B976A4"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p>
        </w:tc>
      </w:tr>
      <w:tr w:rsidR="005B0B30" w:rsidRPr="00CA74C4" w14:paraId="795D8F7B"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30905E08"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11D1C013"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5564F3B"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B2A537E" w14:textId="0B5E66AE" w:rsidR="005B0B30" w:rsidRPr="00CA74C4" w:rsidRDefault="003C3E68"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5B0B30" w:rsidRPr="00CA74C4">
              <w:rPr>
                <w:rFonts w:cs="Arial"/>
                <w:b/>
                <w:color w:val="008576"/>
                <w:szCs w:val="20"/>
              </w:rPr>
              <w:t xml:space="preserve"> </w:t>
            </w:r>
            <w:hyperlink r:id="rId18" w:history="1">
              <w:r w:rsidR="00CB5E73" w:rsidRPr="00CB5E73">
                <w:rPr>
                  <w:rStyle w:val="Hyperlink"/>
                  <w:rFonts w:cs="Arial"/>
                  <w:b/>
                  <w:szCs w:val="20"/>
                </w:rPr>
                <w:t>UKLink@xoserve.com</w:t>
              </w:r>
            </w:hyperlink>
          </w:p>
        </w:tc>
      </w:tr>
      <w:tr w:rsidR="00463C1B" w:rsidRPr="00CA74C4" w14:paraId="0957A6C5" w14:textId="77777777" w:rsidTr="00192347">
        <w:trPr>
          <w:trHeight w:val="2278"/>
        </w:trPr>
        <w:tc>
          <w:tcPr>
            <w:tcW w:w="8017" w:type="dxa"/>
            <w:vMerge/>
            <w:tcBorders>
              <w:left w:val="single" w:sz="4" w:space="0" w:color="4A8958"/>
              <w:bottom w:val="single" w:sz="4" w:space="0" w:color="4A8958"/>
              <w:right w:val="single" w:sz="4" w:space="0" w:color="4A8958"/>
            </w:tcBorders>
            <w:shd w:val="clear" w:color="auto" w:fill="auto"/>
          </w:tcPr>
          <w:p w14:paraId="36C24E54" w14:textId="77777777" w:rsidR="00463C1B" w:rsidRPr="00CA74C4" w:rsidRDefault="00463C1B" w:rsidP="004A3386">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0655CB7E" w14:textId="2FD24468" w:rsidR="00463C1B" w:rsidRPr="00CA74C4" w:rsidRDefault="00463C1B" w:rsidP="002D4AED">
            <w:pPr>
              <w:pStyle w:val="BodyText"/>
              <w:spacing w:before="60" w:after="60"/>
              <w:rPr>
                <w:rFonts w:cs="Arial"/>
                <w:b/>
                <w:noProof/>
                <w:color w:val="008576"/>
                <w:szCs w:val="20"/>
                <w:lang w:val="en-US" w:eastAsia="en-US"/>
              </w:rPr>
            </w:pPr>
          </w:p>
          <w:p w14:paraId="246C4651" w14:textId="3FC57926" w:rsidR="00463C1B" w:rsidRPr="00CA74C4" w:rsidRDefault="00463C1B" w:rsidP="002D4AED">
            <w:pPr>
              <w:pStyle w:val="BodyText"/>
              <w:spacing w:before="60" w:after="60" w:line="240" w:lineRule="auto"/>
              <w:rPr>
                <w:rFonts w:cs="Arial"/>
                <w:color w:val="008576"/>
                <w:szCs w:val="20"/>
              </w:rPr>
            </w:pPr>
          </w:p>
          <w:p w14:paraId="68D244F9" w14:textId="57C5FA4C" w:rsidR="00463C1B" w:rsidRPr="00CA74C4" w:rsidRDefault="00463C1B" w:rsidP="002D4AED">
            <w:pPr>
              <w:pStyle w:val="BodyText"/>
              <w:spacing w:before="60" w:after="60"/>
              <w:rPr>
                <w:rFonts w:cs="Arial"/>
                <w:b/>
                <w:color w:val="008576"/>
                <w:szCs w:val="20"/>
              </w:rPr>
            </w:pPr>
          </w:p>
          <w:p w14:paraId="5B4BE331" w14:textId="61202B2C" w:rsidR="00463C1B" w:rsidRPr="00CA74C4" w:rsidRDefault="00463C1B" w:rsidP="005649CA">
            <w:pPr>
              <w:pStyle w:val="BodyText"/>
              <w:spacing w:before="60" w:after="60"/>
              <w:rPr>
                <w:rFonts w:cs="Arial"/>
                <w:b/>
                <w:noProof/>
                <w:color w:val="008576"/>
                <w:szCs w:val="20"/>
                <w:lang w:val="en-US" w:eastAsia="en-US"/>
              </w:rPr>
            </w:pPr>
          </w:p>
        </w:tc>
      </w:tr>
    </w:tbl>
    <w:p w14:paraId="061792DB" w14:textId="64A22CC3" w:rsidR="00A90299" w:rsidRDefault="00A90299">
      <w:pPr>
        <w:rPr>
          <w:rFonts w:cs="Arial"/>
        </w:rPr>
      </w:pPr>
    </w:p>
    <w:p w14:paraId="56F4FCB8" w14:textId="77777777" w:rsidR="00EE5AFB" w:rsidRDefault="00EE5AFB">
      <w:pPr>
        <w:rPr>
          <w:rFonts w:cs="Arial"/>
        </w:rPr>
      </w:pPr>
    </w:p>
    <w:p w14:paraId="24267A3A" w14:textId="77777777" w:rsidR="00143041" w:rsidRPr="00CA74C4" w:rsidRDefault="004C6117" w:rsidP="00CE3F16">
      <w:pPr>
        <w:pStyle w:val="Heading02"/>
      </w:pPr>
      <w:bookmarkStart w:id="0" w:name="_Toc188527263"/>
      <w:bookmarkStart w:id="1" w:name="_Toc170220933"/>
      <w:r w:rsidRPr="00CA74C4">
        <w:lastRenderedPageBreak/>
        <w:t>Summary</w:t>
      </w:r>
      <w:bookmarkEnd w:id="0"/>
      <w:bookmarkEnd w:id="1"/>
    </w:p>
    <w:p w14:paraId="71BBAB5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4E3567A9" w14:textId="0FC824F6" w:rsidR="00822881" w:rsidRDefault="00287539" w:rsidP="00DE1C01">
      <w:pPr>
        <w:jc w:val="both"/>
        <w:rPr>
          <w:rFonts w:cs="Arial"/>
        </w:rPr>
      </w:pPr>
      <w:r>
        <w:rPr>
          <w:rFonts w:cs="Arial"/>
        </w:rPr>
        <w:t xml:space="preserve">UNC TPD </w:t>
      </w:r>
      <w:r w:rsidR="00822881">
        <w:rPr>
          <w:rFonts w:cs="Arial"/>
        </w:rPr>
        <w:t>Section J</w:t>
      </w:r>
      <w:r w:rsidR="00BF2612">
        <w:rPr>
          <w:rFonts w:cs="Arial"/>
        </w:rPr>
        <w:t xml:space="preserve"> – Exit Requirements - </w:t>
      </w:r>
      <w:r w:rsidR="00822881">
        <w:rPr>
          <w:rFonts w:cs="Arial"/>
        </w:rPr>
        <w:t>includes clauses specify</w:t>
      </w:r>
      <w:r w:rsidR="005F6C49">
        <w:rPr>
          <w:rFonts w:cs="Arial"/>
        </w:rPr>
        <w:t>ing</w:t>
      </w:r>
      <w:r w:rsidR="00822881">
        <w:rPr>
          <w:rFonts w:cs="Arial"/>
        </w:rPr>
        <w:t xml:space="preserve"> that Transporters are not </w:t>
      </w:r>
      <w:r w:rsidR="00732F02">
        <w:rPr>
          <w:rFonts w:cs="Arial"/>
        </w:rPr>
        <w:t>“</w:t>
      </w:r>
      <w:r w:rsidR="00822881">
        <w:rPr>
          <w:rFonts w:cs="Arial"/>
        </w:rPr>
        <w:t>obligated to make gas available</w:t>
      </w:r>
      <w:r w:rsidR="001875C0">
        <w:rPr>
          <w:rFonts w:cs="Arial"/>
        </w:rPr>
        <w:t>”</w:t>
      </w:r>
      <w:r w:rsidR="00822881">
        <w:rPr>
          <w:rFonts w:cs="Arial"/>
        </w:rPr>
        <w:t xml:space="preserve"> to Users at Exit Points or Supply Points if they do not hold Registered </w:t>
      </w:r>
      <w:r w:rsidR="0043426C">
        <w:rPr>
          <w:rFonts w:cs="Arial"/>
        </w:rPr>
        <w:t>Exit Capacity</w:t>
      </w:r>
      <w:r w:rsidR="00822881">
        <w:rPr>
          <w:rFonts w:cs="Arial"/>
        </w:rPr>
        <w:t xml:space="preserve">, </w:t>
      </w:r>
      <w:r w:rsidR="00870848">
        <w:rPr>
          <w:rFonts w:cs="Arial"/>
        </w:rPr>
        <w:t xml:space="preserve">and that the rate of offtake in an Offtake Profile Notice shall not exceed </w:t>
      </w:r>
      <w:r w:rsidR="00822881">
        <w:rPr>
          <w:rFonts w:cs="Arial"/>
        </w:rPr>
        <w:t>1/24</w:t>
      </w:r>
      <w:r w:rsidR="00822881" w:rsidRPr="00BB3C10">
        <w:rPr>
          <w:rFonts w:cs="Arial"/>
          <w:vertAlign w:val="superscript"/>
        </w:rPr>
        <w:t>th</w:t>
      </w:r>
      <w:r w:rsidR="00822881">
        <w:rPr>
          <w:rFonts w:cs="Arial"/>
        </w:rPr>
        <w:t xml:space="preserve"> of th</w:t>
      </w:r>
      <w:r w:rsidR="00870848">
        <w:rPr>
          <w:rFonts w:cs="Arial"/>
        </w:rPr>
        <w:t xml:space="preserve">e User’s </w:t>
      </w:r>
      <w:r w:rsidR="00822881">
        <w:rPr>
          <w:rFonts w:cs="Arial"/>
        </w:rPr>
        <w:t xml:space="preserve">Registered </w:t>
      </w:r>
      <w:r w:rsidR="0043426C">
        <w:rPr>
          <w:rFonts w:cs="Arial"/>
        </w:rPr>
        <w:t>Exit Capacity</w:t>
      </w:r>
      <w:r w:rsidR="00870848">
        <w:rPr>
          <w:rFonts w:cs="Arial"/>
        </w:rPr>
        <w:t xml:space="preserve">. </w:t>
      </w:r>
      <w:r w:rsidR="00822881">
        <w:rPr>
          <w:rFonts w:cs="Arial"/>
        </w:rPr>
        <w:t xml:space="preserve"> </w:t>
      </w:r>
    </w:p>
    <w:p w14:paraId="067F3BBE" w14:textId="77777777" w:rsidR="00870848" w:rsidRDefault="00DB7A15" w:rsidP="00870848">
      <w:pPr>
        <w:jc w:val="both"/>
      </w:pPr>
      <w:r>
        <w:t xml:space="preserve">This text implies that Transporters </w:t>
      </w:r>
      <w:r w:rsidR="00BC273A">
        <w:t>m</w:t>
      </w:r>
      <w:r w:rsidR="00C233EF">
        <w:t>ight</w:t>
      </w:r>
      <w:r w:rsidR="00870848">
        <w:t>:</w:t>
      </w:r>
    </w:p>
    <w:p w14:paraId="63569894" w14:textId="5DDE9AC1" w:rsidR="00D60CBE" w:rsidRDefault="00BC273A" w:rsidP="00870848">
      <w:pPr>
        <w:pStyle w:val="ListParagraph"/>
        <w:numPr>
          <w:ilvl w:val="0"/>
          <w:numId w:val="25"/>
        </w:numPr>
        <w:jc w:val="both"/>
      </w:pPr>
      <w:r>
        <w:t xml:space="preserve">be </w:t>
      </w:r>
      <w:r w:rsidR="00732F02">
        <w:t xml:space="preserve">permitted </w:t>
      </w:r>
      <w:r>
        <w:t>to</w:t>
      </w:r>
      <w:r w:rsidR="00C233EF">
        <w:t xml:space="preserve"> </w:t>
      </w:r>
      <w:r w:rsidR="008226C3" w:rsidRPr="00D60CBE">
        <w:t>differentiat</w:t>
      </w:r>
      <w:r w:rsidR="00AE0220" w:rsidRPr="00D60CBE">
        <w:t>e</w:t>
      </w:r>
      <w:r w:rsidR="008226C3" w:rsidRPr="00D60CBE">
        <w:t xml:space="preserve"> between Users </w:t>
      </w:r>
      <w:r w:rsidR="0047287A" w:rsidRPr="00D60CBE">
        <w:t xml:space="preserve">based on their Registered </w:t>
      </w:r>
      <w:r w:rsidR="0043426C">
        <w:t>Exit Capacity</w:t>
      </w:r>
      <w:r w:rsidR="0047287A" w:rsidRPr="00D60CBE">
        <w:t xml:space="preserve"> holdings </w:t>
      </w:r>
      <w:r w:rsidR="008226C3" w:rsidRPr="00D60CBE">
        <w:t>when planning gas deliver</w:t>
      </w:r>
      <w:r w:rsidR="00D60CBE">
        <w:t xml:space="preserve">ies </w:t>
      </w:r>
      <w:r w:rsidR="00392982">
        <w:t xml:space="preserve">to Exit Points </w:t>
      </w:r>
      <w:r w:rsidR="00D60CBE">
        <w:t>in the short term</w:t>
      </w:r>
      <w:r w:rsidR="00C233EF">
        <w:t>; or</w:t>
      </w:r>
    </w:p>
    <w:p w14:paraId="245579C8" w14:textId="3998ADDB" w:rsidR="007E5935" w:rsidRDefault="00D60CBE" w:rsidP="00A02290">
      <w:pPr>
        <w:pStyle w:val="ListParagraph"/>
        <w:numPr>
          <w:ilvl w:val="0"/>
          <w:numId w:val="25"/>
        </w:numPr>
        <w:jc w:val="both"/>
      </w:pPr>
      <w:r>
        <w:t>r</w:t>
      </w:r>
      <w:r w:rsidR="008226C3" w:rsidRPr="00D60CBE">
        <w:t xml:space="preserve">eject </w:t>
      </w:r>
      <w:r w:rsidRPr="00D60CBE">
        <w:t>Offtake Profile Notices (</w:t>
      </w:r>
      <w:r w:rsidR="008226C3" w:rsidRPr="00D60CBE">
        <w:t>OPNs</w:t>
      </w:r>
      <w:r w:rsidRPr="00D60CBE">
        <w:t>)</w:t>
      </w:r>
      <w:r w:rsidR="008226C3" w:rsidRPr="00D60CBE">
        <w:t xml:space="preserve"> </w:t>
      </w:r>
      <w:proofErr w:type="gramStart"/>
      <w:r w:rsidR="008226C3" w:rsidRPr="00D60CBE">
        <w:t>on the basis of</w:t>
      </w:r>
      <w:proofErr w:type="gramEnd"/>
      <w:r w:rsidR="008226C3" w:rsidRPr="00D60CBE">
        <w:t xml:space="preserve"> </w:t>
      </w:r>
      <w:r w:rsidR="0047287A" w:rsidRPr="00D60CBE">
        <w:t>a User’s</w:t>
      </w:r>
      <w:r w:rsidR="008226C3" w:rsidRPr="00D60CBE">
        <w:t xml:space="preserve"> Registered </w:t>
      </w:r>
      <w:r w:rsidR="0043426C">
        <w:t>Exit Capacity</w:t>
      </w:r>
      <w:r w:rsidR="008226C3" w:rsidRPr="00D60CBE">
        <w:t xml:space="preserve"> holdings</w:t>
      </w:r>
      <w:r w:rsidR="00C233EF">
        <w:t>; or</w:t>
      </w:r>
      <w:r w:rsidR="000A2456" w:rsidRPr="00D60CBE">
        <w:t xml:space="preserve"> </w:t>
      </w:r>
      <w:r w:rsidR="00D73A3F" w:rsidRPr="00D60CBE">
        <w:t xml:space="preserve"> </w:t>
      </w:r>
    </w:p>
    <w:p w14:paraId="0A8DD79A" w14:textId="6208D2C4" w:rsidR="00C233EF" w:rsidRDefault="00C233EF" w:rsidP="00C233EF">
      <w:pPr>
        <w:pStyle w:val="ListParagraph"/>
        <w:numPr>
          <w:ilvl w:val="0"/>
          <w:numId w:val="25"/>
        </w:numPr>
        <w:jc w:val="both"/>
      </w:pPr>
      <w:r w:rsidRPr="00D60CBE">
        <w:t>instruct</w:t>
      </w:r>
      <w:r w:rsidR="003C0C87">
        <w:t xml:space="preserve">, </w:t>
      </w:r>
      <w:r w:rsidR="002D6616">
        <w:t>enforce</w:t>
      </w:r>
      <w:r w:rsidR="003C0C87">
        <w:t xml:space="preserve"> or take action </w:t>
      </w:r>
      <w:r w:rsidR="002D6616">
        <w:t>against</w:t>
      </w:r>
      <w:r w:rsidR="003C0C87">
        <w:t xml:space="preserve"> </w:t>
      </w:r>
      <w:r w:rsidR="007059B1">
        <w:t>power generators</w:t>
      </w:r>
      <w:r w:rsidRPr="00D60CBE">
        <w:t xml:space="preserve"> </w:t>
      </w:r>
      <w:r w:rsidR="007059B1">
        <w:t xml:space="preserve">and industrial Users </w:t>
      </w:r>
      <w:r w:rsidRPr="00D60CBE">
        <w:t>to reduce or discontinue offtake of gas before a Stage 2 N</w:t>
      </w:r>
      <w:r>
        <w:t xml:space="preserve">etwork </w:t>
      </w:r>
      <w:r w:rsidRPr="00D60CBE">
        <w:t>G</w:t>
      </w:r>
      <w:r>
        <w:t xml:space="preserve">as </w:t>
      </w:r>
      <w:r w:rsidRPr="00D60CBE">
        <w:t>S</w:t>
      </w:r>
      <w:r>
        <w:t xml:space="preserve">upply </w:t>
      </w:r>
      <w:r w:rsidRPr="00D60CBE">
        <w:t>E</w:t>
      </w:r>
      <w:r>
        <w:t>mergency (NGSE)</w:t>
      </w:r>
      <w:r w:rsidR="003C0C87">
        <w:t xml:space="preserve"> if they do not hold </w:t>
      </w:r>
      <w:r w:rsidR="002D6616">
        <w:t>the corresponding</w:t>
      </w:r>
      <w:r w:rsidR="003C0C87">
        <w:t xml:space="preserve"> capacity</w:t>
      </w:r>
    </w:p>
    <w:p w14:paraId="31BFD4B6" w14:textId="6442D2F2" w:rsidR="00C233EF" w:rsidRDefault="007E5935" w:rsidP="00F6101E">
      <w:pPr>
        <w:jc w:val="both"/>
      </w:pPr>
      <w:r>
        <w:t xml:space="preserve">The above points were </w:t>
      </w:r>
      <w:r w:rsidR="00C233EF">
        <w:t>discussed</w:t>
      </w:r>
      <w:r>
        <w:t xml:space="preserve"> at a</w:t>
      </w:r>
      <w:r w:rsidR="00E26DFA">
        <w:t>n Exit Constraints</w:t>
      </w:r>
      <w:r>
        <w:t xml:space="preserve"> webinar held by National Gas on 16 December 2022, </w:t>
      </w:r>
      <w:r w:rsidR="00C233EF">
        <w:t xml:space="preserve">and clarified in a </w:t>
      </w:r>
      <w:hyperlink r:id="rId19" w:history="1">
        <w:r w:rsidR="00C233EF">
          <w:rPr>
            <w:rStyle w:val="Hyperlink"/>
          </w:rPr>
          <w:t>Q&amp;A Document</w:t>
        </w:r>
      </w:hyperlink>
      <w:r w:rsidR="00E26DFA">
        <w:t>,</w:t>
      </w:r>
      <w:r w:rsidR="00C233EF">
        <w:t xml:space="preserve"> subsequently </w:t>
      </w:r>
      <w:r w:rsidR="00732F02">
        <w:t xml:space="preserve">written and </w:t>
      </w:r>
      <w:r w:rsidR="00C233EF">
        <w:t>published by National Gas.</w:t>
      </w:r>
      <w:r w:rsidR="00E26DFA">
        <w:t xml:space="preserve"> </w:t>
      </w:r>
    </w:p>
    <w:p w14:paraId="1CC21C55" w14:textId="7046FADC" w:rsidR="00C233EF" w:rsidRDefault="00C233EF" w:rsidP="003B5B30">
      <w:r>
        <w:t>The Q&amp;A Document says “OPNs are not considered in relation to capacity entitlements as both may change during a Gas Day”</w:t>
      </w:r>
      <w:r w:rsidR="00732F02">
        <w:t xml:space="preserve"> and “We can only legally direct a CCGT to cease taking gas when a Stage 2 NGSE is in force. Other forms of disconnection would be market or contract based.”</w:t>
      </w:r>
    </w:p>
    <w:p w14:paraId="3C5071EC" w14:textId="52FA32E5" w:rsidR="004169FF" w:rsidRDefault="004169FF" w:rsidP="00397A08">
      <w:pPr>
        <w:jc w:val="both"/>
      </w:pPr>
      <w:r>
        <w:t xml:space="preserve">This webinar and Q&amp;A document largely confirms what the proposer believes is common understanding and common practice for NTS </w:t>
      </w:r>
      <w:proofErr w:type="gramStart"/>
      <w:r>
        <w:t>operation, but</w:t>
      </w:r>
      <w:proofErr w:type="gramEnd"/>
      <w:r>
        <w:t xml:space="preserve"> </w:t>
      </w:r>
      <w:r w:rsidR="007A4625">
        <w:t>appears to be</w:t>
      </w:r>
      <w:r>
        <w:t xml:space="preserve"> inconsistent with the rights and obligations set out in the UNC.  </w:t>
      </w:r>
    </w:p>
    <w:p w14:paraId="5EC6674B" w14:textId="22E561B4" w:rsidR="00732F02" w:rsidRDefault="00732F02" w:rsidP="00397A08">
      <w:pPr>
        <w:jc w:val="both"/>
      </w:pPr>
      <w:r>
        <w:t xml:space="preserve">The proposer believes that the obligations of Transporters to “make gas available” need to be clarified in UNC TPD Section J, so it is clear to Users what rights their Exit Capacity holdings convey, and therefore inform their capacity procurement strategy.  </w:t>
      </w:r>
    </w:p>
    <w:p w14:paraId="55BBDAAC" w14:textId="213D3166" w:rsidR="004169FF" w:rsidRDefault="00732F02" w:rsidP="00397A08">
      <w:pPr>
        <w:jc w:val="both"/>
      </w:pPr>
      <w:r>
        <w:t>The points above were</w:t>
      </w:r>
      <w:r w:rsidR="007E5935">
        <w:t xml:space="preserve"> </w:t>
      </w:r>
      <w:r>
        <w:t>also</w:t>
      </w:r>
      <w:r w:rsidR="007E5935">
        <w:t xml:space="preserve"> </w:t>
      </w:r>
      <w:r w:rsidR="007E5935" w:rsidRPr="000023DC">
        <w:t xml:space="preserve">discussed </w:t>
      </w:r>
      <w:r w:rsidR="00BF2612" w:rsidRPr="000023DC">
        <w:t xml:space="preserve">and </w:t>
      </w:r>
      <w:r w:rsidRPr="000023DC">
        <w:t xml:space="preserve">are </w:t>
      </w:r>
      <w:r w:rsidR="00BF2612" w:rsidRPr="000023DC">
        <w:t>recorded in the</w:t>
      </w:r>
      <w:r w:rsidR="007E5935" w:rsidRPr="000023DC">
        <w:t xml:space="preserve"> </w:t>
      </w:r>
      <w:hyperlink r:id="rId20" w:history="1">
        <w:r w:rsidR="007E5935" w:rsidRPr="000023DC">
          <w:rPr>
            <w:rStyle w:val="Hyperlink"/>
          </w:rPr>
          <w:t xml:space="preserve">Transmission </w:t>
        </w:r>
        <w:r w:rsidR="00E26DFA" w:rsidRPr="000023DC">
          <w:rPr>
            <w:rStyle w:val="Hyperlink"/>
          </w:rPr>
          <w:t>W</w:t>
        </w:r>
        <w:r w:rsidR="007E5935" w:rsidRPr="000023DC">
          <w:rPr>
            <w:rStyle w:val="Hyperlink"/>
          </w:rPr>
          <w:t xml:space="preserve">orkgroup </w:t>
        </w:r>
        <w:r w:rsidR="00BF2612" w:rsidRPr="000023DC">
          <w:rPr>
            <w:rStyle w:val="Hyperlink"/>
          </w:rPr>
          <w:t xml:space="preserve">minutes from </w:t>
        </w:r>
        <w:r w:rsidR="00F6101E" w:rsidRPr="000023DC">
          <w:rPr>
            <w:rStyle w:val="Hyperlink"/>
          </w:rPr>
          <w:t>0</w:t>
        </w:r>
        <w:r w:rsidR="007E5935" w:rsidRPr="000023DC">
          <w:rPr>
            <w:rStyle w:val="Hyperlink"/>
          </w:rPr>
          <w:t>1 June 2023</w:t>
        </w:r>
      </w:hyperlink>
      <w:r w:rsidR="005D6E76" w:rsidRPr="000023DC">
        <w:t>.</w:t>
      </w:r>
      <w:r w:rsidR="00E26DFA" w:rsidRPr="000023DC">
        <w:t xml:space="preserve">  </w:t>
      </w:r>
    </w:p>
    <w:p w14:paraId="20AAB4B0" w14:textId="075F2211" w:rsidR="004C6117" w:rsidRPr="00CA74C4" w:rsidRDefault="004C6117" w:rsidP="00281705">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4BE46163" w14:textId="124A214D" w:rsidR="001D6754" w:rsidRDefault="00E67AA3" w:rsidP="001D6754">
      <w:pPr>
        <w:jc w:val="both"/>
        <w:rPr>
          <w:rFonts w:cs="Arial"/>
        </w:rPr>
      </w:pPr>
      <w:r>
        <w:rPr>
          <w:rFonts w:cs="Arial"/>
        </w:rPr>
        <w:t xml:space="preserve">The </w:t>
      </w:r>
      <w:r w:rsidR="0074611E">
        <w:rPr>
          <w:rFonts w:cs="Arial"/>
        </w:rPr>
        <w:t xml:space="preserve">National Emergency Plan for Downstream Gas and Electricity describes scaling-back release of </w:t>
      </w:r>
      <w:r w:rsidR="004E5ABC">
        <w:rPr>
          <w:rFonts w:cs="Arial"/>
        </w:rPr>
        <w:t>daily firm exit</w:t>
      </w:r>
      <w:r w:rsidR="0074611E">
        <w:rPr>
          <w:rFonts w:cs="Arial"/>
        </w:rPr>
        <w:t xml:space="preserve"> capacity as a pre-Network Gas Supply Emergency </w:t>
      </w:r>
      <w:r w:rsidR="00DA6F5F">
        <w:rPr>
          <w:rFonts w:cs="Arial"/>
        </w:rPr>
        <w:t xml:space="preserve">(NGSE) </w:t>
      </w:r>
      <w:r w:rsidR="0074611E">
        <w:rPr>
          <w:rFonts w:cs="Arial"/>
        </w:rPr>
        <w:t>measure.</w:t>
      </w:r>
      <w:r w:rsidR="00132D37">
        <w:rPr>
          <w:rFonts w:cs="Arial"/>
        </w:rPr>
        <w:t xml:space="preserve"> </w:t>
      </w:r>
      <w:r w:rsidR="0074611E">
        <w:rPr>
          <w:rFonts w:cs="Arial"/>
        </w:rPr>
        <w:t xml:space="preserve">However, </w:t>
      </w:r>
      <w:r w:rsidR="00132D37">
        <w:rPr>
          <w:rFonts w:cs="Arial"/>
        </w:rPr>
        <w:t xml:space="preserve">under </w:t>
      </w:r>
      <w:r w:rsidR="0074611E">
        <w:rPr>
          <w:rFonts w:cs="Arial"/>
        </w:rPr>
        <w:t xml:space="preserve">the </w:t>
      </w:r>
      <w:r w:rsidR="00132D37">
        <w:rPr>
          <w:rFonts w:cs="Arial"/>
        </w:rPr>
        <w:t xml:space="preserve">relatively new </w:t>
      </w:r>
      <w:r w:rsidR="0074611E">
        <w:rPr>
          <w:rFonts w:cs="Arial"/>
        </w:rPr>
        <w:t xml:space="preserve"> </w:t>
      </w:r>
      <w:r w:rsidR="003F6F15">
        <w:rPr>
          <w:rFonts w:cs="Arial"/>
        </w:rPr>
        <w:t xml:space="preserve">“Postage Stamp” </w:t>
      </w:r>
      <w:r w:rsidR="007059B1">
        <w:rPr>
          <w:rFonts w:cs="Arial"/>
        </w:rPr>
        <w:t xml:space="preserve">gas transmission </w:t>
      </w:r>
      <w:r w:rsidR="00132D37">
        <w:rPr>
          <w:rFonts w:cs="Arial"/>
        </w:rPr>
        <w:t>charging</w:t>
      </w:r>
      <w:r w:rsidR="0074611E">
        <w:rPr>
          <w:rFonts w:cs="Arial"/>
        </w:rPr>
        <w:t xml:space="preserve"> </w:t>
      </w:r>
      <w:r w:rsidR="003F6F15">
        <w:rPr>
          <w:rFonts w:cs="Arial"/>
        </w:rPr>
        <w:t>arrangements</w:t>
      </w:r>
      <w:r w:rsidR="0074611E">
        <w:rPr>
          <w:rFonts w:cs="Arial"/>
        </w:rPr>
        <w:t xml:space="preserve">, </w:t>
      </w:r>
      <w:r w:rsidR="00F55351">
        <w:rPr>
          <w:rFonts w:cs="Arial"/>
        </w:rPr>
        <w:t xml:space="preserve">NTS direct connect </w:t>
      </w:r>
      <w:r w:rsidR="0074611E">
        <w:rPr>
          <w:rFonts w:cs="Arial"/>
        </w:rPr>
        <w:t xml:space="preserve">Users </w:t>
      </w:r>
      <w:r w:rsidR="00F55351">
        <w:rPr>
          <w:rFonts w:cs="Arial"/>
        </w:rPr>
        <w:t xml:space="preserve">with variable offtake </w:t>
      </w:r>
      <w:r w:rsidR="00132D37">
        <w:rPr>
          <w:rFonts w:cs="Arial"/>
        </w:rPr>
        <w:t xml:space="preserve">are incentivised and </w:t>
      </w:r>
      <w:r w:rsidR="00B823D5">
        <w:rPr>
          <w:rFonts w:cs="Arial"/>
        </w:rPr>
        <w:t>assum</w:t>
      </w:r>
      <w:r w:rsidR="00132D37">
        <w:rPr>
          <w:rFonts w:cs="Arial"/>
        </w:rPr>
        <w:t xml:space="preserve">ed to </w:t>
      </w:r>
      <w:r w:rsidR="0074611E">
        <w:rPr>
          <w:rFonts w:cs="Arial"/>
        </w:rPr>
        <w:t>match their capacity requirements</w:t>
      </w:r>
      <w:r w:rsidR="00132D37">
        <w:rPr>
          <w:rFonts w:cs="Arial"/>
        </w:rPr>
        <w:t xml:space="preserve"> as accurately as possible</w:t>
      </w:r>
      <w:r w:rsidR="0074611E">
        <w:rPr>
          <w:rFonts w:cs="Arial"/>
        </w:rPr>
        <w:t xml:space="preserve"> by buying in short term </w:t>
      </w:r>
      <w:r w:rsidR="00132D37">
        <w:rPr>
          <w:rFonts w:cs="Arial"/>
        </w:rPr>
        <w:t xml:space="preserve">day ahead or within day </w:t>
      </w:r>
      <w:r w:rsidR="0074611E">
        <w:rPr>
          <w:rFonts w:cs="Arial"/>
        </w:rPr>
        <w:t>auctions.</w:t>
      </w:r>
      <w:r w:rsidR="00132D37">
        <w:rPr>
          <w:rFonts w:cs="Arial"/>
        </w:rPr>
        <w:t xml:space="preserve"> </w:t>
      </w:r>
      <w:r w:rsidR="00F55351">
        <w:rPr>
          <w:rFonts w:cs="Arial"/>
        </w:rPr>
        <w:t>Therefore</w:t>
      </w:r>
      <w:r w:rsidR="0074611E">
        <w:rPr>
          <w:rFonts w:cs="Arial"/>
        </w:rPr>
        <w:t xml:space="preserve">, if release of </w:t>
      </w:r>
      <w:r w:rsidR="00F55351">
        <w:rPr>
          <w:rFonts w:cs="Arial"/>
        </w:rPr>
        <w:t xml:space="preserve">obligated exit </w:t>
      </w:r>
      <w:r w:rsidR="0074611E">
        <w:rPr>
          <w:rFonts w:cs="Arial"/>
        </w:rPr>
        <w:t xml:space="preserve">capacity is restricted in the short term, and offtake is </w:t>
      </w:r>
      <w:r w:rsidR="00F55351">
        <w:rPr>
          <w:rFonts w:cs="Arial"/>
        </w:rPr>
        <w:t xml:space="preserve">subsequently </w:t>
      </w:r>
      <w:r w:rsidR="0074611E">
        <w:rPr>
          <w:rFonts w:cs="Arial"/>
        </w:rPr>
        <w:t xml:space="preserve">restricted to capacity holdings, then National Gas can curtail </w:t>
      </w:r>
      <w:r w:rsidR="00544CEF">
        <w:rPr>
          <w:rFonts w:cs="Arial"/>
        </w:rPr>
        <w:t>offtake of power stations</w:t>
      </w:r>
      <w:r w:rsidR="007059B1">
        <w:rPr>
          <w:rFonts w:cs="Arial"/>
        </w:rPr>
        <w:t xml:space="preserve"> and large industrial Users</w:t>
      </w:r>
      <w:r w:rsidR="00544CEF">
        <w:rPr>
          <w:rFonts w:cs="Arial"/>
        </w:rPr>
        <w:t xml:space="preserve"> </w:t>
      </w:r>
      <w:r w:rsidR="00BB3343">
        <w:rPr>
          <w:rFonts w:cs="Arial"/>
        </w:rPr>
        <w:t xml:space="preserve">in </w:t>
      </w:r>
      <w:r w:rsidR="0074611E">
        <w:rPr>
          <w:rFonts w:cs="Arial"/>
        </w:rPr>
        <w:t>pre-</w:t>
      </w:r>
      <w:r w:rsidR="00BB3343">
        <w:rPr>
          <w:rFonts w:cs="Arial"/>
        </w:rPr>
        <w:t>NGSE</w:t>
      </w:r>
      <w:r w:rsidR="0074611E">
        <w:rPr>
          <w:rFonts w:cs="Arial"/>
        </w:rPr>
        <w:t xml:space="preserve"> stages. The proposer </w:t>
      </w:r>
      <w:r w:rsidR="00F55351">
        <w:rPr>
          <w:rFonts w:cs="Arial"/>
        </w:rPr>
        <w:t>believes that this is not the intention of the emergency arrangements</w:t>
      </w:r>
      <w:r w:rsidR="001D6754">
        <w:rPr>
          <w:rFonts w:cs="Arial"/>
        </w:rPr>
        <w:t xml:space="preserve">, and that </w:t>
      </w:r>
      <w:r w:rsidR="004E5ABC">
        <w:rPr>
          <w:rFonts w:cs="Arial"/>
        </w:rPr>
        <w:t xml:space="preserve">when drafted it was </w:t>
      </w:r>
      <w:r w:rsidR="001D6754">
        <w:rPr>
          <w:rFonts w:cs="Arial"/>
        </w:rPr>
        <w:t xml:space="preserve">only non-essential offtake </w:t>
      </w:r>
      <w:r w:rsidR="004E5ABC">
        <w:rPr>
          <w:rFonts w:cs="Arial"/>
        </w:rPr>
        <w:t>that was</w:t>
      </w:r>
      <w:r w:rsidR="001D6754">
        <w:rPr>
          <w:rFonts w:cs="Arial"/>
        </w:rPr>
        <w:t xml:space="preserve"> </w:t>
      </w:r>
      <w:r w:rsidR="00544CEF">
        <w:rPr>
          <w:rFonts w:cs="Arial"/>
        </w:rPr>
        <w:t xml:space="preserve">expected </w:t>
      </w:r>
      <w:r w:rsidR="003F6F15">
        <w:rPr>
          <w:rFonts w:cs="Arial"/>
        </w:rPr>
        <w:t xml:space="preserve">to be </w:t>
      </w:r>
      <w:r w:rsidR="004E5ABC">
        <w:rPr>
          <w:rFonts w:cs="Arial"/>
        </w:rPr>
        <w:t>impacted</w:t>
      </w:r>
      <w:r w:rsidR="00BB3343">
        <w:rPr>
          <w:rFonts w:cs="Arial"/>
        </w:rPr>
        <w:t xml:space="preserve"> pre-NGSE. The proposer understands that in pre-NGSE stages there is no coordination between National Gas and NESO to manage the whole energy system.</w:t>
      </w:r>
      <w:r w:rsidR="004E5ABC">
        <w:rPr>
          <w:rFonts w:cs="Arial"/>
        </w:rPr>
        <w:t xml:space="preserve"> </w:t>
      </w:r>
    </w:p>
    <w:p w14:paraId="21A53F28" w14:textId="0C3AD650" w:rsidR="004D241F" w:rsidRPr="00CA74C4" w:rsidRDefault="004E5ABC" w:rsidP="00BB3343">
      <w:pPr>
        <w:jc w:val="both"/>
        <w:rPr>
          <w:rFonts w:cs="Arial"/>
          <w:i/>
          <w:color w:val="00B274"/>
        </w:rPr>
      </w:pPr>
      <w:r>
        <w:rPr>
          <w:rFonts w:cs="Arial"/>
        </w:rPr>
        <w:t xml:space="preserve">The proposer also believes that </w:t>
      </w:r>
      <w:r w:rsidR="00F252FB">
        <w:rPr>
          <w:rFonts w:cs="Arial"/>
        </w:rPr>
        <w:t xml:space="preserve">the Postage Stamp charging arrangements were developed </w:t>
      </w:r>
      <w:r w:rsidR="00BA7125">
        <w:rPr>
          <w:rFonts w:cs="Arial"/>
        </w:rPr>
        <w:t>to be</w:t>
      </w:r>
      <w:r w:rsidR="00F252FB">
        <w:rPr>
          <w:rFonts w:cs="Arial"/>
        </w:rPr>
        <w:t xml:space="preserve"> an efficient cost recovery mechanism</w:t>
      </w:r>
      <w:r w:rsidR="00BA7125">
        <w:rPr>
          <w:rFonts w:cs="Arial"/>
        </w:rPr>
        <w:t xml:space="preserve"> for a network with ample </w:t>
      </w:r>
      <w:r w:rsidR="0002581E">
        <w:rPr>
          <w:rFonts w:cs="Arial"/>
        </w:rPr>
        <w:t>capacity and</w:t>
      </w:r>
      <w:r w:rsidR="00F252FB">
        <w:rPr>
          <w:rFonts w:cs="Arial"/>
        </w:rPr>
        <w:t xml:space="preserve"> were not designed for </w:t>
      </w:r>
      <w:r w:rsidR="00BA7125">
        <w:rPr>
          <w:rFonts w:cs="Arial"/>
        </w:rPr>
        <w:t>scenarios with restricted network access such as pre-NGSE.</w:t>
      </w:r>
      <w:r w:rsidR="00C22FB5">
        <w:rPr>
          <w:rFonts w:cs="Arial"/>
        </w:rPr>
        <w:t xml:space="preserve"> </w:t>
      </w:r>
      <w:r w:rsidR="003C0C87">
        <w:rPr>
          <w:rFonts w:cs="Arial"/>
        </w:rPr>
        <w:t xml:space="preserve">Nearly all the analysis that has been undertaken to support code modification decisions and to arrive at the most optimal solution have assumed that Users’ capacity procurement perfectly matches their actual flows. </w:t>
      </w:r>
      <w:r w:rsidR="00C22FB5">
        <w:rPr>
          <w:rFonts w:cs="Arial"/>
        </w:rPr>
        <w:t xml:space="preserve">However, the </w:t>
      </w:r>
      <w:r w:rsidR="00BB3343">
        <w:rPr>
          <w:rFonts w:cs="Arial"/>
        </w:rPr>
        <w:t xml:space="preserve">low-probability/high-impact </w:t>
      </w:r>
      <w:r w:rsidR="00C22FB5">
        <w:rPr>
          <w:rFonts w:cs="Arial"/>
        </w:rPr>
        <w:t>risk that National Gas might scale-</w:t>
      </w:r>
      <w:r w:rsidR="00C22FB5">
        <w:rPr>
          <w:rFonts w:cs="Arial"/>
        </w:rPr>
        <w:lastRenderedPageBreak/>
        <w:t xml:space="preserve">back release of daily firm exit capacity </w:t>
      </w:r>
      <w:r w:rsidR="00BB3343">
        <w:rPr>
          <w:rFonts w:cs="Arial"/>
        </w:rPr>
        <w:t xml:space="preserve">and restrict access to the network in pre-NGSE stages </w:t>
      </w:r>
      <w:r w:rsidR="003C0C87">
        <w:rPr>
          <w:rFonts w:cs="Arial"/>
        </w:rPr>
        <w:t>has been</w:t>
      </w:r>
      <w:r w:rsidR="00BB3343">
        <w:rPr>
          <w:rFonts w:cs="Arial"/>
        </w:rPr>
        <w:t xml:space="preserve"> one of the main drivers of directly connected NTS Users’ capacity procurement strategies</w:t>
      </w:r>
      <w:r w:rsidR="003C0C87">
        <w:rPr>
          <w:rFonts w:cs="Arial"/>
        </w:rPr>
        <w:t xml:space="preserve"> over the last few years</w:t>
      </w:r>
      <w:r w:rsidR="00BB3343">
        <w:rPr>
          <w:rFonts w:cs="Arial"/>
        </w:rPr>
        <w:t>. As a result, many</w:t>
      </w:r>
      <w:r w:rsidR="00C22FB5">
        <w:rPr>
          <w:rFonts w:cs="Arial"/>
        </w:rPr>
        <w:t xml:space="preserve"> </w:t>
      </w:r>
      <w:r w:rsidR="004D241F">
        <w:rPr>
          <w:rFonts w:cs="Arial"/>
        </w:rPr>
        <w:t xml:space="preserve">Users </w:t>
      </w:r>
      <w:r w:rsidR="00BB3343">
        <w:rPr>
          <w:rFonts w:cs="Arial"/>
        </w:rPr>
        <w:t>are</w:t>
      </w:r>
      <w:r w:rsidR="00334B68">
        <w:rPr>
          <w:rFonts w:cs="Arial"/>
        </w:rPr>
        <w:t xml:space="preserve"> over-buying gas </w:t>
      </w:r>
      <w:r w:rsidR="00392982">
        <w:rPr>
          <w:rFonts w:cs="Arial"/>
        </w:rPr>
        <w:t>Exit C</w:t>
      </w:r>
      <w:r w:rsidR="00B207AF">
        <w:rPr>
          <w:rFonts w:cs="Arial"/>
        </w:rPr>
        <w:t>apacity</w:t>
      </w:r>
      <w:r w:rsidR="00AE0220">
        <w:rPr>
          <w:rFonts w:cs="Arial"/>
        </w:rPr>
        <w:t xml:space="preserve"> </w:t>
      </w:r>
      <w:r w:rsidR="00932CA4">
        <w:rPr>
          <w:rFonts w:cs="Arial"/>
        </w:rPr>
        <w:t xml:space="preserve">in long term auctions </w:t>
      </w:r>
      <w:r w:rsidR="00AE0220">
        <w:rPr>
          <w:rFonts w:cs="Arial"/>
        </w:rPr>
        <w:t xml:space="preserve">because they think </w:t>
      </w:r>
      <w:r w:rsidR="00392982">
        <w:rPr>
          <w:rFonts w:cs="Arial"/>
        </w:rPr>
        <w:t xml:space="preserve">it </w:t>
      </w:r>
      <w:r w:rsidR="00424C95">
        <w:rPr>
          <w:rFonts w:cs="Arial"/>
        </w:rPr>
        <w:t xml:space="preserve">might </w:t>
      </w:r>
      <w:r w:rsidR="00AE0220">
        <w:rPr>
          <w:rFonts w:cs="Arial"/>
        </w:rPr>
        <w:t>reduce their risk of not being able to offtake gas in the short term</w:t>
      </w:r>
      <w:r w:rsidR="00932CA4">
        <w:rPr>
          <w:rFonts w:cs="Arial"/>
        </w:rPr>
        <w:t>. Users</w:t>
      </w:r>
      <w:r w:rsidR="005D6E76">
        <w:rPr>
          <w:rFonts w:cs="Arial"/>
        </w:rPr>
        <w:t xml:space="preserve"> </w:t>
      </w:r>
      <w:r w:rsidR="00932CA4">
        <w:rPr>
          <w:rFonts w:cs="Arial"/>
        </w:rPr>
        <w:t>will be prepared</w:t>
      </w:r>
      <w:r w:rsidR="00424C95">
        <w:rPr>
          <w:rFonts w:cs="Arial"/>
        </w:rPr>
        <w:t xml:space="preserve"> to pay for </w:t>
      </w:r>
      <w:r w:rsidR="00932CA4">
        <w:rPr>
          <w:rFonts w:cs="Arial"/>
        </w:rPr>
        <w:t>an increasing amount of capacity, with decreasing probability of their customers flowing against it, if they think the cost of the risk of not having access to gas outweighs the cost of capacity</w:t>
      </w:r>
      <w:r w:rsidR="00AE0220">
        <w:rPr>
          <w:rFonts w:cs="Arial"/>
        </w:rPr>
        <w:t>.</w:t>
      </w:r>
      <w:r w:rsidR="00424C95">
        <w:rPr>
          <w:rFonts w:cs="Arial"/>
        </w:rPr>
        <w:t xml:space="preserve"> </w:t>
      </w:r>
      <w:r w:rsidR="00932CA4">
        <w:rPr>
          <w:rFonts w:cs="Arial"/>
        </w:rPr>
        <w:t xml:space="preserve">This risk and hence capacity cost might be borne by Shippers and passed through to customers in overall contract pricing or could be borne directly by </w:t>
      </w:r>
      <w:r w:rsidR="000D1C7C">
        <w:rPr>
          <w:rFonts w:cs="Arial"/>
        </w:rPr>
        <w:t xml:space="preserve">some </w:t>
      </w:r>
      <w:r w:rsidR="00932CA4">
        <w:rPr>
          <w:rFonts w:cs="Arial"/>
        </w:rPr>
        <w:t xml:space="preserve">customers depending on contractual arrangements. </w:t>
      </w:r>
      <w:r w:rsidR="00E26DFA">
        <w:rPr>
          <w:rFonts w:cs="Arial"/>
        </w:rPr>
        <w:t>M</w:t>
      </w:r>
      <w:r w:rsidR="007E5935">
        <w:rPr>
          <w:rFonts w:cs="Arial"/>
        </w:rPr>
        <w:t>eanwhile</w:t>
      </w:r>
      <w:r w:rsidR="00932CA4">
        <w:rPr>
          <w:rFonts w:cs="Arial"/>
        </w:rPr>
        <w:t>,</w:t>
      </w:r>
      <w:r w:rsidR="007E5935">
        <w:rPr>
          <w:rFonts w:cs="Arial"/>
        </w:rPr>
        <w:t xml:space="preserve"> t</w:t>
      </w:r>
      <w:r w:rsidR="00794513">
        <w:rPr>
          <w:rFonts w:cs="Arial"/>
        </w:rPr>
        <w:t xml:space="preserve">his </w:t>
      </w:r>
      <w:r w:rsidR="00151CCF">
        <w:rPr>
          <w:rFonts w:cs="Arial"/>
        </w:rPr>
        <w:t xml:space="preserve">increased </w:t>
      </w:r>
      <w:r w:rsidR="00392982">
        <w:rPr>
          <w:rFonts w:cs="Arial"/>
        </w:rPr>
        <w:t>Exit C</w:t>
      </w:r>
      <w:r w:rsidR="00151CCF">
        <w:rPr>
          <w:rFonts w:cs="Arial"/>
        </w:rPr>
        <w:t xml:space="preserve">apacity procurement </w:t>
      </w:r>
      <w:r w:rsidR="00BF2612">
        <w:rPr>
          <w:rFonts w:cs="Arial"/>
        </w:rPr>
        <w:t>contributes to an increased probability of</w:t>
      </w:r>
      <w:r w:rsidR="00794513">
        <w:rPr>
          <w:rFonts w:cs="Arial"/>
        </w:rPr>
        <w:t xml:space="preserve"> over-recovery of </w:t>
      </w:r>
      <w:r w:rsidR="00F33081">
        <w:rPr>
          <w:rFonts w:cs="Arial"/>
        </w:rPr>
        <w:t>allowed revenue</w:t>
      </w:r>
      <w:r w:rsidR="00BF2612">
        <w:rPr>
          <w:rFonts w:cs="Arial"/>
        </w:rPr>
        <w:t>. It is</w:t>
      </w:r>
      <w:r w:rsidR="00F33081">
        <w:rPr>
          <w:rFonts w:cs="Arial"/>
        </w:rPr>
        <w:t xml:space="preserve"> difficult to forecast</w:t>
      </w:r>
      <w:r w:rsidR="007B4850">
        <w:rPr>
          <w:rFonts w:cs="Arial"/>
        </w:rPr>
        <w:t xml:space="preserve"> this over-buying</w:t>
      </w:r>
      <w:r w:rsidR="00151CCF">
        <w:rPr>
          <w:rFonts w:cs="Arial"/>
        </w:rPr>
        <w:t xml:space="preserve"> when </w:t>
      </w:r>
      <w:r w:rsidR="002223C3">
        <w:rPr>
          <w:rFonts w:cs="Arial"/>
        </w:rPr>
        <w:t xml:space="preserve">setting </w:t>
      </w:r>
      <w:r w:rsidR="00513947">
        <w:rPr>
          <w:rFonts w:cs="Arial"/>
        </w:rPr>
        <w:t>Forecast</w:t>
      </w:r>
      <w:r w:rsidR="007059B1">
        <w:rPr>
          <w:rFonts w:cs="Arial"/>
        </w:rPr>
        <w:t>ed</w:t>
      </w:r>
      <w:r w:rsidR="00513947">
        <w:rPr>
          <w:rFonts w:cs="Arial"/>
        </w:rPr>
        <w:t xml:space="preserve"> Contracted Capacity and </w:t>
      </w:r>
      <w:r w:rsidR="002223C3">
        <w:rPr>
          <w:rFonts w:cs="Arial"/>
        </w:rPr>
        <w:t>calculating</w:t>
      </w:r>
      <w:r w:rsidR="00513947">
        <w:rPr>
          <w:rFonts w:cs="Arial"/>
        </w:rPr>
        <w:t xml:space="preserve"> capacity Reserve Prices</w:t>
      </w:r>
      <w:r w:rsidR="00932CA4">
        <w:rPr>
          <w:rFonts w:cs="Arial"/>
        </w:rPr>
        <w:t xml:space="preserve">. If it is not anticipated, </w:t>
      </w:r>
      <w:r w:rsidR="00E26DFA">
        <w:rPr>
          <w:rFonts w:cs="Arial"/>
        </w:rPr>
        <w:t xml:space="preserve">the increase in </w:t>
      </w:r>
      <w:r w:rsidR="00392982">
        <w:rPr>
          <w:rFonts w:cs="Arial"/>
        </w:rPr>
        <w:t>Exit C</w:t>
      </w:r>
      <w:r w:rsidR="00E26DFA">
        <w:rPr>
          <w:rFonts w:cs="Arial"/>
        </w:rPr>
        <w:t xml:space="preserve">apacity costs for some Users </w:t>
      </w:r>
      <w:r w:rsidR="00932CA4">
        <w:rPr>
          <w:rFonts w:cs="Arial"/>
        </w:rPr>
        <w:t xml:space="preserve">will </w:t>
      </w:r>
      <w:r w:rsidR="00E26DFA">
        <w:rPr>
          <w:rFonts w:cs="Arial"/>
        </w:rPr>
        <w:t>not translat</w:t>
      </w:r>
      <w:r w:rsidR="00932CA4">
        <w:rPr>
          <w:rFonts w:cs="Arial"/>
        </w:rPr>
        <w:t>e</w:t>
      </w:r>
      <w:r w:rsidR="00E26DFA">
        <w:rPr>
          <w:rFonts w:cs="Arial"/>
        </w:rPr>
        <w:t xml:space="preserve"> into reduced </w:t>
      </w:r>
      <w:r w:rsidR="00932CA4">
        <w:rPr>
          <w:rFonts w:cs="Arial"/>
        </w:rPr>
        <w:t>Reserve Prices and hence reduced</w:t>
      </w:r>
      <w:r w:rsidR="00E26DFA">
        <w:rPr>
          <w:rFonts w:cs="Arial"/>
        </w:rPr>
        <w:t xml:space="preserve"> costs for all other</w:t>
      </w:r>
      <w:r w:rsidR="00932CA4">
        <w:rPr>
          <w:rFonts w:cs="Arial"/>
        </w:rPr>
        <w:t xml:space="preserve"> Users</w:t>
      </w:r>
      <w:r w:rsidR="00E26DFA">
        <w:rPr>
          <w:rFonts w:cs="Arial"/>
        </w:rPr>
        <w:t xml:space="preserve"> </w:t>
      </w:r>
      <w:r w:rsidR="000D1C7C">
        <w:rPr>
          <w:rFonts w:cs="Arial"/>
        </w:rPr>
        <w:t xml:space="preserve"> During the same Gas Year.</w:t>
      </w:r>
      <w:r w:rsidR="00E26DFA">
        <w:rPr>
          <w:rFonts w:cs="Arial"/>
        </w:rPr>
        <w:t xml:space="preserve"> </w:t>
      </w:r>
      <w:r w:rsidR="007B4850">
        <w:rPr>
          <w:rFonts w:cs="Arial"/>
        </w:rPr>
        <w:t xml:space="preserve"> </w:t>
      </w:r>
    </w:p>
    <w:p w14:paraId="12BC52E4" w14:textId="002409D0" w:rsidR="007A4625" w:rsidRDefault="004C6117" w:rsidP="00EB1875">
      <w:pPr>
        <w:pStyle w:val="Heading4"/>
        <w:keepLines w:val="0"/>
        <w:numPr>
          <w:ilvl w:val="0"/>
          <w:numId w:val="0"/>
        </w:numPr>
        <w:spacing w:before="240"/>
        <w:jc w:val="both"/>
      </w:pPr>
      <w:r w:rsidRPr="00CA74C4">
        <w:rPr>
          <w:rFonts w:ascii="Arial" w:eastAsia="Times New Roman" w:hAnsi="Arial" w:cs="Arial"/>
          <w:i w:val="0"/>
          <w:iCs w:val="0"/>
          <w:color w:val="008576"/>
          <w:sz w:val="24"/>
          <w:szCs w:val="28"/>
        </w:rPr>
        <w:t>How</w:t>
      </w:r>
      <w:r w:rsidR="00623022" w:rsidRPr="00CA74C4">
        <w:rPr>
          <w:rFonts w:cs="Arial"/>
          <w:i w:val="0"/>
          <w:color w:val="00B274"/>
        </w:rPr>
        <w:t xml:space="preserve"> </w:t>
      </w:r>
    </w:p>
    <w:p w14:paraId="7899E649" w14:textId="3CD384AC" w:rsidR="00480EDE" w:rsidRDefault="0047287A" w:rsidP="007A4625">
      <w:pPr>
        <w:jc w:val="both"/>
      </w:pPr>
      <w:r>
        <w:rPr>
          <w:rFonts w:cs="Arial"/>
        </w:rPr>
        <w:t xml:space="preserve">It is proposed that </w:t>
      </w:r>
      <w:r w:rsidR="00397A08">
        <w:rPr>
          <w:rFonts w:cs="Arial"/>
        </w:rPr>
        <w:t xml:space="preserve">the legal </w:t>
      </w:r>
      <w:r>
        <w:rPr>
          <w:rFonts w:cs="Arial"/>
        </w:rPr>
        <w:t xml:space="preserve">text </w:t>
      </w:r>
      <w:r w:rsidR="00397A08">
        <w:rPr>
          <w:rFonts w:cs="Arial"/>
        </w:rPr>
        <w:t>in UNC</w:t>
      </w:r>
      <w:r>
        <w:rPr>
          <w:rFonts w:cs="Arial"/>
        </w:rPr>
        <w:t xml:space="preserve"> </w:t>
      </w:r>
      <w:r w:rsidR="00287539">
        <w:rPr>
          <w:rFonts w:cs="Arial"/>
        </w:rPr>
        <w:t xml:space="preserve">TPD </w:t>
      </w:r>
      <w:r>
        <w:rPr>
          <w:rFonts w:cs="Arial"/>
        </w:rPr>
        <w:t xml:space="preserve">Section </w:t>
      </w:r>
      <w:r w:rsidR="00287539">
        <w:rPr>
          <w:rFonts w:cs="Arial"/>
        </w:rPr>
        <w:t>J</w:t>
      </w:r>
      <w:r>
        <w:rPr>
          <w:rFonts w:cs="Arial"/>
        </w:rPr>
        <w:t xml:space="preserve"> </w:t>
      </w:r>
      <w:r w:rsidR="00397A08">
        <w:rPr>
          <w:rFonts w:cs="Arial"/>
        </w:rPr>
        <w:t xml:space="preserve">should be amended </w:t>
      </w:r>
      <w:r w:rsidR="00287539">
        <w:rPr>
          <w:rFonts w:cs="Arial"/>
        </w:rPr>
        <w:t xml:space="preserve">to clarify that </w:t>
      </w:r>
      <w:r w:rsidR="00F02549">
        <w:t>a site that submits an</w:t>
      </w:r>
      <w:r w:rsidR="00DC70EB">
        <w:t xml:space="preserve"> </w:t>
      </w:r>
      <w:r w:rsidR="00DC70EB" w:rsidRPr="00D60CBE">
        <w:t>Offtake Profile Notice</w:t>
      </w:r>
      <w:r w:rsidR="00F02549">
        <w:t xml:space="preserve"> </w:t>
      </w:r>
      <w:r w:rsidR="00DC70EB">
        <w:t>(</w:t>
      </w:r>
      <w:r w:rsidR="00F02549">
        <w:t>OPN</w:t>
      </w:r>
      <w:r w:rsidR="00DC70EB">
        <w:t>)</w:t>
      </w:r>
      <w:r w:rsidR="00F02549">
        <w:t xml:space="preserve"> </w:t>
      </w:r>
      <w:r w:rsidR="00852297">
        <w:t xml:space="preserve">for an </w:t>
      </w:r>
      <w:r w:rsidR="00852297" w:rsidRPr="00852297">
        <w:t xml:space="preserve">NTS Supply Points </w:t>
      </w:r>
      <w:r w:rsidR="00852297">
        <w:t>or a</w:t>
      </w:r>
      <w:r w:rsidR="00852297" w:rsidRPr="00852297">
        <w:t xml:space="preserve"> NTS Connected System Exit Point</w:t>
      </w:r>
      <w:r w:rsidR="00852297">
        <w:t xml:space="preserve"> (CSEP) </w:t>
      </w:r>
      <w:r w:rsidR="00F02549">
        <w:t>would not have this rejected for the reason of not holding the corresponding</w:t>
      </w:r>
      <w:r w:rsidR="00296595">
        <w:t xml:space="preserve"> 1/24</w:t>
      </w:r>
      <w:r w:rsidR="00296595" w:rsidRPr="00EB1875">
        <w:rPr>
          <w:vertAlign w:val="superscript"/>
        </w:rPr>
        <w:t>th</w:t>
      </w:r>
      <w:r w:rsidR="00F02549">
        <w:t xml:space="preserve"> </w:t>
      </w:r>
      <w:r w:rsidR="00392982">
        <w:t>Exit C</w:t>
      </w:r>
      <w:r w:rsidR="00F02549">
        <w:t>apacity</w:t>
      </w:r>
      <w:r w:rsidR="00AD7BF5">
        <w:t xml:space="preserve"> and that Exit Capacity holdings</w:t>
      </w:r>
      <w:r w:rsidR="00852297">
        <w:t xml:space="preserve"> at these exit points</w:t>
      </w:r>
      <w:r w:rsidR="00AD7BF5">
        <w:t xml:space="preserve"> do not affect a User’s operational entitlement to offtake gas from the NTS (but may impact their charges)</w:t>
      </w:r>
      <w:r w:rsidR="00480EDE">
        <w:t xml:space="preserve">. </w:t>
      </w:r>
    </w:p>
    <w:p w14:paraId="7BF2FDD7" w14:textId="36F1F357" w:rsidR="00480EDE" w:rsidRDefault="00480EDE" w:rsidP="00281705">
      <w:pPr>
        <w:jc w:val="both"/>
      </w:pPr>
      <w:r>
        <w:t xml:space="preserve">It is further proposed that </w:t>
      </w:r>
      <w:r w:rsidR="003C0C87">
        <w:t xml:space="preserve">the rights and obligations of Transporters to “make gas available” need to be clarified by adding </w:t>
      </w:r>
      <w:r>
        <w:t>t</w:t>
      </w:r>
      <w:r w:rsidR="00F02549">
        <w:t>ext</w:t>
      </w:r>
      <w:r>
        <w:t xml:space="preserve"> </w:t>
      </w:r>
      <w:r w:rsidR="00F02549">
        <w:t xml:space="preserve">to </w:t>
      </w:r>
      <w:r>
        <w:t>TPD Section Q – Emergencies –</w:t>
      </w:r>
      <w:r w:rsidR="00BF2612">
        <w:t xml:space="preserve"> </w:t>
      </w:r>
      <w:r>
        <w:t xml:space="preserve">to </w:t>
      </w:r>
      <w:r w:rsidR="00F02549">
        <w:t xml:space="preserve">clarify that </w:t>
      </w:r>
      <w:r w:rsidR="002223C3" w:rsidRPr="002223C3">
        <w:t xml:space="preserve">the reduction or discontinuance of </w:t>
      </w:r>
      <w:r w:rsidR="00C678C9">
        <w:t xml:space="preserve">the </w:t>
      </w:r>
      <w:r w:rsidR="002223C3" w:rsidRPr="002223C3">
        <w:t xml:space="preserve">offtake of gas at </w:t>
      </w:r>
      <w:r w:rsidR="002223C3">
        <w:t xml:space="preserve">Exit Points may only be </w:t>
      </w:r>
      <w:r w:rsidR="00AD7BF5">
        <w:t>enforced</w:t>
      </w:r>
      <w:r w:rsidR="002223C3">
        <w:t xml:space="preserve"> in accordance with the provisions of that section of the UNC, </w:t>
      </w:r>
      <w:r w:rsidR="003948EC">
        <w:t xml:space="preserve">or </w:t>
      </w:r>
      <w:r w:rsidR="003948EC" w:rsidRPr="003948EC">
        <w:t xml:space="preserve">where the Permitted Rate of Offtake is exceeded </w:t>
      </w:r>
      <w:r w:rsidR="002223C3">
        <w:t xml:space="preserve">and for the avoidance of doubt, is unaffected by whether a User holds </w:t>
      </w:r>
      <w:r w:rsidR="00392982">
        <w:t>the relevant Exit C</w:t>
      </w:r>
      <w:r w:rsidR="002223C3">
        <w:t xml:space="preserve">apacity </w:t>
      </w:r>
      <w:r w:rsidR="003948EC">
        <w:t xml:space="preserve">at </w:t>
      </w:r>
      <w:r w:rsidR="003948EC" w:rsidRPr="00852297">
        <w:t xml:space="preserve">NTS Supply Points </w:t>
      </w:r>
      <w:r w:rsidR="003948EC">
        <w:t>or CSEPs</w:t>
      </w:r>
      <w:r w:rsidR="002223C3">
        <w:t xml:space="preserve">. </w:t>
      </w:r>
    </w:p>
    <w:p w14:paraId="59C12B33" w14:textId="77777777" w:rsidR="00E6212D" w:rsidRPr="00CA74C4" w:rsidRDefault="00E6212D" w:rsidP="00CE3F16">
      <w:pPr>
        <w:pStyle w:val="Heading02"/>
      </w:pPr>
      <w:bookmarkStart w:id="2" w:name="_Toc170220934"/>
      <w:r w:rsidRPr="00CA74C4">
        <w:t>Governance</w:t>
      </w:r>
      <w:bookmarkEnd w:id="2"/>
    </w:p>
    <w:p w14:paraId="1533BCA6" w14:textId="4DB2C6D5" w:rsidR="00FE46EE" w:rsidRPr="00B502DC" w:rsidRDefault="00B37860" w:rsidP="00281705">
      <w:pPr>
        <w:pStyle w:val="Heading4"/>
        <w:keepLines w:val="0"/>
        <w:numPr>
          <w:ilvl w:val="0"/>
          <w:numId w:val="0"/>
        </w:numPr>
        <w:spacing w:before="240"/>
        <w:jc w:val="both"/>
        <w:rPr>
          <w:rFonts w:ascii="Arial" w:eastAsia="Cambria" w:hAnsi="Arial" w:cs="Arial"/>
          <w:b w:val="0"/>
          <w:bCs w:val="0"/>
          <w:color w:val="00B274"/>
          <w:szCs w:val="20"/>
          <w:lang w:val="en-US" w:eastAsia="en-US"/>
        </w:rPr>
      </w:pPr>
      <w:bookmarkStart w:id="3" w:name="_Hlk30580666"/>
      <w:r w:rsidRPr="00CA74C4">
        <w:rPr>
          <w:rFonts w:ascii="Arial" w:eastAsia="Times New Roman" w:hAnsi="Arial" w:cs="Arial"/>
          <w:i w:val="0"/>
          <w:iCs w:val="0"/>
          <w:color w:val="008576"/>
          <w:sz w:val="24"/>
          <w:szCs w:val="28"/>
        </w:rPr>
        <w:t xml:space="preserve">Justification for </w:t>
      </w:r>
      <w:r w:rsidR="00DA6F5F">
        <w:rPr>
          <w:rFonts w:ascii="Arial" w:eastAsia="Times New Roman" w:hAnsi="Arial" w:cs="Arial"/>
          <w:i w:val="0"/>
          <w:iCs w:val="0"/>
          <w:color w:val="008576"/>
          <w:sz w:val="24"/>
          <w:szCs w:val="28"/>
        </w:rPr>
        <w:t>Authority Direction</w:t>
      </w:r>
    </w:p>
    <w:bookmarkEnd w:id="3"/>
    <w:p w14:paraId="053BA6B6" w14:textId="6B7DDB9D" w:rsidR="00BF2612" w:rsidRDefault="00DA6F5F" w:rsidP="00E67AA3">
      <w:pPr>
        <w:jc w:val="both"/>
      </w:pPr>
      <w:r>
        <w:rPr>
          <w:rFonts w:cs="Arial"/>
        </w:rPr>
        <w:t>The proposer believes that this proposal would remove the right for National Gas to reject an OPN on the basis of capacity holdings</w:t>
      </w:r>
      <w:r w:rsidR="00852297">
        <w:rPr>
          <w:rFonts w:cs="Arial"/>
        </w:rPr>
        <w:t xml:space="preserve"> at NTS Supply Points and </w:t>
      </w:r>
      <w:proofErr w:type="gramStart"/>
      <w:r w:rsidR="00852297">
        <w:rPr>
          <w:rFonts w:cs="Arial"/>
        </w:rPr>
        <w:t>CSEPs</w:t>
      </w:r>
      <w:r>
        <w:rPr>
          <w:rFonts w:cs="Arial"/>
        </w:rPr>
        <w:t>, and</w:t>
      </w:r>
      <w:proofErr w:type="gramEnd"/>
      <w:r>
        <w:rPr>
          <w:rFonts w:cs="Arial"/>
        </w:rPr>
        <w:t xml:space="preserve"> is therefore a material change.      </w:t>
      </w:r>
    </w:p>
    <w:p w14:paraId="16087089" w14:textId="77777777" w:rsidR="00B37860" w:rsidRPr="00CA74C4" w:rsidRDefault="00B37860" w:rsidP="00281705">
      <w:pPr>
        <w:pStyle w:val="Heading4"/>
        <w:keepLines w:val="0"/>
        <w:numPr>
          <w:ilvl w:val="0"/>
          <w:numId w:val="0"/>
        </w:numPr>
        <w:spacing w:before="240"/>
        <w:jc w:val="both"/>
        <w:rPr>
          <w:rFonts w:ascii="Arial" w:eastAsia="Times New Roman" w:hAnsi="Arial" w:cs="Arial"/>
          <w:b w:val="0"/>
          <w:iCs w:val="0"/>
          <w:color w:val="FF0000"/>
          <w:szCs w:val="20"/>
        </w:rPr>
      </w:pPr>
      <w:bookmarkStart w:id="4" w:name="_Hlk30581701"/>
      <w:r w:rsidRPr="00CA74C4">
        <w:rPr>
          <w:rFonts w:ascii="Arial" w:eastAsia="Times New Roman" w:hAnsi="Arial" w:cs="Arial"/>
          <w:i w:val="0"/>
          <w:iCs w:val="0"/>
          <w:color w:val="008576"/>
          <w:sz w:val="24"/>
        </w:rPr>
        <w:t>Requested Next Steps</w:t>
      </w:r>
    </w:p>
    <w:p w14:paraId="7BB0A7C3" w14:textId="261422C4" w:rsidR="005054CF" w:rsidRDefault="00936FDF" w:rsidP="00FC1636">
      <w:pPr>
        <w:pStyle w:val="BodyText3"/>
        <w:ind w:right="113"/>
        <w:jc w:val="both"/>
        <w:rPr>
          <w:rFonts w:cs="Arial"/>
          <w:sz w:val="20"/>
          <w:szCs w:val="20"/>
        </w:rPr>
      </w:pPr>
      <w:r w:rsidRPr="00F20FAB">
        <w:rPr>
          <w:sz w:val="20"/>
          <w:szCs w:val="20"/>
        </w:rPr>
        <w:t xml:space="preserve">This </w:t>
      </w:r>
      <w:r>
        <w:rPr>
          <w:sz w:val="20"/>
          <w:szCs w:val="20"/>
        </w:rPr>
        <w:t>M</w:t>
      </w:r>
      <w:r w:rsidRPr="00F20FAB">
        <w:rPr>
          <w:sz w:val="20"/>
          <w:szCs w:val="20"/>
        </w:rPr>
        <w:t>odi</w:t>
      </w:r>
      <w:r>
        <w:rPr>
          <w:sz w:val="20"/>
          <w:szCs w:val="20"/>
        </w:rPr>
        <w:t>fication should</w:t>
      </w:r>
      <w:r w:rsidR="00FC1636">
        <w:rPr>
          <w:sz w:val="20"/>
          <w:szCs w:val="20"/>
        </w:rPr>
        <w:t xml:space="preserve"> </w:t>
      </w:r>
      <w:r w:rsidR="005054CF">
        <w:rPr>
          <w:rFonts w:cs="Arial"/>
          <w:sz w:val="20"/>
          <w:szCs w:val="20"/>
        </w:rPr>
        <w:t xml:space="preserve">be </w:t>
      </w:r>
      <w:r w:rsidR="005054CF" w:rsidRPr="00A101DF">
        <w:rPr>
          <w:rFonts w:cs="Arial"/>
          <w:sz w:val="20"/>
          <w:szCs w:val="20"/>
        </w:rPr>
        <w:t xml:space="preserve">considered a material change and </w:t>
      </w:r>
      <w:r w:rsidR="00DA6F5F">
        <w:rPr>
          <w:rFonts w:cs="Arial"/>
          <w:sz w:val="20"/>
          <w:szCs w:val="20"/>
        </w:rPr>
        <w:t xml:space="preserve">not </w:t>
      </w:r>
      <w:r w:rsidR="005054CF" w:rsidRPr="00A101DF">
        <w:rPr>
          <w:rFonts w:cs="Arial"/>
          <w:sz w:val="20"/>
          <w:szCs w:val="20"/>
        </w:rPr>
        <w:t xml:space="preserve">subject to </w:t>
      </w:r>
      <w:r w:rsidR="00F14D7C">
        <w:rPr>
          <w:rFonts w:cs="Arial"/>
          <w:sz w:val="20"/>
          <w:szCs w:val="20"/>
        </w:rPr>
        <w:t>S</w:t>
      </w:r>
      <w:r w:rsidR="005054CF" w:rsidRPr="00A101DF">
        <w:rPr>
          <w:rFonts w:cs="Arial"/>
          <w:sz w:val="20"/>
          <w:szCs w:val="20"/>
        </w:rPr>
        <w:t>elf-</w:t>
      </w:r>
      <w:r w:rsidR="00F14D7C">
        <w:rPr>
          <w:rFonts w:cs="Arial"/>
          <w:sz w:val="20"/>
          <w:szCs w:val="20"/>
        </w:rPr>
        <w:t>G</w:t>
      </w:r>
      <w:r w:rsidR="005054CF" w:rsidRPr="00A101DF">
        <w:rPr>
          <w:rFonts w:cs="Arial"/>
          <w:sz w:val="20"/>
          <w:szCs w:val="20"/>
        </w:rPr>
        <w:t>overnance</w:t>
      </w:r>
      <w:r w:rsidR="00EF6ACD">
        <w:rPr>
          <w:rFonts w:cs="Arial"/>
          <w:sz w:val="20"/>
          <w:szCs w:val="20"/>
        </w:rPr>
        <w:t>.</w:t>
      </w:r>
    </w:p>
    <w:bookmarkEnd w:id="4"/>
    <w:p w14:paraId="1B421FAA" w14:textId="77777777" w:rsidR="00FC1636" w:rsidRPr="008D54E0" w:rsidRDefault="00FC1636" w:rsidP="00FC1636">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Assessment</w:t>
      </w:r>
    </w:p>
    <w:p w14:paraId="52C5728E" w14:textId="77777777" w:rsidR="00FC1636" w:rsidRPr="00E005FD" w:rsidRDefault="00FC1636" w:rsidP="00FC1636">
      <w:pPr>
        <w:keepNext/>
        <w:outlineLvl w:val="3"/>
        <w:rPr>
          <w:i/>
          <w:noProof/>
          <w:color w:val="00B274"/>
        </w:rPr>
      </w:pPr>
      <w:r>
        <w:rPr>
          <w:i/>
          <w:noProof/>
          <w:color w:val="00B274"/>
        </w:rPr>
        <w:t xml:space="preserve">Workgroup’s </w:t>
      </w:r>
      <w:r w:rsidRPr="00E005FD">
        <w:rPr>
          <w:i/>
          <w:noProof/>
          <w:color w:val="00B274"/>
        </w:rPr>
        <w:t>Assessment of Governance and whether the Modification meets/continues to meet the Self-Governance criteria</w:t>
      </w:r>
      <w:r>
        <w:rPr>
          <w:i/>
          <w:noProof/>
          <w:color w:val="00B274"/>
        </w:rPr>
        <w:t>.</w:t>
      </w:r>
    </w:p>
    <w:p w14:paraId="7BC89B75" w14:textId="47239BFF" w:rsidR="00FC1636" w:rsidRPr="008D54E0" w:rsidRDefault="00C17376" w:rsidP="00FC1636">
      <w:pPr>
        <w:rPr>
          <w:rFonts w:cs="Arial"/>
        </w:rPr>
      </w:pPr>
      <w:r w:rsidRPr="00356A4A">
        <w:rPr>
          <w:rFonts w:cs="Arial"/>
          <w:highlight w:val="yellow"/>
        </w:rPr>
        <w:t xml:space="preserve">When originally raised this Modification </w:t>
      </w:r>
      <w:r w:rsidR="008F33F1" w:rsidRPr="00356A4A">
        <w:rPr>
          <w:rFonts w:cs="Arial"/>
          <w:highlight w:val="yellow"/>
        </w:rPr>
        <w:t xml:space="preserve">was considered </w:t>
      </w:r>
      <w:r w:rsidR="00356A4A" w:rsidRPr="00356A4A">
        <w:rPr>
          <w:rFonts w:cs="Arial"/>
          <w:highlight w:val="yellow"/>
        </w:rPr>
        <w:t>as a Self-Governance Modification.  However, on 15 May 2024 this status was amended within Version 3.0 of the Modification to Authority Direction.</w:t>
      </w:r>
    </w:p>
    <w:p w14:paraId="781F03C5" w14:textId="77777777" w:rsidR="004C6117" w:rsidRPr="00CA74C4" w:rsidRDefault="004C6117" w:rsidP="00CE3F16">
      <w:pPr>
        <w:pStyle w:val="Heading02"/>
      </w:pPr>
      <w:bookmarkStart w:id="5" w:name="_Toc170220935"/>
      <w:r w:rsidRPr="00CA74C4">
        <w:t>Why Change?</w:t>
      </w:r>
      <w:bookmarkEnd w:id="5"/>
    </w:p>
    <w:p w14:paraId="7A7B97CE" w14:textId="137571AC" w:rsidR="00870848" w:rsidRDefault="007F0C76" w:rsidP="007F0C76">
      <w:pPr>
        <w:jc w:val="both"/>
        <w:rPr>
          <w:rFonts w:cs="Arial"/>
        </w:rPr>
      </w:pPr>
      <w:r>
        <w:rPr>
          <w:rFonts w:cs="Arial"/>
          <w:b/>
          <w:bCs/>
          <w:color w:val="008576"/>
          <w:sz w:val="24"/>
          <w:szCs w:val="28"/>
        </w:rPr>
        <w:t>P</w:t>
      </w:r>
      <w:r w:rsidR="00841A1C">
        <w:rPr>
          <w:rFonts w:cs="Arial"/>
          <w:b/>
          <w:bCs/>
          <w:color w:val="008576"/>
          <w:sz w:val="24"/>
          <w:szCs w:val="28"/>
        </w:rPr>
        <w:t xml:space="preserve">ower stations </w:t>
      </w:r>
      <w:r>
        <w:rPr>
          <w:rFonts w:cs="Arial"/>
          <w:b/>
          <w:bCs/>
          <w:color w:val="008576"/>
          <w:sz w:val="24"/>
          <w:szCs w:val="28"/>
        </w:rPr>
        <w:t xml:space="preserve">and industrial Users </w:t>
      </w:r>
      <w:r w:rsidR="00984BBA">
        <w:rPr>
          <w:rFonts w:cs="Arial"/>
          <w:b/>
          <w:bCs/>
          <w:color w:val="008576"/>
          <w:sz w:val="24"/>
          <w:szCs w:val="28"/>
        </w:rPr>
        <w:t xml:space="preserve">can be </w:t>
      </w:r>
      <w:r>
        <w:rPr>
          <w:rFonts w:cs="Arial"/>
          <w:b/>
          <w:bCs/>
          <w:color w:val="008576"/>
          <w:sz w:val="24"/>
          <w:szCs w:val="28"/>
        </w:rPr>
        <w:t xml:space="preserve">effectively </w:t>
      </w:r>
      <w:r w:rsidR="00984BBA">
        <w:rPr>
          <w:rFonts w:cs="Arial"/>
          <w:b/>
          <w:bCs/>
          <w:color w:val="008576"/>
          <w:sz w:val="24"/>
          <w:szCs w:val="28"/>
        </w:rPr>
        <w:t xml:space="preserve">curtailed in pre-Network Gas Supply Emergency </w:t>
      </w:r>
      <w:r>
        <w:rPr>
          <w:rFonts w:cs="Arial"/>
          <w:b/>
          <w:bCs/>
          <w:color w:val="008576"/>
          <w:sz w:val="24"/>
          <w:szCs w:val="28"/>
        </w:rPr>
        <w:t>stages</w:t>
      </w:r>
      <w:r w:rsidR="00984BBA">
        <w:rPr>
          <w:rFonts w:cs="Arial"/>
          <w:b/>
          <w:bCs/>
          <w:color w:val="008576"/>
          <w:sz w:val="24"/>
          <w:szCs w:val="28"/>
        </w:rPr>
        <w:t xml:space="preserve"> </w:t>
      </w:r>
    </w:p>
    <w:p w14:paraId="4AEE5A9D" w14:textId="58FB7299" w:rsidR="00870848" w:rsidRDefault="00870848" w:rsidP="00281705">
      <w:pPr>
        <w:jc w:val="both"/>
        <w:rPr>
          <w:rFonts w:cs="Arial"/>
        </w:rPr>
      </w:pPr>
      <w:r w:rsidRPr="00CD2C7D">
        <w:lastRenderedPageBreak/>
        <w:t>UNC TPD Section J 4.5.2 specifies that</w:t>
      </w:r>
      <w:r w:rsidRPr="00CD2C7D">
        <w:rPr>
          <w:i/>
          <w:iCs/>
        </w:rPr>
        <w:t xml:space="preserve"> “rates of offtake set out in an Offtake Profile Notice (or revised such notice) shall not exceed the Permitted Offtake Rate “, </w:t>
      </w:r>
      <w:r w:rsidRPr="00CD2C7D">
        <w:t xml:space="preserve">where the Permitted Offtake Rate for an NTS Supply Point and </w:t>
      </w:r>
      <w:r w:rsidR="003948EC">
        <w:t xml:space="preserve">for </w:t>
      </w:r>
      <w:r w:rsidRPr="00CD2C7D">
        <w:t xml:space="preserve">a </w:t>
      </w:r>
      <w:r w:rsidR="00852297">
        <w:t>CSEP</w:t>
      </w:r>
      <w:r w:rsidRPr="00CD2C7D">
        <w:t xml:space="preserve"> is currently limited to 1/24th of </w:t>
      </w:r>
      <w:r w:rsidR="000F7B89">
        <w:t>a</w:t>
      </w:r>
      <w:r w:rsidRPr="00CD2C7D">
        <w:t xml:space="preserve"> User</w:t>
      </w:r>
      <w:r w:rsidR="000F7B89">
        <w:t>’</w:t>
      </w:r>
      <w:r w:rsidRPr="00CD2C7D">
        <w:t xml:space="preserve">s Registered Exit Capacity holding. This clause, as drafted, does not permit submission of an OPN reflective of the Users expected offtake when a User expects to overrun, or if a User does not yet hold capacity and intends to buy it in a forthcoming auction. The proposer believes that these circumstances arise frequently, and hence the submission of OPNs </w:t>
      </w:r>
      <w:proofErr w:type="gramStart"/>
      <w:r w:rsidRPr="00CD2C7D">
        <w:t>in excess of</w:t>
      </w:r>
      <w:proofErr w:type="gramEnd"/>
      <w:r w:rsidRPr="00CD2C7D">
        <w:t xml:space="preserve"> 1/24th capacity holding, not adhering to clause 4.5.2</w:t>
      </w:r>
      <w:r w:rsidR="000F7B89">
        <w:t>,</w:t>
      </w:r>
      <w:r w:rsidRPr="00CD2C7D">
        <w:t xml:space="preserve"> is common practice. As a result, Users may be unaware of this potential restriction, or not expect it to be enforced, especially since it appears inconsistent with other rights and obligations in other parts of the UNC.</w:t>
      </w:r>
      <w:r w:rsidRPr="000023DC">
        <w:rPr>
          <w:rFonts w:cs="Arial"/>
        </w:rPr>
        <w:t xml:space="preserve">      </w:t>
      </w:r>
    </w:p>
    <w:p w14:paraId="3E5DD606" w14:textId="3FD78CC4" w:rsidR="008E160E" w:rsidRDefault="008E160E" w:rsidP="00821141">
      <w:pPr>
        <w:jc w:val="both"/>
        <w:rPr>
          <w:rFonts w:cs="Arial"/>
        </w:rPr>
      </w:pPr>
      <w:r>
        <w:rPr>
          <w:rFonts w:cs="Arial"/>
        </w:rPr>
        <w:t>I</w:t>
      </w:r>
      <w:r w:rsidRPr="001A0013">
        <w:rPr>
          <w:rFonts w:cs="Arial"/>
        </w:rPr>
        <w:t xml:space="preserve">n a </w:t>
      </w:r>
      <w:r>
        <w:rPr>
          <w:rFonts w:cs="Arial"/>
        </w:rPr>
        <w:t>“R</w:t>
      </w:r>
      <w:r w:rsidRPr="001A0013">
        <w:rPr>
          <w:rFonts w:cs="Arial"/>
        </w:rPr>
        <w:t xml:space="preserve">ules </w:t>
      </w:r>
      <w:r>
        <w:rPr>
          <w:rFonts w:cs="Arial"/>
        </w:rPr>
        <w:t>O</w:t>
      </w:r>
      <w:r w:rsidRPr="001A0013">
        <w:rPr>
          <w:rFonts w:cs="Arial"/>
        </w:rPr>
        <w:t>n</w:t>
      </w:r>
      <w:r>
        <w:rPr>
          <w:rFonts w:cs="Arial"/>
        </w:rPr>
        <w:t>”</w:t>
      </w:r>
      <w:r w:rsidRPr="001A0013">
        <w:rPr>
          <w:rFonts w:cs="Arial"/>
        </w:rPr>
        <w:t xml:space="preserve"> situation</w:t>
      </w:r>
      <w:r>
        <w:rPr>
          <w:rFonts w:cs="Arial"/>
        </w:rPr>
        <w:t xml:space="preserve"> (UNC TPD C1.8), Users are required to follow their </w:t>
      </w:r>
      <w:r w:rsidRPr="001A0013">
        <w:rPr>
          <w:rFonts w:cs="Arial"/>
        </w:rPr>
        <w:t>OPN</w:t>
      </w:r>
      <w:r>
        <w:rPr>
          <w:rFonts w:cs="Arial"/>
        </w:rPr>
        <w:t xml:space="preserve">, </w:t>
      </w:r>
      <w:r w:rsidR="00984BBA">
        <w:rPr>
          <w:rFonts w:cs="Arial"/>
        </w:rPr>
        <w:t>and</w:t>
      </w:r>
      <w:r w:rsidR="00984BBA" w:rsidRPr="001A0013">
        <w:rPr>
          <w:rFonts w:cs="Arial"/>
        </w:rPr>
        <w:t xml:space="preserve"> </w:t>
      </w:r>
      <w:r w:rsidR="00984BBA">
        <w:rPr>
          <w:rFonts w:cs="Arial"/>
        </w:rPr>
        <w:t xml:space="preserve">the </w:t>
      </w:r>
      <w:r w:rsidR="000F7B89">
        <w:rPr>
          <w:rFonts w:cs="Arial"/>
        </w:rPr>
        <w:t>p</w:t>
      </w:r>
      <w:r w:rsidR="00984BBA">
        <w:rPr>
          <w:rFonts w:cs="Arial"/>
        </w:rPr>
        <w:t xml:space="preserve">roposer </w:t>
      </w:r>
      <w:r w:rsidR="000F7B89">
        <w:rPr>
          <w:rFonts w:cs="Arial"/>
        </w:rPr>
        <w:t xml:space="preserve">understands </w:t>
      </w:r>
      <w:r w:rsidR="00984BBA">
        <w:rPr>
          <w:rFonts w:cs="Arial"/>
        </w:rPr>
        <w:t xml:space="preserve">that National Gas </w:t>
      </w:r>
      <w:r w:rsidR="000F7B89">
        <w:rPr>
          <w:rFonts w:cs="Arial"/>
        </w:rPr>
        <w:t>intends to</w:t>
      </w:r>
      <w:r w:rsidR="00984BBA">
        <w:rPr>
          <w:rFonts w:cs="Arial"/>
        </w:rPr>
        <w:t xml:space="preserve"> correspondingly enforce Section J 4.5.2 and reject </w:t>
      </w:r>
      <w:r w:rsidR="000F7B89">
        <w:rPr>
          <w:rFonts w:cs="Arial"/>
        </w:rPr>
        <w:t xml:space="preserve">any </w:t>
      </w:r>
      <w:r w:rsidR="00984BBA">
        <w:rPr>
          <w:rFonts w:cs="Arial"/>
        </w:rPr>
        <w:t>OPNs that exceed a User</w:t>
      </w:r>
      <w:r w:rsidR="000F7B89">
        <w:rPr>
          <w:rFonts w:cs="Arial"/>
        </w:rPr>
        <w:t>’</w:t>
      </w:r>
      <w:r w:rsidR="00984BBA">
        <w:rPr>
          <w:rFonts w:cs="Arial"/>
        </w:rPr>
        <w:t>s</w:t>
      </w:r>
      <w:r w:rsidRPr="001A0013">
        <w:rPr>
          <w:rFonts w:cs="Arial"/>
        </w:rPr>
        <w:t xml:space="preserve"> 1/24</w:t>
      </w:r>
      <w:r>
        <w:rPr>
          <w:rFonts w:cs="Arial"/>
        </w:rPr>
        <w:t>th</w:t>
      </w:r>
      <w:r w:rsidRPr="001A0013">
        <w:rPr>
          <w:rFonts w:cs="Arial"/>
        </w:rPr>
        <w:t xml:space="preserve"> </w:t>
      </w:r>
      <w:r w:rsidR="00392982">
        <w:rPr>
          <w:rFonts w:cs="Arial"/>
        </w:rPr>
        <w:t>Exit C</w:t>
      </w:r>
      <w:r w:rsidRPr="001A0013">
        <w:rPr>
          <w:rFonts w:cs="Arial"/>
        </w:rPr>
        <w:t>apacity holding</w:t>
      </w:r>
      <w:r w:rsidR="00392982">
        <w:rPr>
          <w:rFonts w:cs="Arial"/>
        </w:rPr>
        <w:t>s</w:t>
      </w:r>
      <w:r w:rsidRPr="001A0013">
        <w:rPr>
          <w:rFonts w:cs="Arial"/>
        </w:rPr>
        <w:t>.</w:t>
      </w:r>
      <w:r w:rsidR="00984BBA">
        <w:rPr>
          <w:rFonts w:cs="Arial"/>
        </w:rPr>
        <w:t xml:space="preserve"> The proposer believes that the scaling back of </w:t>
      </w:r>
      <w:r w:rsidR="00841A1C">
        <w:rPr>
          <w:rFonts w:cs="Arial"/>
        </w:rPr>
        <w:t xml:space="preserve">release of </w:t>
      </w:r>
      <w:r w:rsidR="000F7B89">
        <w:rPr>
          <w:rFonts w:cs="Arial"/>
        </w:rPr>
        <w:t xml:space="preserve">daily firm exit capacity </w:t>
      </w:r>
      <w:r w:rsidR="007F0C76">
        <w:rPr>
          <w:rFonts w:cs="Arial"/>
        </w:rPr>
        <w:t xml:space="preserve">in </w:t>
      </w:r>
      <w:r w:rsidR="00841A1C">
        <w:rPr>
          <w:rFonts w:cs="Arial"/>
        </w:rPr>
        <w:t>pre-</w:t>
      </w:r>
      <w:r w:rsidR="000F7B89">
        <w:rPr>
          <w:rFonts w:cs="Arial"/>
        </w:rPr>
        <w:t>NGSE</w:t>
      </w:r>
      <w:r w:rsidR="00841A1C">
        <w:rPr>
          <w:rFonts w:cs="Arial"/>
        </w:rPr>
        <w:t xml:space="preserve"> stages </w:t>
      </w:r>
      <w:r w:rsidR="00852297">
        <w:rPr>
          <w:rFonts w:cs="Arial"/>
        </w:rPr>
        <w:t xml:space="preserve">for NTS Supply Points and CSEPS </w:t>
      </w:r>
      <w:r w:rsidR="00841A1C">
        <w:rPr>
          <w:rFonts w:cs="Arial"/>
        </w:rPr>
        <w:t>is intended as a commercial incentive and not as an operational restriction that will affect critical</w:t>
      </w:r>
      <w:r w:rsidR="006477E7">
        <w:rPr>
          <w:rFonts w:cs="Arial"/>
        </w:rPr>
        <w:t xml:space="preserve"> national</w:t>
      </w:r>
      <w:r w:rsidR="00841A1C">
        <w:rPr>
          <w:rFonts w:cs="Arial"/>
        </w:rPr>
        <w:t xml:space="preserve"> infrastructure such as power generation</w:t>
      </w:r>
      <w:r w:rsidR="000F7B89">
        <w:rPr>
          <w:rFonts w:cs="Arial"/>
        </w:rPr>
        <w:t xml:space="preserve">. </w:t>
      </w:r>
    </w:p>
    <w:p w14:paraId="6C22F785" w14:textId="3121966A" w:rsidR="006E6784" w:rsidRPr="006E6784" w:rsidRDefault="006E6784" w:rsidP="00281705">
      <w:pPr>
        <w:pStyle w:val="Heading4"/>
        <w:keepLines w:val="0"/>
        <w:numPr>
          <w:ilvl w:val="0"/>
          <w:numId w:val="0"/>
        </w:numPr>
        <w:spacing w:before="12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Unnecessary </w:t>
      </w:r>
      <w:r w:rsidR="00356E6D">
        <w:rPr>
          <w:rFonts w:ascii="Arial" w:eastAsia="Times New Roman" w:hAnsi="Arial" w:cs="Arial"/>
          <w:i w:val="0"/>
          <w:iCs w:val="0"/>
          <w:color w:val="008576"/>
          <w:sz w:val="24"/>
          <w:szCs w:val="28"/>
        </w:rPr>
        <w:t>increased costs</w:t>
      </w:r>
      <w:r>
        <w:rPr>
          <w:rFonts w:ascii="Arial" w:eastAsia="Times New Roman" w:hAnsi="Arial" w:cs="Arial"/>
          <w:i w:val="0"/>
          <w:iCs w:val="0"/>
          <w:color w:val="008576"/>
          <w:sz w:val="24"/>
          <w:szCs w:val="28"/>
        </w:rPr>
        <w:t xml:space="preserve"> are incurred</w:t>
      </w:r>
      <w:r w:rsidR="00841A1C">
        <w:rPr>
          <w:rFonts w:ascii="Arial" w:eastAsia="Times New Roman" w:hAnsi="Arial" w:cs="Arial"/>
          <w:i w:val="0"/>
          <w:iCs w:val="0"/>
          <w:color w:val="008576"/>
          <w:sz w:val="24"/>
          <w:szCs w:val="28"/>
        </w:rPr>
        <w:t xml:space="preserve"> by incentivising variable Users to buy capacity in long term auctions</w:t>
      </w:r>
      <w:r w:rsidR="000A406B">
        <w:rPr>
          <w:rFonts w:ascii="Arial" w:eastAsia="Times New Roman" w:hAnsi="Arial" w:cs="Arial"/>
          <w:i w:val="0"/>
          <w:iCs w:val="0"/>
          <w:color w:val="008576"/>
          <w:sz w:val="24"/>
          <w:szCs w:val="28"/>
        </w:rPr>
        <w:t xml:space="preserve">  </w:t>
      </w:r>
      <w:r w:rsidR="00C51C2E">
        <w:rPr>
          <w:rFonts w:ascii="Arial" w:eastAsia="Times New Roman" w:hAnsi="Arial" w:cs="Arial"/>
          <w:i w:val="0"/>
          <w:iCs w:val="0"/>
          <w:color w:val="008576"/>
          <w:sz w:val="24"/>
          <w:szCs w:val="28"/>
        </w:rPr>
        <w:t xml:space="preserve"> </w:t>
      </w:r>
    </w:p>
    <w:p w14:paraId="5CA355E1" w14:textId="2EC8CB16" w:rsidR="006E6784" w:rsidRPr="006E6784" w:rsidRDefault="006E6784" w:rsidP="00281705">
      <w:pPr>
        <w:jc w:val="both"/>
        <w:rPr>
          <w:rFonts w:cs="Arial"/>
        </w:rPr>
      </w:pPr>
      <w:r w:rsidRPr="006E6784">
        <w:rPr>
          <w:rFonts w:cs="Arial"/>
        </w:rPr>
        <w:t xml:space="preserve">Clarity of the rights and obligations that holding Registered </w:t>
      </w:r>
      <w:r w:rsidR="0043426C">
        <w:rPr>
          <w:rFonts w:cs="Arial"/>
        </w:rPr>
        <w:t xml:space="preserve">Exit </w:t>
      </w:r>
      <w:r w:rsidRPr="006E6784">
        <w:rPr>
          <w:rFonts w:cs="Arial"/>
        </w:rPr>
        <w:t xml:space="preserve">Capacity conveys is essential in a User’s decision as to when and how much </w:t>
      </w:r>
      <w:r w:rsidR="0043426C">
        <w:rPr>
          <w:rFonts w:cs="Arial"/>
        </w:rPr>
        <w:t xml:space="preserve">Exit </w:t>
      </w:r>
      <w:r w:rsidRPr="006E6784">
        <w:rPr>
          <w:rFonts w:cs="Arial"/>
        </w:rPr>
        <w:t>capacity to buy</w:t>
      </w:r>
      <w:r w:rsidR="00120CAC">
        <w:rPr>
          <w:rFonts w:cs="Arial"/>
        </w:rPr>
        <w:t xml:space="preserve"> for their customers</w:t>
      </w:r>
      <w:r w:rsidR="00DF0DB1">
        <w:rPr>
          <w:rFonts w:cs="Arial"/>
        </w:rPr>
        <w:t>’ offtake requirements</w:t>
      </w:r>
      <w:r w:rsidRPr="006E6784">
        <w:rPr>
          <w:rFonts w:cs="Arial"/>
        </w:rPr>
        <w:t xml:space="preserve">. A key risk for Users </w:t>
      </w:r>
      <w:r w:rsidR="00DF0DB1">
        <w:rPr>
          <w:rFonts w:cs="Arial"/>
        </w:rPr>
        <w:t xml:space="preserve">and customers </w:t>
      </w:r>
      <w:r w:rsidRPr="006E6784">
        <w:rPr>
          <w:rFonts w:cs="Arial"/>
        </w:rPr>
        <w:t xml:space="preserve">is whether they will be able to access </w:t>
      </w:r>
      <w:r w:rsidR="0043426C">
        <w:rPr>
          <w:rFonts w:cs="Arial"/>
        </w:rPr>
        <w:t>Exit Capacity</w:t>
      </w:r>
      <w:r w:rsidRPr="006E6784">
        <w:rPr>
          <w:rFonts w:cs="Arial"/>
        </w:rPr>
        <w:t xml:space="preserve"> in short term auctions. This risk even exists at dedicated User Exit Points which have plenty of obligated capacity, because National Gas currently has the right, in </w:t>
      </w:r>
      <w:r w:rsidR="006477E7">
        <w:rPr>
          <w:rFonts w:cs="Arial"/>
        </w:rPr>
        <w:t>pre-NGSE stages</w:t>
      </w:r>
      <w:r w:rsidRPr="006E6784">
        <w:rPr>
          <w:rFonts w:cs="Arial"/>
        </w:rPr>
        <w:t xml:space="preserve">, to restrict the quantity of daily firm NTS Capacity made available. </w:t>
      </w:r>
    </w:p>
    <w:p w14:paraId="01228F21" w14:textId="5672E793" w:rsidR="006E6784" w:rsidRPr="006E6784" w:rsidRDefault="006E6784" w:rsidP="00281705">
      <w:pPr>
        <w:jc w:val="both"/>
        <w:rPr>
          <w:rFonts w:cs="Arial"/>
        </w:rPr>
      </w:pPr>
      <w:r w:rsidRPr="006E6784">
        <w:rPr>
          <w:rFonts w:cs="Arial"/>
        </w:rPr>
        <w:t xml:space="preserve">If a User </w:t>
      </w:r>
      <w:r w:rsidR="000D1C7C">
        <w:rPr>
          <w:rFonts w:cs="Arial"/>
        </w:rPr>
        <w:t xml:space="preserve">or customer </w:t>
      </w:r>
      <w:r w:rsidRPr="006E6784">
        <w:rPr>
          <w:rFonts w:cs="Arial"/>
        </w:rPr>
        <w:t xml:space="preserve">believes there is a risk that they may not be able to access </w:t>
      </w:r>
      <w:r w:rsidR="0043426C">
        <w:rPr>
          <w:rFonts w:cs="Arial"/>
        </w:rPr>
        <w:t>Exit Capacity</w:t>
      </w:r>
      <w:r w:rsidRPr="006E6784">
        <w:rPr>
          <w:rFonts w:cs="Arial"/>
        </w:rPr>
        <w:t xml:space="preserve"> in short term auctions, and that holding capacity might reduce their risk of not being able to offtake gas from the system, then the User </w:t>
      </w:r>
      <w:r w:rsidR="000D1C7C">
        <w:rPr>
          <w:rFonts w:cs="Arial"/>
        </w:rPr>
        <w:t xml:space="preserve">or customer </w:t>
      </w:r>
      <w:r w:rsidRPr="006E6784">
        <w:rPr>
          <w:rFonts w:cs="Arial"/>
        </w:rPr>
        <w:t xml:space="preserve">is incentivised to buy more </w:t>
      </w:r>
      <w:r w:rsidR="0043426C">
        <w:rPr>
          <w:rFonts w:cs="Arial"/>
        </w:rPr>
        <w:t>Exit Capacity</w:t>
      </w:r>
      <w:r w:rsidRPr="006E6784">
        <w:rPr>
          <w:rFonts w:cs="Arial"/>
        </w:rPr>
        <w:t xml:space="preserve"> in long term auctions. </w:t>
      </w:r>
      <w:r w:rsidR="00B97B65">
        <w:rPr>
          <w:rFonts w:cs="Arial"/>
        </w:rPr>
        <w:t xml:space="preserve">Customers </w:t>
      </w:r>
      <w:r w:rsidRPr="006E6784">
        <w:rPr>
          <w:rFonts w:cs="Arial"/>
        </w:rPr>
        <w:t xml:space="preserve">with uncertain future offtake are more likely </w:t>
      </w:r>
      <w:r w:rsidR="00B97B65">
        <w:rPr>
          <w:rFonts w:cs="Arial"/>
        </w:rPr>
        <w:t xml:space="preserve">to require their Shipper </w:t>
      </w:r>
      <w:r w:rsidRPr="006E6784">
        <w:rPr>
          <w:rFonts w:cs="Arial"/>
        </w:rPr>
        <w:t xml:space="preserve">buy </w:t>
      </w:r>
      <w:r w:rsidR="0043426C">
        <w:rPr>
          <w:rFonts w:cs="Arial"/>
        </w:rPr>
        <w:t>Exit Capacity</w:t>
      </w:r>
      <w:r w:rsidRPr="006E6784">
        <w:rPr>
          <w:rFonts w:cs="Arial"/>
        </w:rPr>
        <w:t xml:space="preserve"> that covers all their possible offtake, even if they consider that flowing against all that capacity is very unlikely.</w:t>
      </w:r>
    </w:p>
    <w:p w14:paraId="25D9982B" w14:textId="57F46E9C" w:rsidR="006E6784" w:rsidRPr="006E6784" w:rsidRDefault="006E6784" w:rsidP="00281705">
      <w:pPr>
        <w:jc w:val="both"/>
        <w:rPr>
          <w:rFonts w:cs="Arial"/>
        </w:rPr>
      </w:pPr>
      <w:r w:rsidRPr="006E6784">
        <w:rPr>
          <w:rFonts w:cs="Arial"/>
        </w:rPr>
        <w:t xml:space="preserve">The proposer believes that the current charging arrangements are designed with the intent and expectation that Users pay for their </w:t>
      </w:r>
      <w:r w:rsidR="000D1C7C">
        <w:rPr>
          <w:rFonts w:cs="Arial"/>
        </w:rPr>
        <w:t xml:space="preserve">flow </w:t>
      </w:r>
      <w:r w:rsidR="00852297">
        <w:rPr>
          <w:rFonts w:cs="Arial"/>
        </w:rPr>
        <w:t>at NTS Supply Points and CSEPs</w:t>
      </w:r>
      <w:r w:rsidRPr="006E6784">
        <w:rPr>
          <w:rFonts w:cs="Arial"/>
        </w:rPr>
        <w:t xml:space="preserve">, and that they will not tend to significantly over-buy </w:t>
      </w:r>
      <w:r w:rsidR="0043426C">
        <w:rPr>
          <w:rFonts w:cs="Arial"/>
        </w:rPr>
        <w:t>Exit Capacity</w:t>
      </w:r>
      <w:r w:rsidRPr="006E6784">
        <w:rPr>
          <w:rFonts w:cs="Arial"/>
        </w:rPr>
        <w:t xml:space="preserve">. Ofgem’s decision to implement UNC678A was based on modelling results provided by CEPA, which included assumptions that market participants would be able to profile capacity bookings close to actual flows </w:t>
      </w:r>
      <w:r w:rsidR="00852297">
        <w:rPr>
          <w:rFonts w:cs="Arial"/>
        </w:rPr>
        <w:t xml:space="preserve">at these Exit Points </w:t>
      </w:r>
      <w:r w:rsidRPr="006E6784">
        <w:rPr>
          <w:rFonts w:cs="Arial"/>
        </w:rPr>
        <w:t>using short-term capacity products (e.g. daily and within day capacity products), thus minimising the costs associated with over-booking of capacity.</w:t>
      </w:r>
    </w:p>
    <w:p w14:paraId="44ADF222" w14:textId="3C0793AA" w:rsidR="00821141" w:rsidRDefault="00821141" w:rsidP="006477E7">
      <w:pPr>
        <w:jc w:val="both"/>
        <w:rPr>
          <w:rFonts w:cs="Arial"/>
        </w:rPr>
      </w:pPr>
      <w:r>
        <w:rPr>
          <w:rFonts w:cs="Arial"/>
        </w:rPr>
        <w:t xml:space="preserve">Historically, gas-fired power generators have </w:t>
      </w:r>
      <w:r w:rsidR="00606111">
        <w:rPr>
          <w:rFonts w:cs="Arial"/>
        </w:rPr>
        <w:t xml:space="preserve">often </w:t>
      </w:r>
      <w:r>
        <w:rPr>
          <w:rFonts w:cs="Arial"/>
        </w:rPr>
        <w:t xml:space="preserve">operated with </w:t>
      </w:r>
      <w:r w:rsidR="006477E7">
        <w:rPr>
          <w:rFonts w:cs="Arial"/>
        </w:rPr>
        <w:t>relatively high levels of output</w:t>
      </w:r>
      <w:r>
        <w:rPr>
          <w:rFonts w:cs="Arial"/>
        </w:rPr>
        <w:t xml:space="preserve">. As renewable penetration increases, gas-fired power generators will increasingly be operating as peaking plant, </w:t>
      </w:r>
      <w:r w:rsidR="007F0C76">
        <w:rPr>
          <w:rFonts w:cs="Arial"/>
        </w:rPr>
        <w:t>in some cases</w:t>
      </w:r>
      <w:r>
        <w:rPr>
          <w:rFonts w:cs="Arial"/>
        </w:rPr>
        <w:t xml:space="preserve"> generating </w:t>
      </w:r>
      <w:r w:rsidR="007F0C76">
        <w:rPr>
          <w:rFonts w:cs="Arial"/>
        </w:rPr>
        <w:t xml:space="preserve">on average </w:t>
      </w:r>
      <w:r>
        <w:rPr>
          <w:rFonts w:cs="Arial"/>
        </w:rPr>
        <w:t xml:space="preserve">as little as 10% of their annual maximum possible </w:t>
      </w:r>
      <w:r w:rsidR="006477E7">
        <w:rPr>
          <w:rFonts w:cs="Arial"/>
        </w:rPr>
        <w:t>generation</w:t>
      </w:r>
      <w:r>
        <w:rPr>
          <w:rFonts w:cs="Arial"/>
        </w:rPr>
        <w:t>. As described above, it is assumed that variable offtake Users will buy Exit Capacity to match their flows, and</w:t>
      </w:r>
      <w:r w:rsidR="00606111">
        <w:rPr>
          <w:rFonts w:cs="Arial"/>
        </w:rPr>
        <w:t xml:space="preserve"> therefore it would be highly inefficient </w:t>
      </w:r>
      <w:r w:rsidR="007F0C76">
        <w:rPr>
          <w:rFonts w:cs="Arial"/>
        </w:rPr>
        <w:t xml:space="preserve">from a capacity charging perspective </w:t>
      </w:r>
      <w:r w:rsidR="00606111">
        <w:rPr>
          <w:rFonts w:cs="Arial"/>
        </w:rPr>
        <w:t>for these Users to procure as much as 10 times their total capacity requirement</w:t>
      </w:r>
      <w:r w:rsidR="007F0C76">
        <w:rPr>
          <w:rFonts w:cs="Arial"/>
        </w:rPr>
        <w:t xml:space="preserve">, but they may consider this to be the right strategy </w:t>
      </w:r>
      <w:r w:rsidR="000B0D31">
        <w:rPr>
          <w:rFonts w:cs="Arial"/>
        </w:rPr>
        <w:t xml:space="preserve">for them </w:t>
      </w:r>
      <w:r w:rsidR="007F0C76">
        <w:rPr>
          <w:rFonts w:cs="Arial"/>
        </w:rPr>
        <w:t>if they are concerned about the inability to offtake gas from the system</w:t>
      </w:r>
      <w:r w:rsidR="00606111">
        <w:rPr>
          <w:rFonts w:cs="Arial"/>
        </w:rPr>
        <w:t>.</w:t>
      </w:r>
      <w:r>
        <w:rPr>
          <w:rFonts w:cs="Arial"/>
        </w:rPr>
        <w:t xml:space="preserve"> </w:t>
      </w:r>
    </w:p>
    <w:p w14:paraId="48E115AA" w14:textId="6823DA30" w:rsidR="00D42CA7" w:rsidRDefault="006E6784" w:rsidP="00281705">
      <w:pPr>
        <w:jc w:val="both"/>
        <w:rPr>
          <w:rFonts w:cs="Arial"/>
        </w:rPr>
      </w:pPr>
      <w:r w:rsidRPr="006E6784">
        <w:rPr>
          <w:rFonts w:cs="Arial"/>
        </w:rPr>
        <w:t xml:space="preserve">The proposer believes that encouraging Users </w:t>
      </w:r>
      <w:r w:rsidR="000D1C7C">
        <w:rPr>
          <w:rFonts w:cs="Arial"/>
        </w:rPr>
        <w:t xml:space="preserve">and customers </w:t>
      </w:r>
      <w:r w:rsidRPr="006E6784">
        <w:rPr>
          <w:rFonts w:cs="Arial"/>
        </w:rPr>
        <w:t xml:space="preserve">to </w:t>
      </w:r>
      <w:r w:rsidR="000D1C7C">
        <w:rPr>
          <w:rFonts w:cs="Arial"/>
        </w:rPr>
        <w:t xml:space="preserve">decide to </w:t>
      </w:r>
      <w:r w:rsidRPr="006E6784">
        <w:rPr>
          <w:rFonts w:cs="Arial"/>
        </w:rPr>
        <w:t xml:space="preserve">buy more </w:t>
      </w:r>
      <w:r w:rsidR="0043426C">
        <w:rPr>
          <w:rFonts w:cs="Arial"/>
        </w:rPr>
        <w:t>Exit Capacity</w:t>
      </w:r>
      <w:r w:rsidRPr="006E6784">
        <w:rPr>
          <w:rFonts w:cs="Arial"/>
        </w:rPr>
        <w:t xml:space="preserve"> further ahead in time, in overall quantities that are far greater than they are likely to need, is not beneficial for system operation</w:t>
      </w:r>
      <w:r w:rsidR="00606111">
        <w:rPr>
          <w:rFonts w:cs="Arial"/>
        </w:rPr>
        <w:t xml:space="preserve"> or planning</w:t>
      </w:r>
      <w:r w:rsidRPr="006E6784">
        <w:rPr>
          <w:rFonts w:cs="Arial"/>
        </w:rPr>
        <w:t xml:space="preserve"> and is not likely to be cost efficient. Users who know they are likely to have over-bought </w:t>
      </w:r>
      <w:r w:rsidR="0043426C">
        <w:rPr>
          <w:rFonts w:cs="Arial"/>
        </w:rPr>
        <w:t>Exit Capacity</w:t>
      </w:r>
      <w:r w:rsidRPr="006E6784">
        <w:rPr>
          <w:rFonts w:cs="Arial"/>
        </w:rPr>
        <w:t xml:space="preserve"> </w:t>
      </w:r>
      <w:r w:rsidR="00FB026D">
        <w:rPr>
          <w:rFonts w:cs="Arial"/>
        </w:rPr>
        <w:t xml:space="preserve">for their customers </w:t>
      </w:r>
      <w:r w:rsidRPr="006E6784">
        <w:rPr>
          <w:rFonts w:cs="Arial"/>
        </w:rPr>
        <w:t xml:space="preserve">also know that they will pay a higher proportion of total transmission costs and will aim to recover those costs during that year. Other Users are not likely to be able to benefit from conversely paying a </w:t>
      </w:r>
      <w:r w:rsidRPr="006E6784">
        <w:rPr>
          <w:rFonts w:cs="Arial"/>
        </w:rPr>
        <w:lastRenderedPageBreak/>
        <w:t>lower proportion during the same year because National Gas are unlikely to be able to accurately estimate over-buying in their Forecasted Contracted Capacity calculation</w:t>
      </w:r>
      <w:r w:rsidR="00911B3C">
        <w:rPr>
          <w:rFonts w:cs="Arial"/>
        </w:rPr>
        <w:t xml:space="preserve"> </w:t>
      </w:r>
      <w:proofErr w:type="gramStart"/>
      <w:r w:rsidR="00911B3C">
        <w:rPr>
          <w:rFonts w:cs="Arial"/>
        </w:rPr>
        <w:t>in order to</w:t>
      </w:r>
      <w:proofErr w:type="gramEnd"/>
      <w:r w:rsidR="00911B3C">
        <w:rPr>
          <w:rFonts w:cs="Arial"/>
        </w:rPr>
        <w:t xml:space="preserve"> reduce Reserve Prices</w:t>
      </w:r>
      <w:r w:rsidRPr="006E6784">
        <w:rPr>
          <w:rFonts w:cs="Arial"/>
        </w:rPr>
        <w:t>.</w:t>
      </w:r>
    </w:p>
    <w:p w14:paraId="7A24971B" w14:textId="77777777" w:rsidR="00852297" w:rsidRDefault="00852297" w:rsidP="00281705">
      <w:pPr>
        <w:jc w:val="both"/>
        <w:rPr>
          <w:rFonts w:cs="Arial"/>
        </w:rPr>
      </w:pPr>
    </w:p>
    <w:p w14:paraId="59C11D27" w14:textId="499EC053" w:rsidR="00852297" w:rsidRPr="006E6784" w:rsidRDefault="002E0B28" w:rsidP="00852297">
      <w:pPr>
        <w:pStyle w:val="Heading4"/>
        <w:keepLines w:val="0"/>
        <w:numPr>
          <w:ilvl w:val="0"/>
          <w:numId w:val="0"/>
        </w:numPr>
        <w:spacing w:before="12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NTS/LDZ Exit Points are not in scope of this change proposal</w:t>
      </w:r>
      <w:r w:rsidR="00852297">
        <w:rPr>
          <w:rFonts w:ascii="Arial" w:eastAsia="Times New Roman" w:hAnsi="Arial" w:cs="Arial"/>
          <w:i w:val="0"/>
          <w:iCs w:val="0"/>
          <w:color w:val="008576"/>
          <w:sz w:val="24"/>
          <w:szCs w:val="28"/>
        </w:rPr>
        <w:t xml:space="preserve">   </w:t>
      </w:r>
    </w:p>
    <w:p w14:paraId="3054E9B3" w14:textId="55881FBB" w:rsidR="001B595A" w:rsidRPr="003948EC" w:rsidRDefault="00C352B8" w:rsidP="00281705">
      <w:pPr>
        <w:jc w:val="both"/>
        <w:rPr>
          <w:rFonts w:cs="Arial"/>
        </w:rPr>
      </w:pPr>
      <w:r>
        <w:rPr>
          <w:rFonts w:cs="Arial"/>
        </w:rPr>
        <w:t>The proposer understands that, according t</w:t>
      </w:r>
      <w:r w:rsidRPr="00C352B8">
        <w:rPr>
          <w:rFonts w:cs="Arial"/>
        </w:rPr>
        <w:t>o the</w:t>
      </w:r>
      <w:r>
        <w:rPr>
          <w:rFonts w:cs="Arial"/>
        </w:rPr>
        <w:t>ir</w:t>
      </w:r>
      <w:r w:rsidRPr="00C352B8">
        <w:rPr>
          <w:rFonts w:cs="Arial"/>
        </w:rPr>
        <w:t xml:space="preserve"> </w:t>
      </w:r>
      <w:r>
        <w:rPr>
          <w:rFonts w:cs="Arial"/>
        </w:rPr>
        <w:t>l</w:t>
      </w:r>
      <w:r w:rsidRPr="00C352B8">
        <w:rPr>
          <w:rFonts w:cs="Arial"/>
        </w:rPr>
        <w:t>icence, DNs must secure the availability of gas for 1-in-20 peak domestic aggregate daily demand including within day gas variations providing reasonable economic incentives</w:t>
      </w:r>
      <w:r>
        <w:rPr>
          <w:rFonts w:cs="Arial"/>
        </w:rPr>
        <w:t xml:space="preserve"> i.e. DNs must procure exit capacity for a 1-in-20 demand scenario. To fulfil the within day variation obligation, DNs may apply for NTS Exit (Flex) Capacity. Other Shippers do not have access to this product. NTS Exit (Fl</w:t>
      </w:r>
      <w:r w:rsidR="008650B3">
        <w:rPr>
          <w:rFonts w:cs="Arial"/>
        </w:rPr>
        <w:t>ex</w:t>
      </w:r>
      <w:r>
        <w:rPr>
          <w:rFonts w:cs="Arial"/>
        </w:rPr>
        <w:t xml:space="preserve">) Capacity was introduced on the implementation of UNC195AVD. This modification was raised and implemented </w:t>
      </w:r>
      <w:proofErr w:type="gramStart"/>
      <w:r>
        <w:rPr>
          <w:rFonts w:cs="Arial"/>
        </w:rPr>
        <w:t>subsequent to</w:t>
      </w:r>
      <w:proofErr w:type="gramEnd"/>
      <w:r>
        <w:rPr>
          <w:rFonts w:cs="Arial"/>
        </w:rPr>
        <w:t xml:space="preserve"> the Competition Commission’s ruling that the</w:t>
      </w:r>
      <w:r w:rsidRPr="00C352B8">
        <w:rPr>
          <w:rFonts w:cs="Arial"/>
        </w:rPr>
        <w:t xml:space="preserve"> </w:t>
      </w:r>
      <w:r w:rsidRPr="003948EC">
        <w:rPr>
          <w:rFonts w:cs="Arial"/>
        </w:rPr>
        <w:t xml:space="preserve">decision to implement UNC 0116V should be quashed and that </w:t>
      </w:r>
      <w:bookmarkStart w:id="6" w:name="_Hlk169874999"/>
      <w:r w:rsidRPr="003948EC">
        <w:rPr>
          <w:rFonts w:cs="Arial"/>
        </w:rPr>
        <w:t>different capacity procurement arrangements for different Users were appropriate</w:t>
      </w:r>
      <w:bookmarkEnd w:id="6"/>
      <w:r w:rsidRPr="003948EC">
        <w:rPr>
          <w:rFonts w:cs="Arial"/>
        </w:rPr>
        <w:t>.</w:t>
      </w:r>
      <w:r w:rsidR="00052F65" w:rsidRPr="003948EC">
        <w:rPr>
          <w:rFonts w:cs="Arial"/>
        </w:rPr>
        <w:t xml:space="preserve"> </w:t>
      </w:r>
    </w:p>
    <w:p w14:paraId="429ED615" w14:textId="6A104692" w:rsidR="002E0B28" w:rsidRPr="00936FDF" w:rsidRDefault="001B595A" w:rsidP="008650B3">
      <w:pPr>
        <w:jc w:val="both"/>
        <w:rPr>
          <w:rFonts w:cs="Arial"/>
        </w:rPr>
      </w:pPr>
      <w:r w:rsidRPr="003948EC">
        <w:rPr>
          <w:rFonts w:cs="Arial"/>
        </w:rPr>
        <w:t>D</w:t>
      </w:r>
      <w:r w:rsidR="00052F65" w:rsidRPr="003948EC">
        <w:rPr>
          <w:rFonts w:cs="Arial"/>
        </w:rPr>
        <w:t xml:space="preserve">ifferent obligations and expectations </w:t>
      </w:r>
      <w:r w:rsidRPr="003948EC">
        <w:rPr>
          <w:rFonts w:cs="Arial"/>
        </w:rPr>
        <w:t>have continued to evolve for</w:t>
      </w:r>
      <w:r w:rsidR="00052F65" w:rsidRPr="003948EC">
        <w:rPr>
          <w:rFonts w:cs="Arial"/>
        </w:rPr>
        <w:t xml:space="preserve"> DNs.</w:t>
      </w:r>
      <w:r w:rsidRPr="003948EC">
        <w:rPr>
          <w:rFonts w:cs="Arial"/>
        </w:rPr>
        <w:t xml:space="preserve"> Their</w:t>
      </w:r>
      <w:r>
        <w:rPr>
          <w:rFonts w:cs="Arial"/>
        </w:rPr>
        <w:t xml:space="preserve"> Permitted Offtake Rate for an Offtake Profile Notice is 1/24</w:t>
      </w:r>
      <w:r w:rsidRPr="003948EC">
        <w:rPr>
          <w:rFonts w:cs="Arial"/>
          <w:vertAlign w:val="superscript"/>
        </w:rPr>
        <w:t>th</w:t>
      </w:r>
      <w:r>
        <w:rPr>
          <w:rFonts w:cs="Arial"/>
        </w:rPr>
        <w:t xml:space="preserve"> of the sum of their Flat and Flex capacity. However, Flex capacity overruns are priced at zero, and a 1/24</w:t>
      </w:r>
      <w:r w:rsidRPr="003948EC">
        <w:rPr>
          <w:rFonts w:cs="Arial"/>
          <w:vertAlign w:val="superscript"/>
        </w:rPr>
        <w:t>th</w:t>
      </w:r>
      <w:r>
        <w:rPr>
          <w:rFonts w:cs="Arial"/>
        </w:rPr>
        <w:t xml:space="preserve"> exit capacity holding is an obligation according to their licence. The proposer </w:t>
      </w:r>
      <w:r w:rsidR="008650B3">
        <w:rPr>
          <w:rFonts w:cs="Arial"/>
        </w:rPr>
        <w:t>believes that the current exit capacity obligations for DNs result in procurement behaviour</w:t>
      </w:r>
      <w:r w:rsidR="004C3E83">
        <w:rPr>
          <w:rFonts w:cs="Arial"/>
        </w:rPr>
        <w:t xml:space="preserve"> that is in line with expectation</w:t>
      </w:r>
      <w:r w:rsidR="008650B3">
        <w:rPr>
          <w:rFonts w:cs="Arial"/>
        </w:rPr>
        <w:t xml:space="preserve"> and that the justification for this modification does not extend to DNs and therefore NTS/LDZ Exit Points should not be in scope.   </w:t>
      </w:r>
    </w:p>
    <w:p w14:paraId="7E08FBC9" w14:textId="376F6B6F" w:rsidR="00F20FAB" w:rsidRPr="00CA74C4" w:rsidRDefault="00F20FAB" w:rsidP="00CE3F16">
      <w:pPr>
        <w:pStyle w:val="Heading02"/>
      </w:pPr>
      <w:bookmarkStart w:id="7" w:name="_Toc170220936"/>
      <w:r w:rsidRPr="00CA74C4">
        <w:t>Code Specific Matters</w:t>
      </w:r>
      <w:bookmarkEnd w:id="7"/>
    </w:p>
    <w:p w14:paraId="1B02B825" w14:textId="77777777" w:rsidR="00F13CDE" w:rsidRPr="00CA74C4" w:rsidRDefault="00F13CDE" w:rsidP="00281705">
      <w:pPr>
        <w:pStyle w:val="Heading4"/>
        <w:keepLines w:val="0"/>
        <w:numPr>
          <w:ilvl w:val="0"/>
          <w:numId w:val="0"/>
        </w:numPr>
        <w:spacing w:before="240"/>
        <w:jc w:val="both"/>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0B20CA23" w14:textId="5040EE4A" w:rsidR="00F13CDE" w:rsidRDefault="00897C87" w:rsidP="00281705">
      <w:pPr>
        <w:jc w:val="both"/>
      </w:pPr>
      <w:hyperlink r:id="rId21" w:history="1">
        <w:r w:rsidR="00F13CDE" w:rsidRPr="00BF2612">
          <w:rPr>
            <w:rStyle w:val="Hyperlink"/>
          </w:rPr>
          <w:t xml:space="preserve">Transmission Workgroup minutes from </w:t>
        </w:r>
        <w:r w:rsidR="00AD1D3F">
          <w:rPr>
            <w:rStyle w:val="Hyperlink"/>
          </w:rPr>
          <w:t>0</w:t>
        </w:r>
        <w:r w:rsidR="00F13CDE" w:rsidRPr="00BF2612">
          <w:rPr>
            <w:rStyle w:val="Hyperlink"/>
          </w:rPr>
          <w:t>1 June 2023</w:t>
        </w:r>
      </w:hyperlink>
      <w:r w:rsidR="00196047">
        <w:t xml:space="preserve"> (see section 1.3)</w:t>
      </w:r>
    </w:p>
    <w:p w14:paraId="638C26DA" w14:textId="020D1CFE" w:rsidR="00F13CDE" w:rsidRDefault="00897C87" w:rsidP="00281705">
      <w:pPr>
        <w:jc w:val="both"/>
      </w:pPr>
      <w:hyperlink r:id="rId22" w:history="1">
        <w:r w:rsidR="00F13CDE">
          <w:rPr>
            <w:rStyle w:val="Hyperlink"/>
          </w:rPr>
          <w:t>National Gas Exit Constraints Webinar 16 December 2022 Q&amp;A document</w:t>
        </w:r>
      </w:hyperlink>
    </w:p>
    <w:p w14:paraId="525F19C3" w14:textId="7EF8070F" w:rsidR="00F13CDE" w:rsidRDefault="00897C87" w:rsidP="00281705">
      <w:pPr>
        <w:jc w:val="both"/>
        <w:rPr>
          <w:rStyle w:val="Hyperlink"/>
        </w:rPr>
      </w:pPr>
      <w:hyperlink r:id="rId23" w:history="1">
        <w:r w:rsidR="00F13CDE" w:rsidRPr="00B042CE">
          <w:rPr>
            <w:rStyle w:val="Hyperlink"/>
          </w:rPr>
          <w:t>National Emergency Plan for downstream gas and electricity</w:t>
        </w:r>
      </w:hyperlink>
    </w:p>
    <w:p w14:paraId="0C33BEE4" w14:textId="770101AC" w:rsidR="00196047" w:rsidRDefault="00897C87" w:rsidP="00281705">
      <w:pPr>
        <w:jc w:val="both"/>
        <w:rPr>
          <w:rFonts w:cs="Arial"/>
          <w:szCs w:val="20"/>
        </w:rPr>
      </w:pPr>
      <w:hyperlink r:id="rId24" w:history="1">
        <w:r w:rsidR="00196047" w:rsidRPr="00196047">
          <w:rPr>
            <w:rStyle w:val="Hyperlink"/>
            <w:rFonts w:cs="Arial"/>
            <w:szCs w:val="20"/>
          </w:rPr>
          <w:t>UNC TPD Section J - Exit Requirements</w:t>
        </w:r>
      </w:hyperlink>
    </w:p>
    <w:p w14:paraId="7CAA29FA" w14:textId="24C4562A" w:rsidR="00196047" w:rsidRPr="00CA74C4" w:rsidRDefault="00897C87" w:rsidP="00281705">
      <w:pPr>
        <w:jc w:val="both"/>
        <w:rPr>
          <w:rFonts w:cs="Arial"/>
          <w:szCs w:val="20"/>
        </w:rPr>
      </w:pPr>
      <w:hyperlink r:id="rId25" w:history="1">
        <w:r w:rsidR="00196047" w:rsidRPr="00196047">
          <w:rPr>
            <w:rStyle w:val="Hyperlink"/>
            <w:rFonts w:cs="Arial"/>
            <w:szCs w:val="20"/>
          </w:rPr>
          <w:t>UNC TPD Section Q - Emergencies</w:t>
        </w:r>
      </w:hyperlink>
    </w:p>
    <w:p w14:paraId="75F5F8C0" w14:textId="73FCFE2A" w:rsidR="00985FC1" w:rsidRPr="00CA74C4" w:rsidRDefault="00AF5B6E" w:rsidP="00754F67">
      <w:pPr>
        <w:pStyle w:val="Heading02"/>
      </w:pPr>
      <w:bookmarkStart w:id="8" w:name="_Toc170220937"/>
      <w:r w:rsidRPr="00CA74C4">
        <w:t>Solution</w:t>
      </w:r>
      <w:bookmarkEnd w:id="8"/>
    </w:p>
    <w:p w14:paraId="7F37C912" w14:textId="6E0DEA4A" w:rsidR="001D3DFE" w:rsidRDefault="001D3DFE" w:rsidP="001D3DFE">
      <w:pPr>
        <w:jc w:val="both"/>
        <w:rPr>
          <w:rFonts w:cs="Arial"/>
        </w:rPr>
      </w:pPr>
      <w:r>
        <w:rPr>
          <w:rFonts w:cs="Arial"/>
        </w:rPr>
        <w:t>Proposed business rules:</w:t>
      </w:r>
    </w:p>
    <w:p w14:paraId="1A29C4C8" w14:textId="47EE84A0" w:rsidR="001D3DFE" w:rsidRDefault="001D3DFE" w:rsidP="001D3DFE">
      <w:pPr>
        <w:pStyle w:val="ListParagraph"/>
        <w:numPr>
          <w:ilvl w:val="0"/>
          <w:numId w:val="27"/>
        </w:numPr>
        <w:jc w:val="both"/>
      </w:pPr>
      <w:r>
        <w:t xml:space="preserve">The role of NTS </w:t>
      </w:r>
      <w:r w:rsidR="00303C74">
        <w:t>Exit</w:t>
      </w:r>
      <w:r>
        <w:t xml:space="preserve"> </w:t>
      </w:r>
      <w:r w:rsidR="00C352B8">
        <w:t xml:space="preserve">(Flat) </w:t>
      </w:r>
      <w:r>
        <w:t xml:space="preserve">Capacity </w:t>
      </w:r>
      <w:r w:rsidR="00303C74">
        <w:t>for NTS Supply Points and NTS Connected System Exit Points is</w:t>
      </w:r>
      <w:r>
        <w:t xml:space="preserve"> as a financial </w:t>
      </w:r>
      <w:r w:rsidR="00606111">
        <w:t xml:space="preserve">instrument and a </w:t>
      </w:r>
      <w:r>
        <w:t xml:space="preserve">hedge against overrun </w:t>
      </w:r>
      <w:proofErr w:type="gramStart"/>
      <w:r>
        <w:t>charges, and</w:t>
      </w:r>
      <w:proofErr w:type="gramEnd"/>
      <w:r>
        <w:t xml:space="preserve"> should not impact the operational </w:t>
      </w:r>
      <w:r w:rsidR="00967975">
        <w:t xml:space="preserve">NTS </w:t>
      </w:r>
      <w:r>
        <w:t xml:space="preserve">offtake rights of the holder.   </w:t>
      </w:r>
    </w:p>
    <w:p w14:paraId="4F6EEF44" w14:textId="337CF523" w:rsidR="001D3DFE" w:rsidRPr="003B05A6" w:rsidRDefault="00606111" w:rsidP="001D3DFE">
      <w:pPr>
        <w:pStyle w:val="ListParagraph"/>
        <w:numPr>
          <w:ilvl w:val="0"/>
          <w:numId w:val="27"/>
        </w:numPr>
      </w:pPr>
      <w:r>
        <w:t xml:space="preserve">A User’s </w:t>
      </w:r>
      <w:r w:rsidR="001D3DFE" w:rsidRPr="003B05A6">
        <w:t>entitle</w:t>
      </w:r>
      <w:r>
        <w:t xml:space="preserve">ment to offtake </w:t>
      </w:r>
      <w:r w:rsidR="001D3DFE" w:rsidRPr="003B05A6">
        <w:t xml:space="preserve">gas from the system </w:t>
      </w:r>
      <w:r w:rsidR="00303C74">
        <w:t xml:space="preserve">at NTS Supply Points and NTS Connected System Exit Points </w:t>
      </w:r>
      <w:r w:rsidR="000B0D31">
        <w:t xml:space="preserve">(i.e. the maximum permitted rate) </w:t>
      </w:r>
      <w:r>
        <w:t>s</w:t>
      </w:r>
      <w:r w:rsidR="001D3DFE" w:rsidRPr="003B05A6">
        <w:t xml:space="preserve">hould not be </w:t>
      </w:r>
      <w:r>
        <w:t xml:space="preserve">affected </w:t>
      </w:r>
      <w:r w:rsidR="001D3DFE" w:rsidRPr="003B05A6">
        <w:t xml:space="preserve">by a </w:t>
      </w:r>
      <w:r w:rsidR="001D3DFE">
        <w:t>U</w:t>
      </w:r>
      <w:r w:rsidR="001D3DFE" w:rsidRPr="003B05A6">
        <w:t xml:space="preserve">ser’s </w:t>
      </w:r>
      <w:r w:rsidR="001D3DFE">
        <w:t xml:space="preserve">NTS Exit </w:t>
      </w:r>
      <w:r w:rsidR="008650B3">
        <w:t xml:space="preserve">(Flat) </w:t>
      </w:r>
      <w:r w:rsidR="001D3DFE">
        <w:t>C</w:t>
      </w:r>
      <w:r w:rsidR="001D3DFE" w:rsidRPr="003B05A6">
        <w:t>apacity holding</w:t>
      </w:r>
      <w:r>
        <w:t>.</w:t>
      </w:r>
      <w:r w:rsidR="001D3DFE" w:rsidRPr="003B05A6">
        <w:t xml:space="preserve"> </w:t>
      </w:r>
    </w:p>
    <w:p w14:paraId="76492F7B" w14:textId="37E52508" w:rsidR="001D3DFE" w:rsidRDefault="001D3DFE" w:rsidP="00086967">
      <w:pPr>
        <w:pStyle w:val="ListParagraph"/>
        <w:numPr>
          <w:ilvl w:val="0"/>
          <w:numId w:val="27"/>
        </w:numPr>
        <w:jc w:val="both"/>
      </w:pPr>
      <w:r w:rsidRPr="003B05A6">
        <w:t>The Permitted Offtake Rate</w:t>
      </w:r>
      <w:r>
        <w:t xml:space="preserve"> for an </w:t>
      </w:r>
      <w:r w:rsidRPr="004A49BB">
        <w:t xml:space="preserve">Offtake Profile Notice </w:t>
      </w:r>
      <w:r>
        <w:t xml:space="preserve">(OPN) for any </w:t>
      </w:r>
      <w:r w:rsidR="00303C74">
        <w:t xml:space="preserve">NTS Supply Point and </w:t>
      </w:r>
      <w:r>
        <w:t xml:space="preserve">NTS </w:t>
      </w:r>
      <w:r w:rsidR="00303C74">
        <w:t xml:space="preserve">Connection System </w:t>
      </w:r>
      <w:r>
        <w:t xml:space="preserve">Exit Point shall not be restricted or </w:t>
      </w:r>
      <w:r w:rsidR="00606111">
        <w:t xml:space="preserve">affected </w:t>
      </w:r>
      <w:r>
        <w:t xml:space="preserve">by a User’s </w:t>
      </w:r>
      <w:r w:rsidRPr="004A49BB">
        <w:t xml:space="preserve">NTS Exit </w:t>
      </w:r>
      <w:r w:rsidR="008650B3">
        <w:t xml:space="preserve">(Flat) </w:t>
      </w:r>
      <w:r w:rsidRPr="004A49BB">
        <w:t>Capacity</w:t>
      </w:r>
      <w:r>
        <w:t xml:space="preserve"> holding</w:t>
      </w:r>
      <w:r w:rsidR="00674D60">
        <w:t xml:space="preserve">, but instead be determined by the </w:t>
      </w:r>
      <w:r w:rsidR="00674D60" w:rsidRPr="00674D60">
        <w:t>rate specified in the Network Exit Provisions</w:t>
      </w:r>
      <w:r w:rsidR="00086967">
        <w:t>: a</w:t>
      </w:r>
      <w:r w:rsidRPr="003B05A6">
        <w:t xml:space="preserve">n OPN should </w:t>
      </w:r>
      <w:r w:rsidR="00967975">
        <w:t>contain</w:t>
      </w:r>
      <w:r w:rsidRPr="003B05A6">
        <w:t xml:space="preserve"> a </w:t>
      </w:r>
      <w:r w:rsidR="00DA6F5F">
        <w:t>U</w:t>
      </w:r>
      <w:r w:rsidRPr="003B05A6">
        <w:t xml:space="preserve">ser’s best estimate of their expected offtake.  </w:t>
      </w:r>
    </w:p>
    <w:p w14:paraId="6E89C65F" w14:textId="338F80B0" w:rsidR="00674D60" w:rsidRDefault="00397A08" w:rsidP="00A92927">
      <w:pPr>
        <w:jc w:val="both"/>
      </w:pPr>
      <w:r>
        <w:lastRenderedPageBreak/>
        <w:t>For the avoidance of doubt, t</w:t>
      </w:r>
      <w:r w:rsidRPr="002223C3">
        <w:t xml:space="preserve">he reduction or discontinuance of </w:t>
      </w:r>
      <w:r>
        <w:t xml:space="preserve">the </w:t>
      </w:r>
      <w:r w:rsidRPr="002223C3">
        <w:t xml:space="preserve">offtake of gas at </w:t>
      </w:r>
      <w:r>
        <w:t xml:space="preserve">Exit Points may only be </w:t>
      </w:r>
      <w:r w:rsidR="00EB1875">
        <w:t xml:space="preserve">instructed and </w:t>
      </w:r>
      <w:r w:rsidR="00606111">
        <w:t>enforced</w:t>
      </w:r>
      <w:r>
        <w:t xml:space="preserve"> in accordance with the provisions of UNC TPD Section Q – Emergencies</w:t>
      </w:r>
      <w:r w:rsidR="00674D60">
        <w:t xml:space="preserve"> or </w:t>
      </w:r>
      <w:r w:rsidR="00303C74">
        <w:t>where the User exceeds the Permitted Offtake Rate</w:t>
      </w:r>
      <w:r w:rsidR="00674D60">
        <w:t xml:space="preserve">. </w:t>
      </w:r>
    </w:p>
    <w:p w14:paraId="69B31A2B" w14:textId="77777777" w:rsidR="006D75CD" w:rsidRPr="00CA74C4" w:rsidRDefault="006D75CD" w:rsidP="00CE3F16">
      <w:pPr>
        <w:pStyle w:val="Heading02"/>
        <w:rPr>
          <w:noProof/>
        </w:rPr>
      </w:pPr>
      <w:bookmarkStart w:id="9" w:name="_Toc170220938"/>
      <w:r w:rsidRPr="00CA74C4">
        <w:rPr>
          <w:noProof/>
        </w:rPr>
        <w:t xml:space="preserve">Impacts </w:t>
      </w:r>
      <w:r w:rsidR="00784486" w:rsidRPr="00CA74C4">
        <w:rPr>
          <w:noProof/>
        </w:rPr>
        <w:t>&amp; Other Considerations</w:t>
      </w:r>
      <w:bookmarkEnd w:id="9"/>
    </w:p>
    <w:p w14:paraId="6D367C7A" w14:textId="77777777" w:rsidR="00936FDF" w:rsidRPr="00CA74C4" w:rsidRDefault="00936FDF" w:rsidP="00281705">
      <w:pPr>
        <w:pStyle w:val="Heading4"/>
        <w:keepLines w:val="0"/>
        <w:numPr>
          <w:ilvl w:val="0"/>
          <w:numId w:val="0"/>
        </w:numPr>
        <w:spacing w:before="240"/>
        <w:jc w:val="both"/>
        <w:rPr>
          <w:rFonts w:ascii="Arial" w:eastAsia="Times New Roman" w:hAnsi="Arial" w:cs="Arial"/>
          <w:i w:val="0"/>
          <w:iCs w:val="0"/>
          <w:color w:val="008576"/>
          <w:sz w:val="24"/>
          <w:szCs w:val="28"/>
        </w:rPr>
      </w:pPr>
      <w:bookmarkStart w:id="10"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10"/>
    <w:p w14:paraId="128DC38A" w14:textId="51FCC35A" w:rsidR="00936FDF" w:rsidRPr="00CA74C4" w:rsidRDefault="00585C75" w:rsidP="00281705">
      <w:pPr>
        <w:jc w:val="both"/>
        <w:rPr>
          <w:rFonts w:cs="Arial"/>
        </w:rPr>
      </w:pPr>
      <w:r>
        <w:rPr>
          <w:rFonts w:cs="Arial"/>
        </w:rPr>
        <w:t>No</w:t>
      </w:r>
    </w:p>
    <w:p w14:paraId="63932E0B" w14:textId="77777777" w:rsidR="00676075" w:rsidRPr="00CA74C4" w:rsidRDefault="00676075" w:rsidP="00281705">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1DAF5D29" w14:textId="6FDAE077" w:rsidR="00DA6F5F" w:rsidRDefault="008534EF" w:rsidP="00DA6F5F">
      <w:pPr>
        <w:pStyle w:val="ListParagraph"/>
        <w:numPr>
          <w:ilvl w:val="0"/>
          <w:numId w:val="28"/>
        </w:numPr>
        <w:jc w:val="both"/>
      </w:pPr>
      <w:r w:rsidRPr="008534EF">
        <w:t xml:space="preserve">Improved safety and reliability </w:t>
      </w:r>
      <w:r>
        <w:t>due to i</w:t>
      </w:r>
      <w:r w:rsidR="00DA6F5F">
        <w:t>ncreased security of supply of electricity</w:t>
      </w:r>
    </w:p>
    <w:p w14:paraId="73D30A0E" w14:textId="1507B1CC" w:rsidR="00A15AA8" w:rsidRPr="00DA6F5F" w:rsidRDefault="008534EF" w:rsidP="00EB1875">
      <w:pPr>
        <w:pStyle w:val="ListParagraph"/>
        <w:numPr>
          <w:ilvl w:val="0"/>
          <w:numId w:val="28"/>
        </w:numPr>
        <w:jc w:val="both"/>
      </w:pPr>
      <w:r w:rsidRPr="008534EF">
        <w:t>Lower bills than would otherwise be the case</w:t>
      </w:r>
      <w:r>
        <w:t xml:space="preserve"> due to r</w:t>
      </w:r>
      <w:r w:rsidR="00721588" w:rsidRPr="00DA6F5F">
        <w:t xml:space="preserve">educed </w:t>
      </w:r>
      <w:r w:rsidR="00207ABB" w:rsidRPr="00DA6F5F">
        <w:t xml:space="preserve">over-buying </w:t>
      </w:r>
      <w:r w:rsidR="004D1844" w:rsidRPr="00DA6F5F">
        <w:t xml:space="preserve">of </w:t>
      </w:r>
      <w:r w:rsidR="0043426C" w:rsidRPr="00DA6F5F">
        <w:t>Exit Capacity</w:t>
      </w:r>
      <w:r w:rsidR="00986F7E" w:rsidRPr="00DA6F5F">
        <w:t>,</w:t>
      </w:r>
      <w:r w:rsidR="00807B59" w:rsidRPr="00DA6F5F">
        <w:t xml:space="preserve"> </w:t>
      </w:r>
      <w:r w:rsidR="002E25E8" w:rsidRPr="00DA6F5F">
        <w:t xml:space="preserve">and </w:t>
      </w:r>
      <w:r w:rsidR="00613C62" w:rsidRPr="00DA6F5F">
        <w:t xml:space="preserve">hence </w:t>
      </w:r>
      <w:r w:rsidR="00986F7E" w:rsidRPr="00DA6F5F">
        <w:t xml:space="preserve">a </w:t>
      </w:r>
      <w:r w:rsidR="002E25E8" w:rsidRPr="00DA6F5F">
        <w:t xml:space="preserve">more even distribution of </w:t>
      </w:r>
      <w:r w:rsidR="00551849" w:rsidRPr="00DA6F5F">
        <w:t>transmission costs</w:t>
      </w:r>
      <w:r w:rsidR="004D1844" w:rsidRPr="00DA6F5F">
        <w:t xml:space="preserve"> </w:t>
      </w:r>
      <w:r w:rsidR="00986F7E" w:rsidRPr="00DA6F5F">
        <w:t>according to use of the system</w:t>
      </w:r>
      <w:r w:rsidR="00D14AF9" w:rsidRPr="00DA6F5F">
        <w:t xml:space="preserve"> and reduction of over-recovery in revenues</w:t>
      </w:r>
      <w:r w:rsidR="00986F7E" w:rsidRPr="00DA6F5F">
        <w:t xml:space="preserve">, </w:t>
      </w:r>
      <w:r w:rsidR="00551849" w:rsidRPr="00DA6F5F">
        <w:t>is likely to lead to</w:t>
      </w:r>
      <w:r w:rsidR="00807B59" w:rsidRPr="00DA6F5F">
        <w:t xml:space="preserve"> reduce</w:t>
      </w:r>
      <w:r w:rsidR="00613C62" w:rsidRPr="00DA6F5F">
        <w:t>d</w:t>
      </w:r>
      <w:r w:rsidR="00807B59" w:rsidRPr="00DA6F5F">
        <w:t xml:space="preserve"> prices and hence </w:t>
      </w:r>
      <w:r w:rsidR="002B5DD4" w:rsidRPr="00DA6F5F">
        <w:t xml:space="preserve">reduced </w:t>
      </w:r>
      <w:r w:rsidR="00807B59" w:rsidRPr="00DA6F5F">
        <w:t>cost</w:t>
      </w:r>
      <w:r w:rsidR="002B5DD4" w:rsidRPr="00DA6F5F">
        <w:t>s</w:t>
      </w:r>
      <w:r w:rsidR="00807B59" w:rsidRPr="00DA6F5F">
        <w:t xml:space="preserve"> to </w:t>
      </w:r>
      <w:r w:rsidR="00D14AF9" w:rsidRPr="00DA6F5F">
        <w:t xml:space="preserve">large </w:t>
      </w:r>
      <w:r w:rsidR="00807B59" w:rsidRPr="00DA6F5F">
        <w:t>consumers</w:t>
      </w:r>
      <w:r w:rsidR="00D14AF9" w:rsidRPr="00DA6F5F">
        <w:t>.</w:t>
      </w:r>
    </w:p>
    <w:p w14:paraId="0235AB08" w14:textId="77777777" w:rsidR="00132A8F" w:rsidRPr="006B79FF" w:rsidRDefault="00132A8F" w:rsidP="00281705">
      <w:pPr>
        <w:pStyle w:val="Heading4"/>
        <w:keepLines w:val="0"/>
        <w:numPr>
          <w:ilvl w:val="0"/>
          <w:numId w:val="0"/>
        </w:numPr>
        <w:spacing w:before="240"/>
        <w:jc w:val="both"/>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61F4A4FC" w14:textId="3F835314" w:rsidR="00132A8F" w:rsidRPr="00A90299" w:rsidRDefault="002B5DD4" w:rsidP="00281705">
      <w:pPr>
        <w:contextualSpacing/>
        <w:jc w:val="both"/>
        <w:rPr>
          <w:rFonts w:cs="Arial"/>
          <w:i/>
          <w:color w:val="00B274"/>
          <w:szCs w:val="20"/>
        </w:rPr>
      </w:pPr>
      <w:r>
        <w:rPr>
          <w:rFonts w:cs="Arial"/>
        </w:rPr>
        <w:t>No</w:t>
      </w:r>
      <w:r w:rsidR="000562AF">
        <w:rPr>
          <w:rFonts w:cs="Arial"/>
        </w:rPr>
        <w:t xml:space="preserve"> impact</w:t>
      </w:r>
    </w:p>
    <w:p w14:paraId="6EC4AA3A" w14:textId="77777777" w:rsidR="00AF2CAB" w:rsidRPr="0093726B" w:rsidRDefault="00AF2CAB" w:rsidP="00281705">
      <w:pPr>
        <w:spacing w:before="40" w:after="40" w:line="240" w:lineRule="auto"/>
        <w:ind w:left="720"/>
        <w:contextualSpacing/>
        <w:jc w:val="both"/>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923"/>
        <w:gridCol w:w="2015"/>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281705">
            <w:pPr>
              <w:pStyle w:val="Heading4"/>
              <w:keepLines w:val="0"/>
              <w:numPr>
                <w:ilvl w:val="0"/>
                <w:numId w:val="0"/>
              </w:numPr>
              <w:spacing w:before="120"/>
              <w:ind w:left="113"/>
              <w:jc w:val="both"/>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0B60FA">
        <w:trPr>
          <w:cantSplit/>
          <w:trHeight w:hRule="exact" w:val="560"/>
        </w:trPr>
        <w:tc>
          <w:tcPr>
            <w:tcW w:w="7923" w:type="dxa"/>
            <w:tcBorders>
              <w:bottom w:val="single" w:sz="8" w:space="0" w:color="CCE0DA"/>
            </w:tcBorders>
            <w:shd w:val="clear" w:color="auto" w:fill="FFFFFF"/>
            <w:vAlign w:val="center"/>
          </w:tcPr>
          <w:p w14:paraId="671E9CC2" w14:textId="77777777" w:rsidR="00936FDF" w:rsidRPr="00A90299" w:rsidRDefault="00936FDF" w:rsidP="00B27EC9">
            <w:pPr>
              <w:pStyle w:val="Heading4"/>
              <w:keepLines w:val="0"/>
              <w:numPr>
                <w:ilvl w:val="0"/>
                <w:numId w:val="0"/>
              </w:numPr>
              <w:spacing w:before="120"/>
              <w:ind w:left="113" w:right="57"/>
              <w:jc w:val="both"/>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015" w:type="dxa"/>
            <w:tcBorders>
              <w:bottom w:val="single" w:sz="8" w:space="0" w:color="CCE0DA"/>
            </w:tcBorders>
            <w:shd w:val="clear" w:color="auto" w:fill="FFFFFF"/>
            <w:vAlign w:val="center"/>
          </w:tcPr>
          <w:p w14:paraId="1C70A940" w14:textId="77777777" w:rsidR="00936FDF" w:rsidRPr="00A90299" w:rsidRDefault="0093726B" w:rsidP="00B27EC9">
            <w:pPr>
              <w:ind w:left="113"/>
              <w:jc w:val="both"/>
              <w:rPr>
                <w:rFonts w:cs="Arial"/>
                <w:i/>
                <w:iCs/>
                <w:szCs w:val="20"/>
              </w:rPr>
            </w:pPr>
            <w:r w:rsidRPr="0093726B">
              <w:t>Identified impact</w:t>
            </w:r>
          </w:p>
        </w:tc>
      </w:tr>
      <w:tr w:rsidR="00936FDF" w14:paraId="168AC5AE" w14:textId="77777777" w:rsidTr="000B60FA">
        <w:trPr>
          <w:cantSplit/>
          <w:trHeight w:val="404"/>
        </w:trPr>
        <w:tc>
          <w:tcPr>
            <w:tcW w:w="7923" w:type="dxa"/>
            <w:tcBorders>
              <w:top w:val="single" w:sz="8" w:space="0" w:color="CCE0DA"/>
              <w:left w:val="single" w:sz="12" w:space="0" w:color="CCE0DA"/>
              <w:bottom w:val="single" w:sz="8" w:space="0" w:color="CCE0DA"/>
              <w:right w:val="single" w:sz="8" w:space="0" w:color="CCE0DA"/>
            </w:tcBorders>
          </w:tcPr>
          <w:p w14:paraId="5E486CC3" w14:textId="77777777" w:rsidR="00936FDF" w:rsidRDefault="00936FDF" w:rsidP="00B27EC9">
            <w:pPr>
              <w:pStyle w:val="Tablebodycopy"/>
              <w:spacing w:before="120"/>
              <w:ind w:right="57"/>
              <w:jc w:val="both"/>
              <w:rPr>
                <w:rFonts w:cs="Arial"/>
                <w:bCs/>
                <w:iCs/>
              </w:rPr>
            </w:pPr>
            <w:r w:rsidRPr="00A90299">
              <w:rPr>
                <w:rFonts w:cs="Arial"/>
                <w:bCs/>
                <w:iCs/>
              </w:rPr>
              <w:t>Improved safety and reliability </w:t>
            </w:r>
          </w:p>
          <w:p w14:paraId="63C984D9" w14:textId="25B39776" w:rsidR="00AF2CAB" w:rsidRPr="009D2D68" w:rsidRDefault="008534EF" w:rsidP="00B27EC9">
            <w:pPr>
              <w:pStyle w:val="Tablebodycopy"/>
              <w:spacing w:before="120"/>
              <w:ind w:right="57"/>
              <w:jc w:val="both"/>
              <w:rPr>
                <w:rFonts w:cs="Arial"/>
                <w:bCs/>
                <w:iCs/>
                <w:color w:val="auto"/>
              </w:rPr>
            </w:pPr>
            <w:r>
              <w:rPr>
                <w:rFonts w:cs="Arial"/>
                <w:color w:val="auto"/>
              </w:rPr>
              <w:t xml:space="preserve">Increased security of supply of gas and electricity due to more coordinated cross-vector management of gas offtake and electricity generation as intended </w:t>
            </w:r>
            <w:r w:rsidR="006477E7">
              <w:rPr>
                <w:rFonts w:cs="Arial"/>
                <w:color w:val="auto"/>
              </w:rPr>
              <w:t>during a declared</w:t>
            </w:r>
            <w:r>
              <w:rPr>
                <w:rFonts w:cs="Arial"/>
                <w:color w:val="auto"/>
              </w:rPr>
              <w:t xml:space="preserve"> NGSE</w:t>
            </w:r>
            <w:r w:rsidR="006477E7">
              <w:rPr>
                <w:rFonts w:cs="Arial"/>
                <w:color w:val="auto"/>
              </w:rPr>
              <w:t xml:space="preserve">. </w:t>
            </w:r>
          </w:p>
        </w:tc>
        <w:tc>
          <w:tcPr>
            <w:tcW w:w="2015" w:type="dxa"/>
            <w:tcBorders>
              <w:top w:val="single" w:sz="8" w:space="0" w:color="CCE0DA"/>
              <w:left w:val="single" w:sz="8" w:space="0" w:color="CCE0DA"/>
              <w:bottom w:val="single" w:sz="8" w:space="0" w:color="CCE0DA"/>
              <w:right w:val="single" w:sz="12" w:space="0" w:color="CCE0DA"/>
            </w:tcBorders>
          </w:tcPr>
          <w:p w14:paraId="44FA5B10" w14:textId="75C63FBD" w:rsidR="00BE1FA8" w:rsidRDefault="008534EF" w:rsidP="00B27EC9">
            <w:pPr>
              <w:ind w:left="113"/>
              <w:jc w:val="both"/>
            </w:pPr>
            <w:r>
              <w:t>Positive</w:t>
            </w:r>
          </w:p>
          <w:p w14:paraId="538453AC" w14:textId="77777777" w:rsidR="00936FDF" w:rsidRPr="00A90299" w:rsidRDefault="00936FDF" w:rsidP="00B27EC9">
            <w:pPr>
              <w:ind w:left="113"/>
              <w:jc w:val="both"/>
            </w:pPr>
          </w:p>
        </w:tc>
      </w:tr>
      <w:tr w:rsidR="00936FDF" w14:paraId="796EC7A2" w14:textId="77777777" w:rsidTr="000B60FA">
        <w:trPr>
          <w:cantSplit/>
          <w:trHeight w:val="404"/>
        </w:trPr>
        <w:tc>
          <w:tcPr>
            <w:tcW w:w="7923" w:type="dxa"/>
            <w:tcBorders>
              <w:top w:val="single" w:sz="8" w:space="0" w:color="CCE0DA"/>
              <w:left w:val="single" w:sz="12" w:space="0" w:color="CCE0DA"/>
              <w:bottom w:val="single" w:sz="8" w:space="0" w:color="CCE0DA"/>
              <w:right w:val="single" w:sz="8" w:space="0" w:color="CCE0DA"/>
            </w:tcBorders>
          </w:tcPr>
          <w:p w14:paraId="64CE4FAB" w14:textId="77777777" w:rsidR="00936FDF" w:rsidRDefault="00936FDF" w:rsidP="00B27EC9">
            <w:pPr>
              <w:pStyle w:val="Tablebodycopy"/>
              <w:spacing w:before="120"/>
              <w:ind w:right="57"/>
              <w:jc w:val="both"/>
              <w:rPr>
                <w:rFonts w:cs="Arial"/>
                <w:bCs/>
                <w:iCs/>
              </w:rPr>
            </w:pPr>
            <w:r w:rsidRPr="00A90299">
              <w:rPr>
                <w:rFonts w:cs="Arial"/>
                <w:bCs/>
                <w:iCs/>
              </w:rPr>
              <w:t>Lower bills than would otherwise be the case</w:t>
            </w:r>
          </w:p>
          <w:p w14:paraId="3FAA6BF4" w14:textId="1974F73A" w:rsidR="00AF2CAB" w:rsidRPr="002C2FC2" w:rsidRDefault="00D01691" w:rsidP="00B27EC9">
            <w:pPr>
              <w:ind w:left="113" w:right="57"/>
              <w:jc w:val="both"/>
              <w:rPr>
                <w:rFonts w:cs="Arial"/>
                <w:i/>
                <w:color w:val="00B274"/>
                <w:szCs w:val="20"/>
              </w:rPr>
            </w:pPr>
            <w:r w:rsidRPr="00196047">
              <w:rPr>
                <w:rFonts w:cs="Arial"/>
              </w:rPr>
              <w:t xml:space="preserve">This </w:t>
            </w:r>
            <w:r w:rsidR="00A02290">
              <w:rPr>
                <w:rFonts w:cs="Arial"/>
              </w:rPr>
              <w:t>M</w:t>
            </w:r>
            <w:r w:rsidRPr="00196047">
              <w:rPr>
                <w:rFonts w:cs="Arial"/>
              </w:rPr>
              <w:t xml:space="preserve">odification is most likely </w:t>
            </w:r>
            <w:r w:rsidR="007E0859" w:rsidRPr="00196047">
              <w:rPr>
                <w:rFonts w:cs="Arial"/>
              </w:rPr>
              <w:t xml:space="preserve">to </w:t>
            </w:r>
            <w:r w:rsidR="00DD25CB" w:rsidRPr="00196047">
              <w:rPr>
                <w:rFonts w:cs="Arial"/>
              </w:rPr>
              <w:t xml:space="preserve">impact </w:t>
            </w:r>
            <w:r w:rsidR="0043426C">
              <w:rPr>
                <w:rFonts w:cs="Arial"/>
              </w:rPr>
              <w:t>Exit Capacity</w:t>
            </w:r>
            <w:r w:rsidR="00DD25CB" w:rsidRPr="00196047">
              <w:rPr>
                <w:rFonts w:cs="Arial"/>
              </w:rPr>
              <w:t xml:space="preserve"> procurement strategies </w:t>
            </w:r>
            <w:r w:rsidR="0083090E" w:rsidRPr="00196047">
              <w:rPr>
                <w:rFonts w:cs="Arial"/>
              </w:rPr>
              <w:t xml:space="preserve">of Shippers for </w:t>
            </w:r>
            <w:r w:rsidR="00434213" w:rsidRPr="00196047">
              <w:rPr>
                <w:rFonts w:cs="Arial"/>
              </w:rPr>
              <w:t xml:space="preserve">Very Large </w:t>
            </w:r>
            <w:r w:rsidR="005B4D27" w:rsidRPr="00196047">
              <w:rPr>
                <w:rFonts w:cs="Arial"/>
              </w:rPr>
              <w:t>Consumers</w:t>
            </w:r>
            <w:r w:rsidR="00E30C1B" w:rsidRPr="00196047">
              <w:rPr>
                <w:rFonts w:cs="Arial"/>
              </w:rPr>
              <w:t xml:space="preserve"> such as CCGTs or large industrials</w:t>
            </w:r>
            <w:r w:rsidR="003948EC">
              <w:rPr>
                <w:rFonts w:cs="Arial"/>
              </w:rPr>
              <w:t xml:space="preserve"> at CSEPs</w:t>
            </w:r>
            <w:r w:rsidR="008B070B" w:rsidRPr="00196047">
              <w:rPr>
                <w:rFonts w:cs="Arial"/>
              </w:rPr>
              <w:t xml:space="preserve">, who may </w:t>
            </w:r>
            <w:r w:rsidR="00196047" w:rsidRPr="00196047">
              <w:rPr>
                <w:rFonts w:cs="Arial"/>
              </w:rPr>
              <w:t xml:space="preserve">as a result </w:t>
            </w:r>
            <w:r w:rsidR="0083090E" w:rsidRPr="00196047">
              <w:rPr>
                <w:rFonts w:cs="Arial"/>
              </w:rPr>
              <w:t xml:space="preserve">reduce their </w:t>
            </w:r>
            <w:r w:rsidR="00DB0EBE" w:rsidRPr="00196047">
              <w:rPr>
                <w:rFonts w:cs="Arial"/>
              </w:rPr>
              <w:t xml:space="preserve">over-buying </w:t>
            </w:r>
            <w:r w:rsidR="00196047" w:rsidRPr="00196047">
              <w:rPr>
                <w:rFonts w:cs="Arial"/>
              </w:rPr>
              <w:t xml:space="preserve">of </w:t>
            </w:r>
            <w:r w:rsidR="0043426C">
              <w:rPr>
                <w:rFonts w:cs="Arial"/>
              </w:rPr>
              <w:t>Exit Capacity</w:t>
            </w:r>
            <w:r w:rsidR="00196047" w:rsidRPr="00196047">
              <w:rPr>
                <w:rFonts w:cs="Arial"/>
              </w:rPr>
              <w:t xml:space="preserve"> </w:t>
            </w:r>
            <w:r w:rsidR="00DB0EBE" w:rsidRPr="00196047">
              <w:rPr>
                <w:rFonts w:cs="Arial"/>
              </w:rPr>
              <w:t xml:space="preserve">and in turn </w:t>
            </w:r>
            <w:r w:rsidR="008B070B" w:rsidRPr="00196047">
              <w:rPr>
                <w:rFonts w:cs="Arial"/>
              </w:rPr>
              <w:t>reduce the costs of their products to their customers.</w:t>
            </w:r>
            <w:r w:rsidR="00E30C1B">
              <w:rPr>
                <w:rFonts w:cs="Arial"/>
              </w:rPr>
              <w:t xml:space="preserve"> </w:t>
            </w:r>
          </w:p>
        </w:tc>
        <w:tc>
          <w:tcPr>
            <w:tcW w:w="2015" w:type="dxa"/>
            <w:tcBorders>
              <w:top w:val="single" w:sz="8" w:space="0" w:color="CCE0DA"/>
              <w:left w:val="single" w:sz="8" w:space="0" w:color="CCE0DA"/>
              <w:bottom w:val="single" w:sz="8" w:space="0" w:color="CCE0DA"/>
              <w:right w:val="single" w:sz="12" w:space="0" w:color="CCE0DA"/>
            </w:tcBorders>
          </w:tcPr>
          <w:p w14:paraId="07FC47FC" w14:textId="52471B30" w:rsidR="00BE1FA8" w:rsidRDefault="00BE1FA8" w:rsidP="00B27EC9">
            <w:pPr>
              <w:ind w:left="113"/>
              <w:jc w:val="both"/>
            </w:pPr>
            <w:r>
              <w:t>Positive</w:t>
            </w:r>
          </w:p>
          <w:p w14:paraId="746247F0" w14:textId="77777777" w:rsidR="00936FDF" w:rsidRPr="00A90299" w:rsidRDefault="00936FDF" w:rsidP="00B27EC9">
            <w:pPr>
              <w:ind w:left="113"/>
              <w:jc w:val="both"/>
              <w:rPr>
                <w:rFonts w:cs="Arial"/>
                <w:bCs/>
                <w:i/>
                <w:color w:val="00B274"/>
              </w:rPr>
            </w:pPr>
          </w:p>
        </w:tc>
      </w:tr>
      <w:tr w:rsidR="00936FDF" w14:paraId="11C39443" w14:textId="77777777" w:rsidTr="000B60FA">
        <w:trPr>
          <w:cantSplit/>
          <w:trHeight w:val="404"/>
        </w:trPr>
        <w:tc>
          <w:tcPr>
            <w:tcW w:w="7923" w:type="dxa"/>
            <w:tcBorders>
              <w:top w:val="single" w:sz="8" w:space="0" w:color="CCE0DA"/>
              <w:left w:val="single" w:sz="12" w:space="0" w:color="CCE0DA"/>
              <w:bottom w:val="single" w:sz="8" w:space="0" w:color="CCE0DA"/>
              <w:right w:val="single" w:sz="8" w:space="0" w:color="CCE0DA"/>
            </w:tcBorders>
          </w:tcPr>
          <w:p w14:paraId="29ED7F06" w14:textId="77777777" w:rsidR="00936FDF" w:rsidRDefault="00936FDF" w:rsidP="00B27EC9">
            <w:pPr>
              <w:pStyle w:val="Tablebodycopy"/>
              <w:spacing w:before="120"/>
              <w:ind w:right="57"/>
              <w:jc w:val="both"/>
              <w:rPr>
                <w:rFonts w:cs="Arial"/>
                <w:bCs/>
                <w:iCs/>
              </w:rPr>
            </w:pPr>
            <w:r w:rsidRPr="00A90299">
              <w:rPr>
                <w:rFonts w:cs="Arial"/>
                <w:bCs/>
                <w:iCs/>
              </w:rPr>
              <w:t>Reduced environmental damage</w:t>
            </w:r>
          </w:p>
          <w:p w14:paraId="7B9224C6" w14:textId="1BBD0784" w:rsidR="006C4B34" w:rsidRPr="00A90299" w:rsidRDefault="008B070B" w:rsidP="00B27EC9">
            <w:pPr>
              <w:ind w:left="113" w:right="57"/>
              <w:jc w:val="both"/>
              <w:rPr>
                <w:rFonts w:cs="Arial"/>
                <w:bCs/>
                <w:iCs/>
              </w:rPr>
            </w:pPr>
            <w:r>
              <w:rPr>
                <w:rFonts w:cs="Arial"/>
              </w:rPr>
              <w:t>None</w:t>
            </w:r>
          </w:p>
        </w:tc>
        <w:tc>
          <w:tcPr>
            <w:tcW w:w="2015" w:type="dxa"/>
            <w:tcBorders>
              <w:top w:val="single" w:sz="8" w:space="0" w:color="CCE0DA"/>
              <w:left w:val="single" w:sz="8" w:space="0" w:color="CCE0DA"/>
              <w:bottom w:val="single" w:sz="8" w:space="0" w:color="CCE0DA"/>
              <w:right w:val="single" w:sz="12" w:space="0" w:color="CCE0DA"/>
            </w:tcBorders>
          </w:tcPr>
          <w:p w14:paraId="3099A7B5" w14:textId="474DD730" w:rsidR="00936FDF" w:rsidRPr="00A90299" w:rsidRDefault="006C4B34" w:rsidP="00B27EC9">
            <w:pPr>
              <w:ind w:left="113" w:right="57"/>
              <w:jc w:val="both"/>
              <w:rPr>
                <w:rFonts w:cs="Arial"/>
                <w:bCs/>
                <w:i/>
                <w:color w:val="FF0000"/>
              </w:rPr>
            </w:pPr>
            <w:r w:rsidRPr="00087004">
              <w:rPr>
                <w:rFonts w:cs="Arial"/>
              </w:rPr>
              <w:t>None</w:t>
            </w:r>
          </w:p>
        </w:tc>
      </w:tr>
      <w:tr w:rsidR="00936FDF" w14:paraId="4C95FC1F" w14:textId="77777777" w:rsidTr="000B60FA">
        <w:trPr>
          <w:cantSplit/>
          <w:trHeight w:val="404"/>
        </w:trPr>
        <w:tc>
          <w:tcPr>
            <w:tcW w:w="7923" w:type="dxa"/>
            <w:tcBorders>
              <w:top w:val="single" w:sz="8" w:space="0" w:color="CCE0DA"/>
              <w:left w:val="single" w:sz="12" w:space="0" w:color="CCE0DA"/>
              <w:bottom w:val="single" w:sz="8" w:space="0" w:color="CCE0DA"/>
              <w:right w:val="single" w:sz="8" w:space="0" w:color="CCE0DA"/>
            </w:tcBorders>
          </w:tcPr>
          <w:p w14:paraId="171B8916" w14:textId="77777777" w:rsidR="00936FDF" w:rsidRDefault="00936FDF" w:rsidP="00B27EC9">
            <w:pPr>
              <w:pStyle w:val="Tablebodycopy"/>
              <w:spacing w:before="120"/>
              <w:ind w:right="57"/>
              <w:jc w:val="both"/>
              <w:rPr>
                <w:rFonts w:cs="Arial"/>
                <w:bCs/>
                <w:iCs/>
              </w:rPr>
            </w:pPr>
            <w:r w:rsidRPr="00A90299">
              <w:rPr>
                <w:rFonts w:cs="Arial"/>
                <w:bCs/>
                <w:iCs/>
              </w:rPr>
              <w:t>Improved quality of service</w:t>
            </w:r>
          </w:p>
          <w:p w14:paraId="01E1E65F" w14:textId="2C45B114" w:rsidR="0036715B" w:rsidRPr="00A90299" w:rsidRDefault="00946C27" w:rsidP="00B27EC9">
            <w:pPr>
              <w:pStyle w:val="Tablebodycopy"/>
              <w:spacing w:before="120"/>
              <w:ind w:right="57"/>
              <w:jc w:val="both"/>
              <w:rPr>
                <w:rFonts w:cs="Arial"/>
                <w:bCs/>
                <w:iCs/>
              </w:rPr>
            </w:pPr>
            <w:r>
              <w:rPr>
                <w:rFonts w:cs="Arial"/>
                <w:color w:val="auto"/>
              </w:rPr>
              <w:t>None</w:t>
            </w:r>
          </w:p>
        </w:tc>
        <w:tc>
          <w:tcPr>
            <w:tcW w:w="2015" w:type="dxa"/>
            <w:tcBorders>
              <w:top w:val="single" w:sz="8" w:space="0" w:color="CCE0DA"/>
              <w:left w:val="single" w:sz="8" w:space="0" w:color="CCE0DA"/>
              <w:bottom w:val="single" w:sz="8" w:space="0" w:color="CCE0DA"/>
              <w:right w:val="single" w:sz="12" w:space="0" w:color="CCE0DA"/>
            </w:tcBorders>
          </w:tcPr>
          <w:p w14:paraId="524F705A" w14:textId="10D65E4B" w:rsidR="00936FDF" w:rsidRPr="00A90299" w:rsidRDefault="00BE1FA8" w:rsidP="00B27EC9">
            <w:pPr>
              <w:ind w:left="113"/>
              <w:jc w:val="both"/>
            </w:pPr>
            <w:r>
              <w:t>None</w:t>
            </w:r>
          </w:p>
        </w:tc>
      </w:tr>
      <w:tr w:rsidR="00936FDF" w14:paraId="1B53E26F" w14:textId="77777777" w:rsidTr="000B60FA">
        <w:trPr>
          <w:cantSplit/>
          <w:trHeight w:val="404"/>
        </w:trPr>
        <w:tc>
          <w:tcPr>
            <w:tcW w:w="7923" w:type="dxa"/>
            <w:tcBorders>
              <w:top w:val="single" w:sz="8" w:space="0" w:color="CCE0DA"/>
              <w:left w:val="single" w:sz="12" w:space="0" w:color="CCE0DA"/>
              <w:bottom w:val="single" w:sz="8" w:space="0" w:color="CCE0DA"/>
              <w:right w:val="single" w:sz="8" w:space="0" w:color="CCE0DA"/>
            </w:tcBorders>
          </w:tcPr>
          <w:p w14:paraId="30F6106C" w14:textId="77777777" w:rsidR="00936FDF" w:rsidRDefault="00936FDF" w:rsidP="00B27EC9">
            <w:pPr>
              <w:pStyle w:val="Tablebodycopy"/>
              <w:spacing w:before="120"/>
              <w:ind w:right="57"/>
              <w:jc w:val="both"/>
              <w:rPr>
                <w:rFonts w:cs="Arial"/>
                <w:bCs/>
                <w:iCs/>
              </w:rPr>
            </w:pPr>
            <w:r w:rsidRPr="00A90299">
              <w:rPr>
                <w:rFonts w:cs="Arial"/>
                <w:bCs/>
                <w:iCs/>
              </w:rPr>
              <w:t>Benefits for society as a whole</w:t>
            </w:r>
          </w:p>
          <w:p w14:paraId="4D22D486" w14:textId="51882680" w:rsidR="0036715B" w:rsidRPr="00A90299" w:rsidRDefault="008534EF" w:rsidP="00B27EC9">
            <w:pPr>
              <w:pStyle w:val="Tablebodycopy"/>
              <w:spacing w:before="120"/>
              <w:ind w:right="57"/>
              <w:jc w:val="both"/>
              <w:rPr>
                <w:rFonts w:cs="Arial"/>
                <w:bCs/>
                <w:iCs/>
                <w:color w:val="auto"/>
              </w:rPr>
            </w:pPr>
            <w:r>
              <w:rPr>
                <w:rFonts w:cs="Arial"/>
                <w:color w:val="auto"/>
              </w:rPr>
              <w:t>Increased security of supply of gas and electricity</w:t>
            </w:r>
          </w:p>
        </w:tc>
        <w:tc>
          <w:tcPr>
            <w:tcW w:w="2015" w:type="dxa"/>
            <w:tcBorders>
              <w:top w:val="single" w:sz="8" w:space="0" w:color="CCE0DA"/>
              <w:left w:val="single" w:sz="8" w:space="0" w:color="CCE0DA"/>
              <w:bottom w:val="single" w:sz="8" w:space="0" w:color="CCE0DA"/>
              <w:right w:val="single" w:sz="12" w:space="0" w:color="CCE0DA"/>
            </w:tcBorders>
          </w:tcPr>
          <w:p w14:paraId="5693E3EA" w14:textId="6F39EB9E" w:rsidR="000053D8" w:rsidRDefault="008534EF" w:rsidP="00B27EC9">
            <w:pPr>
              <w:ind w:left="113"/>
              <w:jc w:val="both"/>
            </w:pPr>
            <w:r>
              <w:t>Positive</w:t>
            </w:r>
          </w:p>
          <w:p w14:paraId="4E86901F" w14:textId="77777777" w:rsidR="00936FDF" w:rsidRPr="00A90299" w:rsidRDefault="00936FDF" w:rsidP="00B27EC9">
            <w:pPr>
              <w:ind w:left="113"/>
              <w:jc w:val="both"/>
              <w:rPr>
                <w:rFonts w:cs="Arial"/>
              </w:rPr>
            </w:pPr>
          </w:p>
        </w:tc>
      </w:tr>
    </w:tbl>
    <w:p w14:paraId="7C2288BF" w14:textId="77777777" w:rsidR="00676075" w:rsidRPr="00CA74C4" w:rsidRDefault="00676075" w:rsidP="00B27EC9">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366FC5FF" w14:textId="62736415" w:rsidR="00676075" w:rsidRPr="009577FB" w:rsidRDefault="00151D8B" w:rsidP="00B27EC9">
      <w:pPr>
        <w:jc w:val="both"/>
        <w:rPr>
          <w:rFonts w:cs="Arial"/>
          <w:lang w:val="fr-FR"/>
        </w:rPr>
      </w:pPr>
      <w:r>
        <w:rPr>
          <w:rFonts w:cs="Arial"/>
          <w:lang w:val="fr-FR"/>
        </w:rPr>
        <w:t>None</w:t>
      </w:r>
    </w:p>
    <w:p w14:paraId="790B9FD3" w14:textId="77777777" w:rsidR="00676075" w:rsidRPr="009577FB" w:rsidRDefault="00676075" w:rsidP="00B27EC9">
      <w:pPr>
        <w:pStyle w:val="Heading4"/>
        <w:keepLines w:val="0"/>
        <w:numPr>
          <w:ilvl w:val="0"/>
          <w:numId w:val="0"/>
        </w:numPr>
        <w:spacing w:before="240"/>
        <w:jc w:val="both"/>
        <w:rPr>
          <w:rFonts w:ascii="Arial" w:eastAsia="Times New Roman" w:hAnsi="Arial" w:cs="Arial"/>
          <w:i w:val="0"/>
          <w:iCs w:val="0"/>
          <w:color w:val="008576"/>
          <w:sz w:val="24"/>
          <w:szCs w:val="28"/>
          <w:lang w:val="fr-FR"/>
        </w:rPr>
      </w:pPr>
      <w:r w:rsidRPr="009577FB">
        <w:rPr>
          <w:rFonts w:ascii="Arial" w:eastAsia="Times New Roman" w:hAnsi="Arial" w:cs="Arial"/>
          <w:i w:val="0"/>
          <w:iCs w:val="0"/>
          <w:color w:val="008576"/>
          <w:sz w:val="24"/>
          <w:szCs w:val="28"/>
          <w:lang w:val="fr-FR"/>
        </w:rPr>
        <w:t>EU Code Impacts</w:t>
      </w:r>
    </w:p>
    <w:p w14:paraId="58264E11" w14:textId="2D5C039F" w:rsidR="00676075" w:rsidRPr="00CA74C4" w:rsidRDefault="00151D8B" w:rsidP="00B27EC9">
      <w:pPr>
        <w:jc w:val="both"/>
        <w:rPr>
          <w:rFonts w:cs="Arial"/>
        </w:rPr>
      </w:pPr>
      <w:r>
        <w:rPr>
          <w:rFonts w:cs="Arial"/>
        </w:rPr>
        <w:t>None</w:t>
      </w:r>
    </w:p>
    <w:p w14:paraId="1D61BC72" w14:textId="77777777" w:rsidR="00513955" w:rsidRPr="00CA74C4" w:rsidRDefault="00513955" w:rsidP="00513955">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49872CDE" w14:textId="77777777" w:rsidR="00513955" w:rsidRDefault="00513955" w:rsidP="00513955">
      <w:pPr>
        <w:jc w:val="both"/>
        <w:rPr>
          <w:rFonts w:cs="Arial"/>
        </w:rPr>
      </w:pPr>
      <w:r>
        <w:rPr>
          <w:rFonts w:cs="Arial"/>
        </w:rPr>
        <w:t>None</w:t>
      </w:r>
    </w:p>
    <w:p w14:paraId="61D1171D" w14:textId="77777777" w:rsidR="00513955" w:rsidRDefault="00513955" w:rsidP="00513955">
      <w:pPr>
        <w:spacing w:before="240"/>
        <w:rPr>
          <w:rFonts w:cs="Arial"/>
          <w:bCs/>
          <w:i/>
          <w:iCs/>
          <w:color w:val="00B274"/>
          <w:szCs w:val="20"/>
        </w:rPr>
      </w:pPr>
      <w:r>
        <w:rPr>
          <w:rFonts w:cs="Arial"/>
          <w:b/>
          <w:iCs/>
          <w:color w:val="008576"/>
          <w:sz w:val="24"/>
          <w:szCs w:val="28"/>
        </w:rPr>
        <w:t>Rough Order of Magnitude (ROM) Assessment</w:t>
      </w:r>
      <w:r>
        <w:rPr>
          <w:rFonts w:cs="Arial"/>
          <w:bCs/>
          <w:i/>
          <w:iCs/>
          <w:color w:val="00B274"/>
          <w:szCs w:val="20"/>
        </w:rPr>
        <w:t xml:space="preserve"> </w:t>
      </w:r>
    </w:p>
    <w:p w14:paraId="2D70A4E7" w14:textId="77777777" w:rsidR="00513955" w:rsidRDefault="00513955" w:rsidP="00513955">
      <w:pPr>
        <w:rPr>
          <w:rFonts w:cs="Arial"/>
        </w:rPr>
      </w:pPr>
      <w:r>
        <w:rPr>
          <w:rFonts w:cs="Arial"/>
        </w:rPr>
        <w:t>Not Required.</w:t>
      </w:r>
    </w:p>
    <w:p w14:paraId="557304F0" w14:textId="77777777" w:rsidR="00513955" w:rsidRDefault="00513955" w:rsidP="00513955">
      <w:pPr>
        <w:pStyle w:val="Heading4"/>
        <w:keepLines w:val="0"/>
        <w:numPr>
          <w:ilvl w:val="0"/>
          <w:numId w:val="0"/>
        </w:numPr>
        <w:spacing w:before="240"/>
        <w:rPr>
          <w:rFonts w:ascii="Arial" w:eastAsia="Times New Roman" w:hAnsi="Arial" w:cs="Arial"/>
          <w:i w:val="0"/>
          <w:iCs w:val="0"/>
          <w:color w:val="008576"/>
          <w:sz w:val="24"/>
          <w:szCs w:val="28"/>
        </w:rPr>
      </w:pPr>
      <w:r w:rsidRPr="007C26BB">
        <w:rPr>
          <w:rFonts w:ascii="Arial" w:eastAsia="Times New Roman" w:hAnsi="Arial" w:cs="Arial"/>
          <w:i w:val="0"/>
          <w:iCs w:val="0"/>
          <w:color w:val="008576"/>
          <w:sz w:val="24"/>
          <w:szCs w:val="28"/>
        </w:rPr>
        <w:t>Settlement Impact</w:t>
      </w:r>
    </w:p>
    <w:p w14:paraId="38914EEB" w14:textId="77777777" w:rsidR="00513955" w:rsidRDefault="00513955" w:rsidP="00513955">
      <w:pPr>
        <w:rPr>
          <w:rFonts w:cs="Arial"/>
        </w:rPr>
      </w:pPr>
      <w:r>
        <w:rPr>
          <w:rFonts w:cs="Arial"/>
        </w:rPr>
        <w:t>No Settlement impacts expected</w:t>
      </w:r>
    </w:p>
    <w:p w14:paraId="398D5E25" w14:textId="77777777" w:rsidR="00513955" w:rsidRDefault="00513955" w:rsidP="00513955">
      <w:pPr>
        <w:spacing w:before="240"/>
        <w:rPr>
          <w:rFonts w:cs="Arial"/>
          <w:b/>
          <w:bCs/>
          <w:color w:val="008576"/>
          <w:sz w:val="24"/>
          <w:szCs w:val="28"/>
        </w:rPr>
      </w:pPr>
      <w:r w:rsidRPr="42EE4B30">
        <w:rPr>
          <w:rFonts w:cs="Arial"/>
          <w:b/>
          <w:bCs/>
          <w:color w:val="008576"/>
          <w:sz w:val="24"/>
        </w:rPr>
        <w:t>Performance Assurance Considerations</w:t>
      </w:r>
    </w:p>
    <w:p w14:paraId="7F6183EF" w14:textId="77777777" w:rsidR="00513955" w:rsidRDefault="00513955" w:rsidP="00513955">
      <w:pPr>
        <w:rPr>
          <w:rFonts w:cs="Arial"/>
        </w:rPr>
      </w:pPr>
      <w:r>
        <w:rPr>
          <w:rFonts w:cs="Arial"/>
        </w:rPr>
        <w:t>No Performance Assurance monitoring required.</w:t>
      </w:r>
    </w:p>
    <w:p w14:paraId="1C47DED0" w14:textId="77777777" w:rsidR="00EF4CD9" w:rsidRPr="00381808" w:rsidRDefault="00EF4CD9" w:rsidP="00EF4CD9">
      <w:pPr>
        <w:keepNext/>
        <w:spacing w:before="240"/>
        <w:outlineLvl w:val="3"/>
        <w:rPr>
          <w:rFonts w:cs="Arial"/>
          <w:bCs/>
          <w:i/>
          <w:iCs/>
          <w:color w:val="00B274"/>
          <w:szCs w:val="20"/>
        </w:rPr>
      </w:pPr>
      <w:r w:rsidRPr="0043180B">
        <w:rPr>
          <w:rFonts w:cs="Arial"/>
          <w:b/>
          <w:bCs/>
          <w:color w:val="008576"/>
          <w:sz w:val="24"/>
          <w:szCs w:val="28"/>
        </w:rPr>
        <w:t>Initial Representations</w:t>
      </w:r>
    </w:p>
    <w:p w14:paraId="0C3B9D52" w14:textId="77777777" w:rsidR="00EF4CD9" w:rsidRDefault="00EF4CD9" w:rsidP="00EF4CD9">
      <w:pPr>
        <w:keepNext/>
        <w:outlineLvl w:val="3"/>
        <w:rPr>
          <w:rFonts w:cs="Arial"/>
          <w:b/>
          <w:bCs/>
          <w:color w:val="008576"/>
          <w:szCs w:val="20"/>
        </w:rPr>
      </w:pPr>
      <w:r w:rsidRPr="00381808">
        <w:rPr>
          <w:rFonts w:cs="Arial"/>
          <w:szCs w:val="20"/>
        </w:rPr>
        <w:t xml:space="preserve">An initial Representation was submitted by National Gas Transmission </w:t>
      </w:r>
      <w:r>
        <w:rPr>
          <w:rFonts w:cs="Arial"/>
          <w:szCs w:val="20"/>
        </w:rPr>
        <w:t xml:space="preserve">(published at: </w:t>
      </w:r>
      <w:hyperlink r:id="rId26" w:history="1">
        <w:r w:rsidRPr="00DF2C31">
          <w:rPr>
            <w:rStyle w:val="Hyperlink"/>
            <w:rFonts w:cs="Arial"/>
            <w:szCs w:val="20"/>
          </w:rPr>
          <w:t>https://www.gasgovernance.co.uk/0860</w:t>
        </w:r>
      </w:hyperlink>
      <w:r>
        <w:rPr>
          <w:rFonts w:cs="Arial"/>
          <w:szCs w:val="20"/>
        </w:rPr>
        <w:t xml:space="preserve">) </w:t>
      </w:r>
      <w:r w:rsidRPr="00381808">
        <w:rPr>
          <w:rFonts w:cs="Arial"/>
          <w:szCs w:val="20"/>
        </w:rPr>
        <w:t>and considered by the Workgroup</w:t>
      </w:r>
      <w:r w:rsidRPr="00381808">
        <w:rPr>
          <w:rFonts w:cs="Arial"/>
          <w:b/>
          <w:bCs/>
          <w:color w:val="008576"/>
          <w:szCs w:val="20"/>
        </w:rPr>
        <w:t>.</w:t>
      </w:r>
    </w:p>
    <w:p w14:paraId="660EF867" w14:textId="77777777" w:rsidR="00EF4CD9" w:rsidRPr="00522803" w:rsidRDefault="00EF4CD9" w:rsidP="00EF4CD9">
      <w:pPr>
        <w:rPr>
          <w:rFonts w:cs="Arial"/>
        </w:rPr>
      </w:pPr>
      <w:r w:rsidRPr="00522803">
        <w:rPr>
          <w:rFonts w:cs="Arial"/>
        </w:rPr>
        <w:t>The Workgroup….</w:t>
      </w:r>
    </w:p>
    <w:p w14:paraId="675C684C" w14:textId="77777777" w:rsidR="00EF4CD9" w:rsidRDefault="00EF4CD9" w:rsidP="00EF4CD9">
      <w:pPr>
        <w:pStyle w:val="Heading4"/>
        <w:keepLines w:val="0"/>
        <w:numPr>
          <w:ilvl w:val="0"/>
          <w:numId w:val="0"/>
        </w:numPr>
        <w:tabs>
          <w:tab w:val="left" w:pos="6662"/>
        </w:tabs>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r w:rsidRPr="008D54E0">
        <w:rPr>
          <w:rFonts w:ascii="Arial" w:eastAsia="Times New Roman" w:hAnsi="Arial" w:cs="Arial"/>
          <w:i w:val="0"/>
          <w:iCs w:val="0"/>
          <w:color w:val="008576"/>
          <w:sz w:val="24"/>
          <w:szCs w:val="28"/>
        </w:rPr>
        <w:t xml:space="preserve"> </w:t>
      </w:r>
      <w:r>
        <w:rPr>
          <w:rFonts w:ascii="Arial" w:eastAsia="Times New Roman" w:hAnsi="Arial" w:cs="Arial"/>
          <w:b w:val="0"/>
          <w:color w:val="00B274"/>
          <w:szCs w:val="20"/>
        </w:rPr>
        <w:tab/>
      </w:r>
    </w:p>
    <w:p w14:paraId="5F1A267D" w14:textId="77777777" w:rsidR="00EF4CD9" w:rsidRPr="008D54E0" w:rsidRDefault="00EF4CD9" w:rsidP="00EF4CD9">
      <w:pPr>
        <w:rPr>
          <w:rFonts w:cs="Arial"/>
        </w:rPr>
      </w:pPr>
      <w:r w:rsidRPr="42EE4B30">
        <w:rPr>
          <w:rFonts w:cs="Arial"/>
        </w:rPr>
        <w:t>No Panel Questions to assess.</w:t>
      </w:r>
    </w:p>
    <w:p w14:paraId="0943856C" w14:textId="77777777" w:rsidR="00EF4CD9" w:rsidRPr="001213B8" w:rsidRDefault="00EF4CD9" w:rsidP="00EF4CD9">
      <w:pPr>
        <w:pStyle w:val="Heading4"/>
        <w:keepLines w:val="0"/>
        <w:numPr>
          <w:ilvl w:val="0"/>
          <w:numId w:val="0"/>
        </w:numPr>
        <w:spacing w:before="240"/>
        <w:rPr>
          <w:rFonts w:ascii="Arial" w:eastAsia="Times New Roman" w:hAnsi="Arial" w:cs="Arial"/>
          <w:b w:val="0"/>
          <w:color w:val="00B274"/>
          <w:szCs w:val="20"/>
        </w:rPr>
      </w:pPr>
      <w:r w:rsidRPr="008D54E0">
        <w:rPr>
          <w:rFonts w:ascii="Arial" w:eastAsia="Times New Roman" w:hAnsi="Arial" w:cs="Arial"/>
          <w:i w:val="0"/>
          <w:iCs w:val="0"/>
          <w:color w:val="008576"/>
          <w:sz w:val="24"/>
          <w:szCs w:val="28"/>
        </w:rPr>
        <w:t xml:space="preserve">Workgroup Impact Assessment </w:t>
      </w:r>
      <w:r w:rsidRPr="001213B8">
        <w:rPr>
          <w:rFonts w:ascii="Arial" w:eastAsia="Times New Roman" w:hAnsi="Arial" w:cs="Arial"/>
          <w:b w:val="0"/>
          <w:color w:val="00B274"/>
          <w:szCs w:val="20"/>
        </w:rPr>
        <w:t>(Joint Office to complete)</w:t>
      </w:r>
    </w:p>
    <w:p w14:paraId="7E6224F2" w14:textId="77777777" w:rsidR="00EF4CD9" w:rsidRDefault="00EF4CD9" w:rsidP="00EF4CD9">
      <w:pPr>
        <w:rPr>
          <w:rFonts w:cs="Arial"/>
        </w:rPr>
      </w:pPr>
      <w:r w:rsidRPr="008D54E0">
        <w:rPr>
          <w:rFonts w:cs="Arial"/>
        </w:rPr>
        <w:t>Insert text here</w:t>
      </w:r>
      <w:r>
        <w:rPr>
          <w:rFonts w:cs="Arial"/>
        </w:rPr>
        <w:t>.</w:t>
      </w:r>
    </w:p>
    <w:p w14:paraId="16305845" w14:textId="77777777" w:rsidR="00EF4CD9" w:rsidRPr="008D54E0" w:rsidRDefault="00EF4CD9" w:rsidP="00EF4CD9">
      <w:pPr>
        <w:pStyle w:val="Heading4"/>
        <w:keepLines w:val="0"/>
        <w:numPr>
          <w:ilvl w:val="0"/>
          <w:numId w:val="0"/>
        </w:numPr>
        <w:spacing w:before="240"/>
        <w:rPr>
          <w:rFonts w:ascii="Arial" w:eastAsia="Times New Roman" w:hAnsi="Arial" w:cs="Arial"/>
          <w:i w:val="0"/>
          <w:iCs w:val="0"/>
          <w:color w:val="008576"/>
          <w:sz w:val="24"/>
        </w:rPr>
      </w:pPr>
      <w:r w:rsidRPr="007B005E">
        <w:rPr>
          <w:rFonts w:ascii="Arial" w:eastAsia="Times New Roman" w:hAnsi="Arial" w:cs="Arial"/>
          <w:i w:val="0"/>
          <w:iCs w:val="0"/>
          <w:color w:val="008576"/>
          <w:sz w:val="24"/>
          <w:szCs w:val="28"/>
        </w:rPr>
        <w:t>Reference Documents</w:t>
      </w:r>
      <w:r>
        <w:rPr>
          <w:rFonts w:ascii="Arial" w:eastAsia="Times New Roman" w:hAnsi="Arial" w:cs="Arial"/>
          <w:i w:val="0"/>
          <w:iCs w:val="0"/>
          <w:color w:val="008576"/>
          <w:sz w:val="24"/>
        </w:rPr>
        <w:t xml:space="preserve"> </w:t>
      </w:r>
      <w:r w:rsidRPr="001213B8">
        <w:rPr>
          <w:rFonts w:ascii="Arial" w:eastAsia="Times New Roman" w:hAnsi="Arial" w:cs="Arial"/>
          <w:b w:val="0"/>
          <w:color w:val="00B274"/>
          <w:szCs w:val="20"/>
        </w:rPr>
        <w:t>(Joint Office to complete)</w:t>
      </w:r>
    </w:p>
    <w:p w14:paraId="57B70863" w14:textId="77777777" w:rsidR="00EF4CD9" w:rsidRPr="00FE2EA4" w:rsidRDefault="00EF4CD9" w:rsidP="00EF4CD9">
      <w:pPr>
        <w:rPr>
          <w:rFonts w:cs="Arial"/>
          <w:i/>
          <w:color w:val="00B274"/>
          <w:szCs w:val="20"/>
        </w:rPr>
      </w:pPr>
      <w:r>
        <w:rPr>
          <w:rFonts w:cs="Arial"/>
          <w:i/>
          <w:color w:val="00B274"/>
          <w:szCs w:val="20"/>
        </w:rPr>
        <w:t xml:space="preserve">Workgroup to consider if changes will be required to </w:t>
      </w:r>
      <w:r w:rsidRPr="00CA74C4">
        <w:rPr>
          <w:rFonts w:cs="Arial"/>
          <w:i/>
          <w:color w:val="00B274"/>
          <w:szCs w:val="20"/>
        </w:rPr>
        <w:t xml:space="preserve">any Code Related Documents or Guidance </w:t>
      </w:r>
      <w:r>
        <w:rPr>
          <w:rFonts w:cs="Arial"/>
          <w:i/>
          <w:color w:val="00B274"/>
          <w:szCs w:val="20"/>
        </w:rPr>
        <w:t>Documents and whether</w:t>
      </w:r>
      <w:r w:rsidRPr="00FE2EA4">
        <w:rPr>
          <w:rFonts w:cs="Arial"/>
          <w:i/>
          <w:color w:val="00B274"/>
          <w:szCs w:val="20"/>
        </w:rPr>
        <w:t xml:space="preserve"> such proposed modifications shall be submitted to the Uniform Network Code Committee and considered by the Uniform Network Committee or any relevant </w:t>
      </w:r>
      <w:r>
        <w:rPr>
          <w:rFonts w:cs="Arial"/>
          <w:i/>
          <w:color w:val="00B274"/>
          <w:szCs w:val="20"/>
        </w:rPr>
        <w:t>sub-committee</w:t>
      </w:r>
      <w:r w:rsidRPr="00FE2EA4">
        <w:rPr>
          <w:rFonts w:cs="Arial"/>
          <w:i/>
          <w:color w:val="00B274"/>
          <w:szCs w:val="20"/>
        </w:rPr>
        <w:t xml:space="preserve"> where the Uniform Network Code Committee so decide by majority vote</w:t>
      </w:r>
      <w:r>
        <w:rPr>
          <w:rFonts w:cs="Arial"/>
          <w:i/>
          <w:color w:val="00B274"/>
          <w:szCs w:val="20"/>
        </w:rPr>
        <w:t xml:space="preserve"> </w:t>
      </w:r>
      <w:r w:rsidRPr="002604F5">
        <w:rPr>
          <w:rFonts w:cs="Arial"/>
          <w:i/>
          <w:color w:val="00B274"/>
          <w:szCs w:val="20"/>
        </w:rPr>
        <w:t>in accordance with the requirements set out in paragraph 12 of Section V of the UNC Transportation Principal Document</w:t>
      </w:r>
    </w:p>
    <w:p w14:paraId="23C99615" w14:textId="77777777" w:rsidR="00EF4CD9" w:rsidRPr="00042CC1" w:rsidRDefault="00EF4CD9" w:rsidP="00EF4CD9">
      <w:pPr>
        <w:rPr>
          <w:rFonts w:cs="Arial"/>
          <w:szCs w:val="20"/>
        </w:rPr>
      </w:pPr>
      <w:r w:rsidRPr="008D54E0">
        <w:rPr>
          <w:rFonts w:cs="Arial"/>
          <w:szCs w:val="20"/>
        </w:rPr>
        <w:t>Insert text here</w:t>
      </w:r>
      <w:r>
        <w:rPr>
          <w:rFonts w:cs="Arial"/>
          <w:szCs w:val="20"/>
        </w:rPr>
        <w:t>.</w:t>
      </w:r>
    </w:p>
    <w:p w14:paraId="60AE5D8D" w14:textId="77777777" w:rsidR="00EF4CD9" w:rsidRDefault="00EF4CD9" w:rsidP="00513955">
      <w:pPr>
        <w:rPr>
          <w:rFonts w:cs="Arial"/>
        </w:rPr>
      </w:pPr>
    </w:p>
    <w:p w14:paraId="65D41FE1" w14:textId="77777777" w:rsidR="000F5693" w:rsidRDefault="000F5693" w:rsidP="00B27EC9">
      <w:pPr>
        <w:jc w:val="both"/>
        <w:rPr>
          <w:rFonts w:cs="Arial"/>
        </w:rPr>
      </w:pPr>
    </w:p>
    <w:p w14:paraId="7CC152CD" w14:textId="77777777" w:rsidR="00CE3F16" w:rsidRDefault="00CE3F16" w:rsidP="00B27EC9">
      <w:pPr>
        <w:jc w:val="both"/>
        <w:rPr>
          <w:rFonts w:cs="Arial"/>
        </w:rPr>
      </w:pPr>
    </w:p>
    <w:p w14:paraId="4F929C4A" w14:textId="77777777" w:rsidR="00CE3F16" w:rsidRDefault="00CE3F16" w:rsidP="00B27EC9">
      <w:pPr>
        <w:jc w:val="both"/>
        <w:rPr>
          <w:rFonts w:cs="Arial"/>
        </w:rPr>
      </w:pPr>
    </w:p>
    <w:p w14:paraId="2136736B" w14:textId="77777777" w:rsidR="00CE3F16" w:rsidRDefault="00CE3F16" w:rsidP="00B27EC9">
      <w:pPr>
        <w:jc w:val="both"/>
        <w:rPr>
          <w:rFonts w:cs="Arial"/>
        </w:rPr>
      </w:pPr>
    </w:p>
    <w:p w14:paraId="3260362E" w14:textId="77777777" w:rsidR="00263600" w:rsidRPr="00CA74C4" w:rsidRDefault="00263600" w:rsidP="00CE3F16">
      <w:pPr>
        <w:pStyle w:val="Heading02"/>
      </w:pPr>
      <w:bookmarkStart w:id="11" w:name="_Toc170220939"/>
      <w:r w:rsidRPr="00CA74C4">
        <w:lastRenderedPageBreak/>
        <w:t>Relevant Objectives</w:t>
      </w:r>
      <w:bookmarkEnd w:id="11"/>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B27EC9">
            <w:pPr>
              <w:pStyle w:val="Heading4"/>
              <w:keepLines w:val="0"/>
              <w:numPr>
                <w:ilvl w:val="0"/>
                <w:numId w:val="0"/>
              </w:numPr>
              <w:spacing w:before="120"/>
              <w:ind w:left="113"/>
              <w:jc w:val="both"/>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B27EC9">
            <w:pPr>
              <w:ind w:left="113" w:right="113"/>
              <w:jc w:val="both"/>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B27EC9">
            <w:pPr>
              <w:ind w:left="113" w:right="113"/>
              <w:jc w:val="both"/>
              <w:rPr>
                <w:rFonts w:cs="Arial"/>
              </w:rPr>
            </w:pPr>
            <w:r w:rsidRPr="00CA74C4">
              <w:rPr>
                <w:rFonts w:cs="Arial"/>
              </w:rPr>
              <w:t>Identified impact</w:t>
            </w:r>
          </w:p>
        </w:tc>
      </w:tr>
      <w:tr w:rsidR="0018496D"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18496D" w:rsidRPr="00CA74C4" w:rsidRDefault="0018496D" w:rsidP="00B27EC9">
            <w:pPr>
              <w:pStyle w:val="Tablebodycopy"/>
              <w:ind w:left="453" w:right="238" w:hanging="340"/>
              <w:jc w:val="both"/>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6844D60D" w:rsidR="0018496D" w:rsidRPr="00CA74C4" w:rsidRDefault="0018496D" w:rsidP="00B27EC9">
            <w:pPr>
              <w:spacing w:before="40"/>
              <w:ind w:left="113"/>
              <w:jc w:val="both"/>
              <w:rPr>
                <w:rFonts w:cs="Arial"/>
              </w:rPr>
            </w:pPr>
            <w:r w:rsidRPr="00CA74C4">
              <w:rPr>
                <w:rFonts w:cs="Arial"/>
              </w:rPr>
              <w:t>None</w:t>
            </w:r>
          </w:p>
        </w:tc>
      </w:tr>
      <w:tr w:rsidR="0018496D"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18496D" w:rsidRPr="00CA74C4" w:rsidRDefault="0018496D" w:rsidP="00B27EC9">
            <w:pPr>
              <w:pStyle w:val="Tablebodycopy"/>
              <w:ind w:left="453" w:right="238" w:hanging="340"/>
              <w:jc w:val="both"/>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18496D" w:rsidRPr="00CA74C4" w:rsidRDefault="0018496D" w:rsidP="00B27EC9">
            <w:pPr>
              <w:pStyle w:val="Tablebodycopy"/>
              <w:ind w:left="793" w:right="238" w:hanging="340"/>
              <w:jc w:val="both"/>
              <w:rPr>
                <w:rFonts w:cs="Arial"/>
              </w:rPr>
            </w:pPr>
            <w:r w:rsidRPr="00CA74C4">
              <w:rPr>
                <w:rFonts w:cs="Arial"/>
              </w:rPr>
              <w:t>(i)</w:t>
            </w:r>
            <w:r w:rsidRPr="00CA74C4">
              <w:rPr>
                <w:rFonts w:cs="Arial"/>
              </w:rPr>
              <w:tab/>
              <w:t>the combined pipe-line system, and/ or</w:t>
            </w:r>
          </w:p>
          <w:p w14:paraId="58E9E829" w14:textId="77777777" w:rsidR="0018496D" w:rsidRPr="00CA74C4" w:rsidRDefault="0018496D" w:rsidP="00B27EC9">
            <w:pPr>
              <w:pStyle w:val="Tablebodycopy"/>
              <w:ind w:left="793" w:right="238" w:hanging="340"/>
              <w:jc w:val="both"/>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33D4AF0E" w:rsidR="0018496D" w:rsidRPr="00CA74C4" w:rsidRDefault="0018496D" w:rsidP="00B27EC9">
            <w:pPr>
              <w:spacing w:before="40"/>
              <w:ind w:left="113" w:right="113"/>
              <w:jc w:val="both"/>
              <w:rPr>
                <w:rFonts w:cs="Arial"/>
              </w:rPr>
            </w:pPr>
            <w:r w:rsidRPr="00CA74C4">
              <w:rPr>
                <w:rFonts w:cs="Arial"/>
              </w:rPr>
              <w:t>None</w:t>
            </w:r>
          </w:p>
        </w:tc>
      </w:tr>
      <w:tr w:rsidR="0018496D"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18496D" w:rsidRPr="00CA74C4" w:rsidRDefault="0018496D" w:rsidP="00B27EC9">
            <w:pPr>
              <w:pStyle w:val="Tablebodycopy"/>
              <w:ind w:left="453" w:right="238" w:hanging="340"/>
              <w:jc w:val="both"/>
              <w:rPr>
                <w:rFonts w:cs="Arial"/>
              </w:rPr>
            </w:pPr>
            <w:r w:rsidRPr="00CA74C4">
              <w:rPr>
                <w:rFonts w:cs="Arial"/>
              </w:rPr>
              <w:t xml:space="preserve">c) </w:t>
            </w:r>
            <w:r w:rsidRPr="00CA74C4">
              <w:rPr>
                <w:rFonts w:cs="Arial"/>
              </w:rPr>
              <w:tab/>
              <w:t>Efficient discharge of the licensee's obligations.</w:t>
            </w:r>
          </w:p>
        </w:tc>
        <w:tc>
          <w:tcPr>
            <w:tcW w:w="2410" w:type="dxa"/>
          </w:tcPr>
          <w:p w14:paraId="3962862D" w14:textId="014C6902" w:rsidR="0018496D" w:rsidRPr="00CA74C4" w:rsidRDefault="0018496D" w:rsidP="00B27EC9">
            <w:pPr>
              <w:spacing w:before="40"/>
              <w:ind w:left="113" w:right="113"/>
              <w:jc w:val="both"/>
              <w:rPr>
                <w:rFonts w:cs="Arial"/>
              </w:rPr>
            </w:pPr>
            <w:r w:rsidRPr="00CA74C4">
              <w:rPr>
                <w:rFonts w:cs="Arial"/>
              </w:rPr>
              <w:t>None</w:t>
            </w:r>
          </w:p>
        </w:tc>
      </w:tr>
      <w:tr w:rsidR="0018496D"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18496D" w:rsidRPr="00CA74C4" w:rsidRDefault="0018496D" w:rsidP="00B27EC9">
            <w:pPr>
              <w:pStyle w:val="Tablebodycopy"/>
              <w:ind w:left="453" w:right="238" w:hanging="340"/>
              <w:jc w:val="both"/>
              <w:rPr>
                <w:rFonts w:cs="Arial"/>
              </w:rPr>
            </w:pPr>
            <w:r w:rsidRPr="00CA74C4">
              <w:rPr>
                <w:rFonts w:cs="Arial"/>
              </w:rPr>
              <w:t xml:space="preserve">d) </w:t>
            </w:r>
            <w:r w:rsidRPr="00CA74C4">
              <w:rPr>
                <w:rFonts w:cs="Arial"/>
              </w:rPr>
              <w:tab/>
              <w:t>Securing of effective competition:</w:t>
            </w:r>
          </w:p>
          <w:p w14:paraId="7B8AD516" w14:textId="77777777" w:rsidR="0018496D" w:rsidRPr="00CA74C4" w:rsidRDefault="0018496D" w:rsidP="00B27EC9">
            <w:pPr>
              <w:pStyle w:val="Tablebodycopy"/>
              <w:ind w:left="793" w:right="238" w:hanging="340"/>
              <w:jc w:val="both"/>
              <w:rPr>
                <w:rFonts w:cs="Arial"/>
              </w:rPr>
            </w:pPr>
            <w:r w:rsidRPr="00CA74C4">
              <w:rPr>
                <w:rFonts w:cs="Arial"/>
              </w:rPr>
              <w:t>(i)</w:t>
            </w:r>
            <w:r w:rsidRPr="00CA74C4">
              <w:rPr>
                <w:rFonts w:cs="Arial"/>
              </w:rPr>
              <w:tab/>
              <w:t>between relevant shippers;</w:t>
            </w:r>
          </w:p>
          <w:p w14:paraId="181DAABA" w14:textId="77777777" w:rsidR="0018496D" w:rsidRPr="00CA74C4" w:rsidRDefault="0018496D" w:rsidP="00B27EC9">
            <w:pPr>
              <w:pStyle w:val="Tablebodycopy"/>
              <w:ind w:left="793" w:right="238" w:hanging="340"/>
              <w:jc w:val="both"/>
              <w:rPr>
                <w:rFonts w:cs="Arial"/>
              </w:rPr>
            </w:pPr>
            <w:r w:rsidRPr="00CA74C4">
              <w:rPr>
                <w:rFonts w:cs="Arial"/>
              </w:rPr>
              <w:t>(ii)</w:t>
            </w:r>
            <w:r w:rsidRPr="00CA74C4">
              <w:rPr>
                <w:rFonts w:cs="Arial"/>
              </w:rPr>
              <w:tab/>
              <w:t>between relevant suppliers; and/or</w:t>
            </w:r>
          </w:p>
          <w:p w14:paraId="452B4D41" w14:textId="77777777" w:rsidR="0018496D" w:rsidRPr="00CA74C4" w:rsidRDefault="0018496D" w:rsidP="00B27EC9">
            <w:pPr>
              <w:pStyle w:val="Tablebodycopy"/>
              <w:ind w:left="793" w:right="238" w:hanging="340"/>
              <w:jc w:val="both"/>
              <w:rPr>
                <w:rFonts w:cs="Arial"/>
              </w:rPr>
            </w:pPr>
            <w:r w:rsidRPr="00CA74C4">
              <w:rPr>
                <w:rFonts w:cs="Arial"/>
              </w:rPr>
              <w:t>(iii)</w:t>
            </w:r>
            <w:r w:rsidRPr="00CA74C4">
              <w:rPr>
                <w:rFonts w:cs="Arial"/>
              </w:rPr>
              <w:tab/>
              <w:t xml:space="preserve">between DN operators (who have </w:t>
            </w:r>
            <w:proofErr w:type="gramStart"/>
            <w:r w:rsidRPr="00CA74C4">
              <w:rPr>
                <w:rFonts w:cs="Arial"/>
              </w:rPr>
              <w:t>entered into</w:t>
            </w:r>
            <w:proofErr w:type="gramEnd"/>
            <w:r w:rsidRPr="00CA74C4">
              <w:rPr>
                <w:rFonts w:cs="Arial"/>
              </w:rPr>
              <w:t xml:space="preserve"> transportation arrangements with other relevant gas transporters) and relevant shippers.</w:t>
            </w:r>
          </w:p>
        </w:tc>
        <w:tc>
          <w:tcPr>
            <w:tcW w:w="2410" w:type="dxa"/>
          </w:tcPr>
          <w:p w14:paraId="293F8C7C" w14:textId="178E390B" w:rsidR="0018496D" w:rsidRPr="00CA74C4" w:rsidRDefault="0018496D" w:rsidP="00B27EC9">
            <w:pPr>
              <w:spacing w:before="40"/>
              <w:ind w:left="113" w:right="113"/>
              <w:jc w:val="both"/>
              <w:rPr>
                <w:rFonts w:cs="Arial"/>
              </w:rPr>
            </w:pPr>
            <w:r w:rsidRPr="00CA74C4">
              <w:rPr>
                <w:rFonts w:cs="Arial"/>
              </w:rPr>
              <w:t>Positive</w:t>
            </w:r>
          </w:p>
        </w:tc>
      </w:tr>
      <w:tr w:rsidR="0018496D"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18496D" w:rsidRPr="00CA74C4" w:rsidRDefault="0018496D" w:rsidP="00B27EC9">
            <w:pPr>
              <w:pStyle w:val="Tablebodycopy"/>
              <w:ind w:left="453" w:right="238" w:hanging="340"/>
              <w:jc w:val="both"/>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E15131F" w14:textId="7FEB0957" w:rsidR="0018496D" w:rsidRPr="00CA74C4" w:rsidRDefault="0018496D" w:rsidP="00B27EC9">
            <w:pPr>
              <w:spacing w:before="40"/>
              <w:ind w:left="113" w:right="113"/>
              <w:jc w:val="both"/>
              <w:rPr>
                <w:rFonts w:cs="Arial"/>
              </w:rPr>
            </w:pPr>
            <w:r w:rsidRPr="00CA74C4">
              <w:rPr>
                <w:rFonts w:cs="Arial"/>
              </w:rPr>
              <w:t>None</w:t>
            </w:r>
          </w:p>
        </w:tc>
      </w:tr>
      <w:tr w:rsidR="0018496D"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18496D" w:rsidRPr="00CA74C4" w:rsidRDefault="0018496D" w:rsidP="00B27EC9">
            <w:pPr>
              <w:pStyle w:val="Tablebodycopy"/>
              <w:ind w:left="453" w:right="238" w:hanging="340"/>
              <w:jc w:val="both"/>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95E9B63" w14:textId="7E2B53E0" w:rsidR="0018496D" w:rsidRPr="00CA74C4" w:rsidRDefault="0018496D" w:rsidP="00B27EC9">
            <w:pPr>
              <w:spacing w:before="40"/>
              <w:ind w:left="113" w:right="113"/>
              <w:jc w:val="both"/>
              <w:rPr>
                <w:rFonts w:cs="Arial"/>
              </w:rPr>
            </w:pPr>
            <w:r w:rsidRPr="00CA74C4">
              <w:rPr>
                <w:rFonts w:cs="Arial"/>
              </w:rPr>
              <w:t>None</w:t>
            </w:r>
          </w:p>
        </w:tc>
      </w:tr>
      <w:tr w:rsidR="0018496D" w:rsidRPr="00CA74C4" w14:paraId="31123917" w14:textId="77777777" w:rsidTr="00332A65">
        <w:trPr>
          <w:trHeight w:val="397"/>
        </w:trPr>
        <w:tc>
          <w:tcPr>
            <w:tcW w:w="7665" w:type="dxa"/>
            <w:tcBorders>
              <w:left w:val="single" w:sz="8" w:space="0" w:color="CCE0DA"/>
              <w:bottom w:val="single" w:sz="8" w:space="0" w:color="CCE0DA"/>
            </w:tcBorders>
          </w:tcPr>
          <w:p w14:paraId="39FEEA18" w14:textId="32E3B0AC" w:rsidR="0018496D" w:rsidRPr="00CA74C4" w:rsidRDefault="00EE5AFB" w:rsidP="00B27EC9">
            <w:pPr>
              <w:pStyle w:val="Tablebodycopy"/>
              <w:ind w:left="453" w:right="238" w:hanging="340"/>
              <w:jc w:val="both"/>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03676820" w14:textId="5F3DB774" w:rsidR="0018496D" w:rsidRPr="00CA74C4" w:rsidRDefault="0018496D" w:rsidP="00B27EC9">
            <w:pPr>
              <w:spacing w:before="40"/>
              <w:ind w:left="113" w:right="113"/>
              <w:jc w:val="both"/>
              <w:rPr>
                <w:rFonts w:cs="Arial"/>
              </w:rPr>
            </w:pPr>
            <w:r w:rsidRPr="00CA74C4">
              <w:rPr>
                <w:rFonts w:cs="Arial"/>
              </w:rPr>
              <w:t>None</w:t>
            </w:r>
          </w:p>
        </w:tc>
      </w:tr>
    </w:tbl>
    <w:p w14:paraId="48F21185" w14:textId="0C4CC320" w:rsidR="00FD6923" w:rsidRDefault="00FD6923" w:rsidP="00FD6923">
      <w:pPr>
        <w:pStyle w:val="Heading4"/>
        <w:keepLines w:val="0"/>
        <w:numPr>
          <w:ilvl w:val="0"/>
          <w:numId w:val="0"/>
        </w:numPr>
        <w:spacing w:before="240"/>
        <w:rPr>
          <w:rFonts w:ascii="Arial" w:eastAsia="Times New Roman" w:hAnsi="Arial" w:cs="Arial"/>
          <w:i w:val="0"/>
          <w:iCs w:val="0"/>
          <w:color w:val="008576"/>
          <w:sz w:val="24"/>
          <w:szCs w:val="28"/>
        </w:rPr>
      </w:pPr>
      <w:bookmarkStart w:id="12" w:name="_Toc170220940"/>
      <w:r>
        <w:rPr>
          <w:rFonts w:ascii="Arial" w:eastAsia="Times New Roman" w:hAnsi="Arial" w:cs="Arial"/>
          <w:i w:val="0"/>
          <w:iCs w:val="0"/>
          <w:color w:val="008576"/>
          <w:sz w:val="24"/>
          <w:szCs w:val="28"/>
        </w:rPr>
        <w:t>Workgroup Assessment of Relevant Objectives</w:t>
      </w:r>
    </w:p>
    <w:p w14:paraId="0996F2FC" w14:textId="77777777" w:rsidR="00FD6923" w:rsidRPr="00B32D70" w:rsidRDefault="00FD6923" w:rsidP="00FD6923">
      <w:pPr>
        <w:pStyle w:val="Heading4"/>
        <w:keepLines w:val="0"/>
        <w:numPr>
          <w:ilvl w:val="0"/>
          <w:numId w:val="0"/>
        </w:numPr>
        <w:spacing w:before="120"/>
        <w:rPr>
          <w:rFonts w:ascii="Arial" w:eastAsia="Times New Roman" w:hAnsi="Arial" w:cs="Arial"/>
          <w:b w:val="0"/>
          <w:bCs w:val="0"/>
          <w:iCs w:val="0"/>
          <w:color w:val="00B274"/>
          <w:szCs w:val="20"/>
        </w:rPr>
      </w:pPr>
      <w:r w:rsidRPr="00B32D70">
        <w:rPr>
          <w:rFonts w:ascii="Arial" w:eastAsia="Times New Roman" w:hAnsi="Arial" w:cs="Arial"/>
          <w:b w:val="0"/>
          <w:bCs w:val="0"/>
          <w:iCs w:val="0"/>
          <w:color w:val="00B274"/>
          <w:szCs w:val="20"/>
        </w:rPr>
        <w:t xml:space="preserve">The Workgroup </w:t>
      </w:r>
      <w:r>
        <w:rPr>
          <w:rFonts w:ascii="Arial" w:eastAsia="Times New Roman" w:hAnsi="Arial" w:cs="Arial"/>
          <w:b w:val="0"/>
          <w:bCs w:val="0"/>
          <w:iCs w:val="0"/>
          <w:color w:val="00B274"/>
          <w:szCs w:val="20"/>
        </w:rPr>
        <w:t>must provide an assessment of how the Relevant Objectives are furthered and respond to what the proposer has provided</w:t>
      </w:r>
    </w:p>
    <w:p w14:paraId="7EF474F3" w14:textId="77777777" w:rsidR="00FD6923" w:rsidRDefault="00FD6923" w:rsidP="00FD6923">
      <w:pPr>
        <w:rPr>
          <w:rFonts w:cs="Arial"/>
          <w:highlight w:val="yellow"/>
        </w:rPr>
      </w:pPr>
      <w:r w:rsidRPr="42EE4B30">
        <w:rPr>
          <w:rFonts w:cs="Arial"/>
          <w:highlight w:val="yellow"/>
        </w:rPr>
        <w:t>The Workgroup agreed with the Proposer that this Modification would further Relevant Objective d) by improving clarity in the UNC.</w:t>
      </w:r>
    </w:p>
    <w:p w14:paraId="2D6E1631" w14:textId="4F4089C8" w:rsidR="00450385" w:rsidRPr="00CA74C4" w:rsidRDefault="00FD6923" w:rsidP="0043216C">
      <w:pPr>
        <w:pStyle w:val="Heading02"/>
        <w:rPr>
          <w:noProof/>
        </w:rPr>
      </w:pPr>
      <w:r>
        <w:rPr>
          <w:noProof/>
        </w:rPr>
        <w:t>I</w:t>
      </w:r>
      <w:r w:rsidR="00C31A20" w:rsidRPr="00CA74C4">
        <w:rPr>
          <w:noProof/>
        </w:rPr>
        <w:t>mple</w:t>
      </w:r>
      <w:r w:rsidR="00461C2F" w:rsidRPr="00CA74C4">
        <w:rPr>
          <w:noProof/>
        </w:rPr>
        <w:t>me</w:t>
      </w:r>
      <w:r w:rsidR="00C31A20" w:rsidRPr="00CA74C4">
        <w:rPr>
          <w:noProof/>
        </w:rPr>
        <w:t>ntation</w:t>
      </w:r>
      <w:bookmarkEnd w:id="12"/>
    </w:p>
    <w:p w14:paraId="5BD0F811" w14:textId="78FE9605" w:rsidR="00D76054" w:rsidRDefault="00D76054" w:rsidP="00827D44">
      <w:pPr>
        <w:jc w:val="both"/>
        <w:rPr>
          <w:rFonts w:cs="Arial"/>
        </w:rPr>
      </w:pPr>
      <w:r w:rsidRPr="00CA74C4">
        <w:rPr>
          <w:rFonts w:cs="Arial"/>
        </w:rPr>
        <w:t xml:space="preserve">As </w:t>
      </w:r>
      <w:r w:rsidR="00827D44">
        <w:rPr>
          <w:rFonts w:cs="Arial"/>
        </w:rPr>
        <w:t xml:space="preserve">this </w:t>
      </w:r>
      <w:r w:rsidR="008F1584">
        <w:rPr>
          <w:rFonts w:cs="Arial"/>
        </w:rPr>
        <w:t>M</w:t>
      </w:r>
      <w:r w:rsidR="00827D44">
        <w:rPr>
          <w:rFonts w:cs="Arial"/>
        </w:rPr>
        <w:t>odification would bring the UNC in line with common practice,</w:t>
      </w:r>
      <w:r w:rsidRPr="00CA74C4">
        <w:rPr>
          <w:rFonts w:cs="Arial"/>
        </w:rPr>
        <w:t xml:space="preserve"> implementation could be </w:t>
      </w:r>
      <w:r w:rsidR="006C77A8">
        <w:rPr>
          <w:rFonts w:cs="Arial"/>
          <w:lang w:val="en-US"/>
        </w:rPr>
        <w:t xml:space="preserve">effective </w:t>
      </w:r>
      <w:r w:rsidR="006C77A8">
        <w:rPr>
          <w:rFonts w:cs="Arial"/>
        </w:rPr>
        <w:t xml:space="preserve">immediately on Authority Direction. </w:t>
      </w:r>
    </w:p>
    <w:p w14:paraId="424D4865" w14:textId="77777777" w:rsidR="004D165F" w:rsidRPr="00CA74C4" w:rsidRDefault="004D165F" w:rsidP="004D165F">
      <w:pPr>
        <w:pStyle w:val="Heading02"/>
      </w:pPr>
      <w:bookmarkStart w:id="13" w:name="_Toc157431033"/>
      <w:bookmarkStart w:id="14" w:name="_Toc170220941"/>
      <w:r w:rsidRPr="00CA74C4">
        <w:t>Legal Text</w:t>
      </w:r>
      <w:bookmarkEnd w:id="13"/>
      <w:bookmarkEnd w:id="14"/>
    </w:p>
    <w:p w14:paraId="338621DC" w14:textId="5802CD75" w:rsidR="004D165F" w:rsidRDefault="004D165F" w:rsidP="004D165F">
      <w:pPr>
        <w:rPr>
          <w:rFonts w:cs="Arial"/>
        </w:rPr>
      </w:pPr>
      <w:bookmarkStart w:id="15" w:name="_Hlk534356732"/>
      <w:r w:rsidRPr="0088780C">
        <w:t>L</w:t>
      </w:r>
      <w:r w:rsidRPr="0088780C">
        <w:rPr>
          <w:rFonts w:cs="Arial"/>
        </w:rPr>
        <w:t>egal Text has been provided by</w:t>
      </w:r>
      <w:r>
        <w:rPr>
          <w:rFonts w:cs="Arial"/>
        </w:rPr>
        <w:t xml:space="preserve"> National Gas Transmis</w:t>
      </w:r>
      <w:r w:rsidR="00B75EB1">
        <w:rPr>
          <w:rFonts w:cs="Arial"/>
        </w:rPr>
        <w:t xml:space="preserve">sion </w:t>
      </w:r>
      <w:r w:rsidRPr="0088780C">
        <w:rPr>
          <w:rFonts w:cs="Arial"/>
        </w:rPr>
        <w:t>and is below/published alongside this report</w:t>
      </w:r>
      <w:r>
        <w:rPr>
          <w:rFonts w:cs="Arial"/>
        </w:rPr>
        <w:t xml:space="preserve"> at </w:t>
      </w:r>
      <w:hyperlink r:id="rId27" w:history="1">
        <w:r w:rsidRPr="00A11EB2">
          <w:rPr>
            <w:rStyle w:val="Hyperlink"/>
            <w:rFonts w:cs="Arial"/>
          </w:rPr>
          <w:t>https://www.gasgovernance.co.uk/0860</w:t>
        </w:r>
      </w:hyperlink>
    </w:p>
    <w:p w14:paraId="3BCDD0B6" w14:textId="77777777" w:rsidR="004D165F" w:rsidRPr="008D54E0" w:rsidRDefault="004D165F" w:rsidP="004D165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lastRenderedPageBreak/>
        <w:t>Workgroup Assessment</w:t>
      </w:r>
    </w:p>
    <w:p w14:paraId="61CC9D26" w14:textId="77777777" w:rsidR="004D165F" w:rsidRDefault="004D165F" w:rsidP="004D165F">
      <w:pPr>
        <w:keepNext/>
        <w:outlineLvl w:val="3"/>
        <w:rPr>
          <w:i/>
          <w:noProof/>
          <w:color w:val="00B274"/>
        </w:rPr>
      </w:pPr>
      <w:r>
        <w:rPr>
          <w:i/>
          <w:noProof/>
          <w:color w:val="00B274"/>
        </w:rPr>
        <w:t xml:space="preserve">Workgroup’s </w:t>
      </w:r>
      <w:r w:rsidRPr="00020683">
        <w:rPr>
          <w:i/>
          <w:noProof/>
          <w:color w:val="00B274"/>
        </w:rPr>
        <w:t xml:space="preserve">Assessment </w:t>
      </w:r>
      <w:r>
        <w:rPr>
          <w:i/>
          <w:noProof/>
          <w:color w:val="00B274"/>
        </w:rPr>
        <w:t>of the proposed changes and how these meet the intent of the Solution.</w:t>
      </w:r>
    </w:p>
    <w:p w14:paraId="01B59C24" w14:textId="77777777" w:rsidR="004D165F" w:rsidRPr="0088780C" w:rsidRDefault="004D165F" w:rsidP="004D165F">
      <w:pPr>
        <w:rPr>
          <w:rFonts w:cs="Arial"/>
        </w:rPr>
      </w:pPr>
      <w:r w:rsidRPr="0088780C" w:rsidDel="00A7121D">
        <w:rPr>
          <w:rFonts w:cs="Arial"/>
        </w:rPr>
        <w:t>The Workgroup has considered the Legal Text and is satisfied that it meets the intent of the Solution.</w:t>
      </w:r>
    </w:p>
    <w:bookmarkEnd w:id="15"/>
    <w:p w14:paraId="2F33C2AF" w14:textId="77777777" w:rsidR="004D165F" w:rsidRPr="00CA74C4" w:rsidRDefault="004D165F" w:rsidP="004D165F">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6FC0707E" w14:textId="77777777" w:rsidR="004D165F" w:rsidRPr="00CA74C4" w:rsidRDefault="004D165F" w:rsidP="004D165F">
      <w:pPr>
        <w:rPr>
          <w:rFonts w:cs="Arial"/>
        </w:rPr>
      </w:pPr>
      <w:r w:rsidRPr="00CA74C4">
        <w:rPr>
          <w:rFonts w:cs="Arial"/>
        </w:rPr>
        <w:t>Insert text here</w:t>
      </w:r>
      <w:r>
        <w:rPr>
          <w:rFonts w:cs="Arial"/>
        </w:rPr>
        <w:t>.</w:t>
      </w:r>
    </w:p>
    <w:p w14:paraId="44A8761A" w14:textId="77777777" w:rsidR="004D165F" w:rsidRPr="00CA74C4" w:rsidRDefault="004D165F" w:rsidP="004D165F">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0DC7A5AE" w14:textId="77777777" w:rsidR="004D165F" w:rsidRDefault="004D165F" w:rsidP="004D165F">
      <w:pPr>
        <w:rPr>
          <w:rFonts w:cs="Arial"/>
        </w:rPr>
      </w:pPr>
      <w:r w:rsidRPr="00CA74C4">
        <w:rPr>
          <w:rFonts w:cs="Arial"/>
        </w:rPr>
        <w:t>Insert text here</w:t>
      </w:r>
      <w:r>
        <w:rPr>
          <w:rFonts w:cs="Arial"/>
        </w:rPr>
        <w:t>.</w:t>
      </w:r>
    </w:p>
    <w:p w14:paraId="3F2BBCB5" w14:textId="77777777" w:rsidR="004D165F" w:rsidRPr="008D54E0" w:rsidRDefault="004D165F" w:rsidP="004D165F">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Insert subheading here (if required</w:t>
      </w:r>
      <w:r>
        <w:rPr>
          <w:rFonts w:ascii="Arial" w:eastAsia="Times New Roman" w:hAnsi="Arial" w:cs="Arial"/>
          <w:i w:val="0"/>
          <w:iCs w:val="0"/>
          <w:color w:val="008576"/>
          <w:sz w:val="24"/>
          <w:szCs w:val="28"/>
        </w:rPr>
        <w:t xml:space="preserve"> for UNC Related Documents</w:t>
      </w:r>
      <w:r w:rsidRPr="008D54E0">
        <w:rPr>
          <w:rFonts w:ascii="Arial" w:eastAsia="Times New Roman" w:hAnsi="Arial" w:cs="Arial"/>
          <w:i w:val="0"/>
          <w:iCs w:val="0"/>
          <w:color w:val="008576"/>
          <w:sz w:val="24"/>
          <w:szCs w:val="28"/>
        </w:rPr>
        <w:t>)</w:t>
      </w:r>
    </w:p>
    <w:p w14:paraId="0BF343F3" w14:textId="77777777" w:rsidR="004D165F" w:rsidRPr="008D54E0" w:rsidRDefault="004D165F" w:rsidP="004D165F">
      <w:pPr>
        <w:rPr>
          <w:rFonts w:cs="Arial"/>
        </w:rPr>
      </w:pPr>
      <w:r w:rsidRPr="008D54E0">
        <w:rPr>
          <w:rFonts w:cs="Arial"/>
        </w:rPr>
        <w:t>Insert text here</w:t>
      </w:r>
      <w:r>
        <w:rPr>
          <w:rFonts w:cs="Arial"/>
        </w:rPr>
        <w:t>.</w:t>
      </w:r>
    </w:p>
    <w:p w14:paraId="0E826CBD" w14:textId="77777777" w:rsidR="004D165F" w:rsidRPr="00CA74C4" w:rsidRDefault="004D165F" w:rsidP="004D165F">
      <w:pPr>
        <w:pStyle w:val="Heading02"/>
      </w:pPr>
      <w:bookmarkStart w:id="16" w:name="_Toc157431034"/>
      <w:bookmarkStart w:id="17" w:name="_Toc170220942"/>
      <w:r w:rsidRPr="00CA74C4">
        <w:t>Recommendations</w:t>
      </w:r>
      <w:bookmarkEnd w:id="16"/>
      <w:bookmarkEnd w:id="17"/>
      <w:r w:rsidRPr="00CA74C4">
        <w:t xml:space="preserve"> </w:t>
      </w:r>
    </w:p>
    <w:p w14:paraId="3C924FA0" w14:textId="77777777" w:rsidR="004D165F" w:rsidRPr="00EB32BB" w:rsidRDefault="004D165F" w:rsidP="004D165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5405731B" w14:textId="7C4F1901" w:rsidR="004D165F" w:rsidRDefault="004D165F" w:rsidP="004D165F">
      <w:r w:rsidRPr="008C182E">
        <w:t xml:space="preserve">The Workgroup </w:t>
      </w:r>
      <w:r>
        <w:t>asks Panel to agree that t</w:t>
      </w:r>
      <w:r w:rsidRPr="008C182E">
        <w:t>his</w:t>
      </w:r>
      <w:r w:rsidR="00B75EB1">
        <w:t xml:space="preserve"> </w:t>
      </w:r>
      <w:r>
        <w:t>M</w:t>
      </w:r>
      <w:r w:rsidRPr="008C182E">
        <w:t xml:space="preserve">odification should </w:t>
      </w:r>
      <w:r>
        <w:t>proceed to</w:t>
      </w:r>
      <w:r w:rsidRPr="008C182E">
        <w:t xml:space="preserve"> consultation.</w:t>
      </w:r>
    </w:p>
    <w:p w14:paraId="369E0977" w14:textId="77777777" w:rsidR="004D165F" w:rsidRPr="00E337D4" w:rsidRDefault="004D165F" w:rsidP="004D165F">
      <w:pPr>
        <w:pStyle w:val="Heading02"/>
      </w:pPr>
      <w:bookmarkStart w:id="18" w:name="_Toc83103130"/>
      <w:bookmarkStart w:id="19" w:name="_Toc83277564"/>
      <w:bookmarkStart w:id="20" w:name="_Toc83795992"/>
      <w:bookmarkStart w:id="21" w:name="_Toc157431035"/>
      <w:bookmarkStart w:id="22" w:name="_Toc170220943"/>
      <w:r w:rsidRPr="00E337D4">
        <w:t xml:space="preserve">Appended </w:t>
      </w:r>
      <w:r w:rsidRPr="00BD06F6">
        <w:t>Representations</w:t>
      </w:r>
      <w:bookmarkEnd w:id="18"/>
      <w:bookmarkEnd w:id="19"/>
      <w:bookmarkEnd w:id="20"/>
      <w:bookmarkEnd w:id="21"/>
      <w:bookmarkEnd w:id="22"/>
    </w:p>
    <w:p w14:paraId="16590998" w14:textId="77777777" w:rsidR="00696F62" w:rsidRDefault="00696F62" w:rsidP="00696F62">
      <w:pPr>
        <w:rPr>
          <w:rFonts w:cs="Arial"/>
        </w:rPr>
      </w:pPr>
      <w:r w:rsidRPr="00435708">
        <w:rPr>
          <w:rFonts w:cs="Arial"/>
        </w:rPr>
        <w:t>Initial Representation –</w:t>
      </w:r>
      <w:r>
        <w:rPr>
          <w:rFonts w:cs="Arial"/>
        </w:rPr>
        <w:t xml:space="preserve"> National Gas Transmission</w:t>
      </w:r>
    </w:p>
    <w:p w14:paraId="199BB8BA" w14:textId="77777777" w:rsidR="00AF42DE" w:rsidRPr="00095C58" w:rsidRDefault="00AF42DE" w:rsidP="00AF42DE">
      <w:pPr>
        <w:pStyle w:val="Heading4"/>
        <w:numPr>
          <w:ilvl w:val="0"/>
          <w:numId w:val="0"/>
        </w:numPr>
        <w:spacing w:before="40" w:after="40"/>
        <w:rPr>
          <w:rFonts w:ascii="Arial" w:hAnsi="Arial" w:cs="Arial"/>
          <w:b w:val="0"/>
          <w:bCs w:val="0"/>
          <w:color w:val="00B274"/>
        </w:rPr>
      </w:pPr>
      <w:r>
        <w:rPr>
          <w:rFonts w:ascii="Arial" w:hAnsi="Arial" w:cs="Arial"/>
          <w:b w:val="0"/>
          <w:bCs w:val="0"/>
          <w:color w:val="00B274"/>
        </w:rPr>
        <w:t>Append any initial representations.</w:t>
      </w:r>
    </w:p>
    <w:p w14:paraId="540D7920" w14:textId="77777777" w:rsidR="00F34649" w:rsidRDefault="00F34649" w:rsidP="00AF42DE">
      <w:pPr>
        <w:pStyle w:val="ListBullet2"/>
        <w:numPr>
          <w:ilvl w:val="0"/>
          <w:numId w:val="0"/>
        </w:numPr>
        <w:ind w:left="284" w:hanging="284"/>
        <w:jc w:val="both"/>
        <w:rPr>
          <w:rFonts w:cs="Arial"/>
        </w:rPr>
      </w:pPr>
    </w:p>
    <w:sectPr w:rsidR="00F34649" w:rsidSect="003261A6">
      <w:headerReference w:type="default" r:id="rId28"/>
      <w:footerReference w:type="default" r:id="rId29"/>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A030F" w14:textId="77777777" w:rsidR="008521C4" w:rsidRDefault="008521C4">
      <w:pPr>
        <w:spacing w:line="240" w:lineRule="auto"/>
      </w:pPr>
      <w:r>
        <w:separator/>
      </w:r>
    </w:p>
    <w:p w14:paraId="3C142DF7" w14:textId="77777777" w:rsidR="008521C4" w:rsidRDefault="008521C4"/>
  </w:endnote>
  <w:endnote w:type="continuationSeparator" w:id="0">
    <w:p w14:paraId="0804465E" w14:textId="77777777" w:rsidR="008521C4" w:rsidRDefault="008521C4">
      <w:pPr>
        <w:spacing w:line="240" w:lineRule="auto"/>
      </w:pPr>
      <w:r>
        <w:continuationSeparator/>
      </w:r>
    </w:p>
    <w:p w14:paraId="270C46E9" w14:textId="77777777" w:rsidR="008521C4" w:rsidRDefault="008521C4"/>
  </w:endnote>
  <w:endnote w:type="continuationNotice" w:id="1">
    <w:p w14:paraId="2746B355" w14:textId="77777777" w:rsidR="00EE49E1" w:rsidRDefault="00EE49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C9BE5" w14:textId="14AF29F4"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00710A">
      <w:rPr>
        <w:rFonts w:cs="Arial"/>
        <w:sz w:val="16"/>
        <w:szCs w:val="16"/>
      </w:rPr>
      <w:t>08</w:t>
    </w:r>
    <w:r w:rsidR="00AC737D">
      <w:rPr>
        <w:rFonts w:cs="Arial"/>
        <w:sz w:val="16"/>
        <w:szCs w:val="16"/>
      </w:rPr>
      <w:t>60</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 xml:space="preserve">Version </w:t>
    </w:r>
    <w:r w:rsidR="00CE3F16">
      <w:rPr>
        <w:rFonts w:cs="Arial"/>
        <w:sz w:val="16"/>
        <w:szCs w:val="16"/>
        <w:lang w:val="en-US"/>
      </w:rPr>
      <w:t>0.4</w:t>
    </w:r>
  </w:p>
  <w:p w14:paraId="1DF57ED4" w14:textId="4009EB00" w:rsidR="0000619E" w:rsidRPr="000660DF" w:rsidRDefault="00CE3F16"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r w:rsidR="00AC737D">
      <w:rPr>
        <w:rFonts w:cs="Arial"/>
        <w:sz w:val="16"/>
        <w:szCs w:val="16"/>
        <w:lang w:val="en-US"/>
      </w:rPr>
      <w:t>25 June 202</w:t>
    </w:r>
    <w:r w:rsidR="009E0ECA">
      <w:rPr>
        <w:rFonts w:cs="Arial"/>
        <w:sz w:val="16"/>
        <w:szCs w:val="16"/>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BC643" w14:textId="77777777" w:rsidR="008521C4" w:rsidRDefault="008521C4">
      <w:pPr>
        <w:spacing w:line="240" w:lineRule="auto"/>
      </w:pPr>
      <w:r>
        <w:separator/>
      </w:r>
    </w:p>
    <w:p w14:paraId="5351D1CE" w14:textId="77777777" w:rsidR="008521C4" w:rsidRDefault="008521C4"/>
  </w:footnote>
  <w:footnote w:type="continuationSeparator" w:id="0">
    <w:p w14:paraId="3830778A" w14:textId="77777777" w:rsidR="008521C4" w:rsidRDefault="008521C4">
      <w:pPr>
        <w:spacing w:line="240" w:lineRule="auto"/>
      </w:pPr>
      <w:r>
        <w:continuationSeparator/>
      </w:r>
    </w:p>
    <w:p w14:paraId="3666B57C" w14:textId="77777777" w:rsidR="008521C4" w:rsidRDefault="008521C4"/>
  </w:footnote>
  <w:footnote w:type="continuationNotice" w:id="1">
    <w:p w14:paraId="1B82E0B1" w14:textId="77777777" w:rsidR="00EE49E1" w:rsidRDefault="00EE49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2F5FC" w14:textId="6E33945F" w:rsidR="007C1163" w:rsidRDefault="003C3E68" w:rsidP="007C1163">
    <w:pPr>
      <w:pStyle w:val="Header"/>
      <w:tabs>
        <w:tab w:val="left" w:pos="2160"/>
      </w:tabs>
      <w:jc w:val="right"/>
    </w:pPr>
    <w:r>
      <w:rPr>
        <w:noProof/>
      </w:rPr>
      <w:drawing>
        <wp:anchor distT="0" distB="0" distL="114300" distR="114300" simplePos="0" relativeHeight="251658240"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1E73887"/>
    <w:multiLevelType w:val="hybridMultilevel"/>
    <w:tmpl w:val="1E60C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724C"/>
    <w:multiLevelType w:val="hybridMultilevel"/>
    <w:tmpl w:val="77F0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D019F"/>
    <w:multiLevelType w:val="hybridMultilevel"/>
    <w:tmpl w:val="C01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8" w15:restartNumberingAfterBreak="0">
    <w:nsid w:val="5B0633CF"/>
    <w:multiLevelType w:val="hybridMultilevel"/>
    <w:tmpl w:val="80D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0"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955D2"/>
    <w:multiLevelType w:val="hybridMultilevel"/>
    <w:tmpl w:val="374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7"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969552828">
    <w:abstractNumId w:val="26"/>
  </w:num>
  <w:num w:numId="2" w16cid:durableId="2070763429">
    <w:abstractNumId w:val="22"/>
  </w:num>
  <w:num w:numId="3" w16cid:durableId="1229851725">
    <w:abstractNumId w:val="11"/>
  </w:num>
  <w:num w:numId="4" w16cid:durableId="567424655">
    <w:abstractNumId w:val="13"/>
  </w:num>
  <w:num w:numId="5" w16cid:durableId="890966181">
    <w:abstractNumId w:val="8"/>
  </w:num>
  <w:num w:numId="6" w16cid:durableId="1190266120">
    <w:abstractNumId w:val="23"/>
  </w:num>
  <w:num w:numId="7" w16cid:durableId="2028293220">
    <w:abstractNumId w:val="14"/>
  </w:num>
  <w:num w:numId="8" w16cid:durableId="250702282">
    <w:abstractNumId w:val="10"/>
  </w:num>
  <w:num w:numId="9" w16cid:durableId="2040617169">
    <w:abstractNumId w:val="21"/>
  </w:num>
  <w:num w:numId="10" w16cid:durableId="1415782451">
    <w:abstractNumId w:val="19"/>
  </w:num>
  <w:num w:numId="11" w16cid:durableId="405764802">
    <w:abstractNumId w:val="7"/>
  </w:num>
  <w:num w:numId="12" w16cid:durableId="2144229919">
    <w:abstractNumId w:val="6"/>
  </w:num>
  <w:num w:numId="13" w16cid:durableId="1819877000">
    <w:abstractNumId w:val="20"/>
  </w:num>
  <w:num w:numId="14" w16cid:durableId="615648432">
    <w:abstractNumId w:val="3"/>
  </w:num>
  <w:num w:numId="15" w16cid:durableId="2114006519">
    <w:abstractNumId w:val="5"/>
  </w:num>
  <w:num w:numId="16" w16cid:durableId="652871691">
    <w:abstractNumId w:val="25"/>
  </w:num>
  <w:num w:numId="17" w16cid:durableId="400644122">
    <w:abstractNumId w:val="27"/>
  </w:num>
  <w:num w:numId="18" w16cid:durableId="631134276">
    <w:abstractNumId w:val="17"/>
  </w:num>
  <w:num w:numId="19" w16cid:durableId="1699502562">
    <w:abstractNumId w:val="9"/>
  </w:num>
  <w:num w:numId="20" w16cid:durableId="524171329">
    <w:abstractNumId w:val="12"/>
  </w:num>
  <w:num w:numId="21" w16cid:durableId="474376037">
    <w:abstractNumId w:val="16"/>
  </w:num>
  <w:num w:numId="22" w16cid:durableId="1023476250">
    <w:abstractNumId w:val="4"/>
  </w:num>
  <w:num w:numId="23" w16cid:durableId="544416447">
    <w:abstractNumId w:val="0"/>
  </w:num>
  <w:num w:numId="24" w16cid:durableId="1485588198">
    <w:abstractNumId w:val="18"/>
  </w:num>
  <w:num w:numId="25" w16cid:durableId="1716420375">
    <w:abstractNumId w:val="2"/>
  </w:num>
  <w:num w:numId="26" w16cid:durableId="2109814503">
    <w:abstractNumId w:val="24"/>
  </w:num>
  <w:num w:numId="27" w16cid:durableId="1056274800">
    <w:abstractNumId w:val="1"/>
  </w:num>
  <w:num w:numId="28" w16cid:durableId="192283481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qgUAP3nZ8CwAAAA="/>
  </w:docVars>
  <w:rsids>
    <w:rsidRoot w:val="00731B99"/>
    <w:rsid w:val="00000905"/>
    <w:rsid w:val="0000132F"/>
    <w:rsid w:val="0000215A"/>
    <w:rsid w:val="000023DC"/>
    <w:rsid w:val="0000274D"/>
    <w:rsid w:val="00003462"/>
    <w:rsid w:val="00004426"/>
    <w:rsid w:val="00004A78"/>
    <w:rsid w:val="000053D8"/>
    <w:rsid w:val="00005C2A"/>
    <w:rsid w:val="0000619E"/>
    <w:rsid w:val="00006FAC"/>
    <w:rsid w:val="0000710A"/>
    <w:rsid w:val="0001312A"/>
    <w:rsid w:val="000131C0"/>
    <w:rsid w:val="00014A06"/>
    <w:rsid w:val="00016A55"/>
    <w:rsid w:val="00017172"/>
    <w:rsid w:val="00017F43"/>
    <w:rsid w:val="00021D3D"/>
    <w:rsid w:val="00021E27"/>
    <w:rsid w:val="00023048"/>
    <w:rsid w:val="0002309B"/>
    <w:rsid w:val="00023C12"/>
    <w:rsid w:val="0002581E"/>
    <w:rsid w:val="00026A6A"/>
    <w:rsid w:val="000315B5"/>
    <w:rsid w:val="0003559E"/>
    <w:rsid w:val="000363FA"/>
    <w:rsid w:val="00041A17"/>
    <w:rsid w:val="00041D10"/>
    <w:rsid w:val="000427B0"/>
    <w:rsid w:val="00045F75"/>
    <w:rsid w:val="00046F70"/>
    <w:rsid w:val="000506BC"/>
    <w:rsid w:val="00052F65"/>
    <w:rsid w:val="000546C7"/>
    <w:rsid w:val="00055793"/>
    <w:rsid w:val="0005617C"/>
    <w:rsid w:val="000561DC"/>
    <w:rsid w:val="000562AF"/>
    <w:rsid w:val="00057C9D"/>
    <w:rsid w:val="0006088F"/>
    <w:rsid w:val="0006121D"/>
    <w:rsid w:val="00061E81"/>
    <w:rsid w:val="00062E0D"/>
    <w:rsid w:val="00064427"/>
    <w:rsid w:val="00064B8F"/>
    <w:rsid w:val="000717D4"/>
    <w:rsid w:val="00075FA7"/>
    <w:rsid w:val="000775A5"/>
    <w:rsid w:val="00080A61"/>
    <w:rsid w:val="00080D66"/>
    <w:rsid w:val="00082674"/>
    <w:rsid w:val="00082F1D"/>
    <w:rsid w:val="00084725"/>
    <w:rsid w:val="00085099"/>
    <w:rsid w:val="00086967"/>
    <w:rsid w:val="00087004"/>
    <w:rsid w:val="000922F8"/>
    <w:rsid w:val="00092D84"/>
    <w:rsid w:val="00096C4E"/>
    <w:rsid w:val="000A2456"/>
    <w:rsid w:val="000A359E"/>
    <w:rsid w:val="000A36A8"/>
    <w:rsid w:val="000A406B"/>
    <w:rsid w:val="000A6438"/>
    <w:rsid w:val="000B007D"/>
    <w:rsid w:val="000B0D31"/>
    <w:rsid w:val="000B2E3D"/>
    <w:rsid w:val="000B5CFC"/>
    <w:rsid w:val="000B5D6C"/>
    <w:rsid w:val="000B60FA"/>
    <w:rsid w:val="000C0DD1"/>
    <w:rsid w:val="000C51B5"/>
    <w:rsid w:val="000C7B53"/>
    <w:rsid w:val="000D1C7C"/>
    <w:rsid w:val="000D1ECA"/>
    <w:rsid w:val="000D2D4A"/>
    <w:rsid w:val="000D4F6E"/>
    <w:rsid w:val="000D5720"/>
    <w:rsid w:val="000E0100"/>
    <w:rsid w:val="000E034A"/>
    <w:rsid w:val="000E0CBD"/>
    <w:rsid w:val="000E2951"/>
    <w:rsid w:val="000E2E48"/>
    <w:rsid w:val="000E3F5B"/>
    <w:rsid w:val="000E76BF"/>
    <w:rsid w:val="000F0C0A"/>
    <w:rsid w:val="000F4374"/>
    <w:rsid w:val="000F554F"/>
    <w:rsid w:val="000F5693"/>
    <w:rsid w:val="000F7B89"/>
    <w:rsid w:val="0010582A"/>
    <w:rsid w:val="001060C1"/>
    <w:rsid w:val="00111995"/>
    <w:rsid w:val="00111F27"/>
    <w:rsid w:val="00112F45"/>
    <w:rsid w:val="0011309E"/>
    <w:rsid w:val="001156C4"/>
    <w:rsid w:val="00116326"/>
    <w:rsid w:val="00116E9B"/>
    <w:rsid w:val="001170C1"/>
    <w:rsid w:val="00120CAC"/>
    <w:rsid w:val="001216C5"/>
    <w:rsid w:val="00122D68"/>
    <w:rsid w:val="001244D7"/>
    <w:rsid w:val="0012496E"/>
    <w:rsid w:val="00132A8F"/>
    <w:rsid w:val="00132D37"/>
    <w:rsid w:val="00135667"/>
    <w:rsid w:val="00135828"/>
    <w:rsid w:val="00137D12"/>
    <w:rsid w:val="00142F98"/>
    <w:rsid w:val="00143041"/>
    <w:rsid w:val="00143204"/>
    <w:rsid w:val="0014327C"/>
    <w:rsid w:val="001445A0"/>
    <w:rsid w:val="001451F4"/>
    <w:rsid w:val="00150AE6"/>
    <w:rsid w:val="00151CCF"/>
    <w:rsid w:val="00151D8B"/>
    <w:rsid w:val="00151F7B"/>
    <w:rsid w:val="00153B91"/>
    <w:rsid w:val="00160913"/>
    <w:rsid w:val="00164E30"/>
    <w:rsid w:val="00167C98"/>
    <w:rsid w:val="001703AA"/>
    <w:rsid w:val="00171E1F"/>
    <w:rsid w:val="00172837"/>
    <w:rsid w:val="00174D21"/>
    <w:rsid w:val="00180AB9"/>
    <w:rsid w:val="00182A0C"/>
    <w:rsid w:val="00182FC4"/>
    <w:rsid w:val="0018496D"/>
    <w:rsid w:val="0018581B"/>
    <w:rsid w:val="001875C0"/>
    <w:rsid w:val="00187E2F"/>
    <w:rsid w:val="00187F85"/>
    <w:rsid w:val="001935E2"/>
    <w:rsid w:val="001937A0"/>
    <w:rsid w:val="00193F47"/>
    <w:rsid w:val="00196047"/>
    <w:rsid w:val="00197A37"/>
    <w:rsid w:val="001A0013"/>
    <w:rsid w:val="001A43DB"/>
    <w:rsid w:val="001A4519"/>
    <w:rsid w:val="001A5839"/>
    <w:rsid w:val="001A6453"/>
    <w:rsid w:val="001A6F74"/>
    <w:rsid w:val="001A7E82"/>
    <w:rsid w:val="001B0DB6"/>
    <w:rsid w:val="001B2D7A"/>
    <w:rsid w:val="001B595A"/>
    <w:rsid w:val="001B6BEA"/>
    <w:rsid w:val="001C01D5"/>
    <w:rsid w:val="001C0AAE"/>
    <w:rsid w:val="001C0C6E"/>
    <w:rsid w:val="001C0DF0"/>
    <w:rsid w:val="001C1CD8"/>
    <w:rsid w:val="001C207A"/>
    <w:rsid w:val="001C665E"/>
    <w:rsid w:val="001D0B92"/>
    <w:rsid w:val="001D2BFA"/>
    <w:rsid w:val="001D3DFE"/>
    <w:rsid w:val="001D3EFD"/>
    <w:rsid w:val="001D52F7"/>
    <w:rsid w:val="001D59BA"/>
    <w:rsid w:val="001D5C1B"/>
    <w:rsid w:val="001D653B"/>
    <w:rsid w:val="001D6754"/>
    <w:rsid w:val="001D7EC5"/>
    <w:rsid w:val="001E0281"/>
    <w:rsid w:val="001E32D7"/>
    <w:rsid w:val="001E434D"/>
    <w:rsid w:val="001E5D9F"/>
    <w:rsid w:val="001E6DCF"/>
    <w:rsid w:val="001F0629"/>
    <w:rsid w:val="001F36FC"/>
    <w:rsid w:val="001F3812"/>
    <w:rsid w:val="001F4DA0"/>
    <w:rsid w:val="001F6DA9"/>
    <w:rsid w:val="001F7908"/>
    <w:rsid w:val="001F7D0E"/>
    <w:rsid w:val="00203147"/>
    <w:rsid w:val="002036BB"/>
    <w:rsid w:val="002047E2"/>
    <w:rsid w:val="00205E60"/>
    <w:rsid w:val="0020754C"/>
    <w:rsid w:val="00207ABB"/>
    <w:rsid w:val="002112ED"/>
    <w:rsid w:val="00212157"/>
    <w:rsid w:val="002126D4"/>
    <w:rsid w:val="00212BF5"/>
    <w:rsid w:val="0021411D"/>
    <w:rsid w:val="0021418F"/>
    <w:rsid w:val="002148B6"/>
    <w:rsid w:val="00215877"/>
    <w:rsid w:val="002161A4"/>
    <w:rsid w:val="002178A5"/>
    <w:rsid w:val="002223C3"/>
    <w:rsid w:val="00224658"/>
    <w:rsid w:val="00225131"/>
    <w:rsid w:val="002256C1"/>
    <w:rsid w:val="00225F2B"/>
    <w:rsid w:val="002272EF"/>
    <w:rsid w:val="0023008A"/>
    <w:rsid w:val="0023189F"/>
    <w:rsid w:val="00236DCB"/>
    <w:rsid w:val="0024000A"/>
    <w:rsid w:val="00240472"/>
    <w:rsid w:val="002426A7"/>
    <w:rsid w:val="00246BFB"/>
    <w:rsid w:val="00251679"/>
    <w:rsid w:val="00251F86"/>
    <w:rsid w:val="002538D9"/>
    <w:rsid w:val="0025516E"/>
    <w:rsid w:val="00256075"/>
    <w:rsid w:val="00256566"/>
    <w:rsid w:val="00260BAE"/>
    <w:rsid w:val="00260C2C"/>
    <w:rsid w:val="002612FD"/>
    <w:rsid w:val="00263600"/>
    <w:rsid w:val="00266BC0"/>
    <w:rsid w:val="00270BBB"/>
    <w:rsid w:val="0027266D"/>
    <w:rsid w:val="00272979"/>
    <w:rsid w:val="002758A6"/>
    <w:rsid w:val="00281705"/>
    <w:rsid w:val="00281CF1"/>
    <w:rsid w:val="00281F45"/>
    <w:rsid w:val="00282B40"/>
    <w:rsid w:val="00286CBD"/>
    <w:rsid w:val="00287539"/>
    <w:rsid w:val="00290E44"/>
    <w:rsid w:val="00290F86"/>
    <w:rsid w:val="00291083"/>
    <w:rsid w:val="00296595"/>
    <w:rsid w:val="002966A9"/>
    <w:rsid w:val="002A160C"/>
    <w:rsid w:val="002A369F"/>
    <w:rsid w:val="002A4F98"/>
    <w:rsid w:val="002A7031"/>
    <w:rsid w:val="002B4393"/>
    <w:rsid w:val="002B4FCA"/>
    <w:rsid w:val="002B5DD4"/>
    <w:rsid w:val="002B6556"/>
    <w:rsid w:val="002B6671"/>
    <w:rsid w:val="002B68DB"/>
    <w:rsid w:val="002C1553"/>
    <w:rsid w:val="002C22C1"/>
    <w:rsid w:val="002C258E"/>
    <w:rsid w:val="002C2FC2"/>
    <w:rsid w:val="002C39D1"/>
    <w:rsid w:val="002C4C65"/>
    <w:rsid w:val="002C5985"/>
    <w:rsid w:val="002D1BBE"/>
    <w:rsid w:val="002D25F9"/>
    <w:rsid w:val="002D3048"/>
    <w:rsid w:val="002D4AE9"/>
    <w:rsid w:val="002D4AED"/>
    <w:rsid w:val="002D5DFC"/>
    <w:rsid w:val="002D6272"/>
    <w:rsid w:val="002D6616"/>
    <w:rsid w:val="002E0B28"/>
    <w:rsid w:val="002E25E8"/>
    <w:rsid w:val="002E2ECA"/>
    <w:rsid w:val="002E4ADC"/>
    <w:rsid w:val="002E5FE4"/>
    <w:rsid w:val="002E7709"/>
    <w:rsid w:val="002F0224"/>
    <w:rsid w:val="002F084F"/>
    <w:rsid w:val="002F13B8"/>
    <w:rsid w:val="002F357D"/>
    <w:rsid w:val="002F40F9"/>
    <w:rsid w:val="002F527F"/>
    <w:rsid w:val="002F5EF5"/>
    <w:rsid w:val="002F6CD0"/>
    <w:rsid w:val="00300DEF"/>
    <w:rsid w:val="0030163A"/>
    <w:rsid w:val="00301DAF"/>
    <w:rsid w:val="003020A2"/>
    <w:rsid w:val="00302F67"/>
    <w:rsid w:val="0030347F"/>
    <w:rsid w:val="003038DD"/>
    <w:rsid w:val="00303C74"/>
    <w:rsid w:val="00305AC5"/>
    <w:rsid w:val="00306BF5"/>
    <w:rsid w:val="0030770D"/>
    <w:rsid w:val="00313E9E"/>
    <w:rsid w:val="00313EDF"/>
    <w:rsid w:val="00313FE4"/>
    <w:rsid w:val="00316676"/>
    <w:rsid w:val="003172F3"/>
    <w:rsid w:val="00320457"/>
    <w:rsid w:val="00320DB7"/>
    <w:rsid w:val="003221E9"/>
    <w:rsid w:val="003241A3"/>
    <w:rsid w:val="003248D1"/>
    <w:rsid w:val="003261A6"/>
    <w:rsid w:val="0033097B"/>
    <w:rsid w:val="00332A65"/>
    <w:rsid w:val="00332FE3"/>
    <w:rsid w:val="00334B68"/>
    <w:rsid w:val="00336821"/>
    <w:rsid w:val="00341CAD"/>
    <w:rsid w:val="00344FDC"/>
    <w:rsid w:val="00346719"/>
    <w:rsid w:val="0034786E"/>
    <w:rsid w:val="0035118A"/>
    <w:rsid w:val="00351769"/>
    <w:rsid w:val="00351960"/>
    <w:rsid w:val="00352A27"/>
    <w:rsid w:val="0035487C"/>
    <w:rsid w:val="003557B1"/>
    <w:rsid w:val="00356A4A"/>
    <w:rsid w:val="00356A50"/>
    <w:rsid w:val="00356E6D"/>
    <w:rsid w:val="00357570"/>
    <w:rsid w:val="00362030"/>
    <w:rsid w:val="00363FE9"/>
    <w:rsid w:val="0036715B"/>
    <w:rsid w:val="00367F60"/>
    <w:rsid w:val="0037034E"/>
    <w:rsid w:val="003711F3"/>
    <w:rsid w:val="00373E6D"/>
    <w:rsid w:val="00374D10"/>
    <w:rsid w:val="003769F7"/>
    <w:rsid w:val="00376B3A"/>
    <w:rsid w:val="00377355"/>
    <w:rsid w:val="00377752"/>
    <w:rsid w:val="00380C64"/>
    <w:rsid w:val="00381EB7"/>
    <w:rsid w:val="00382814"/>
    <w:rsid w:val="00383B3C"/>
    <w:rsid w:val="00386096"/>
    <w:rsid w:val="00386528"/>
    <w:rsid w:val="00390D19"/>
    <w:rsid w:val="00390D7B"/>
    <w:rsid w:val="003920ED"/>
    <w:rsid w:val="00392982"/>
    <w:rsid w:val="00392F11"/>
    <w:rsid w:val="003948EC"/>
    <w:rsid w:val="003971AB"/>
    <w:rsid w:val="00397A08"/>
    <w:rsid w:val="003A016A"/>
    <w:rsid w:val="003A2AA8"/>
    <w:rsid w:val="003A2BCC"/>
    <w:rsid w:val="003A3114"/>
    <w:rsid w:val="003A46E9"/>
    <w:rsid w:val="003A4FC7"/>
    <w:rsid w:val="003A5C76"/>
    <w:rsid w:val="003A6239"/>
    <w:rsid w:val="003A63EE"/>
    <w:rsid w:val="003A6CCA"/>
    <w:rsid w:val="003A6DED"/>
    <w:rsid w:val="003B0780"/>
    <w:rsid w:val="003B1A71"/>
    <w:rsid w:val="003B321B"/>
    <w:rsid w:val="003B4359"/>
    <w:rsid w:val="003B44D0"/>
    <w:rsid w:val="003B516F"/>
    <w:rsid w:val="003B5816"/>
    <w:rsid w:val="003B5B30"/>
    <w:rsid w:val="003C0C87"/>
    <w:rsid w:val="003C1BBC"/>
    <w:rsid w:val="003C1E4D"/>
    <w:rsid w:val="003C22DF"/>
    <w:rsid w:val="003C2E56"/>
    <w:rsid w:val="003C3E68"/>
    <w:rsid w:val="003C457B"/>
    <w:rsid w:val="003C6AB2"/>
    <w:rsid w:val="003C6D82"/>
    <w:rsid w:val="003D0281"/>
    <w:rsid w:val="003D20BF"/>
    <w:rsid w:val="003D277E"/>
    <w:rsid w:val="003D2B31"/>
    <w:rsid w:val="003D41D8"/>
    <w:rsid w:val="003D5877"/>
    <w:rsid w:val="003D6504"/>
    <w:rsid w:val="003D689D"/>
    <w:rsid w:val="003D6F3E"/>
    <w:rsid w:val="003D7487"/>
    <w:rsid w:val="003E0757"/>
    <w:rsid w:val="003E0B53"/>
    <w:rsid w:val="003E10FF"/>
    <w:rsid w:val="003E16D8"/>
    <w:rsid w:val="003E1B16"/>
    <w:rsid w:val="003E2E2E"/>
    <w:rsid w:val="003E66EC"/>
    <w:rsid w:val="003F030F"/>
    <w:rsid w:val="003F0B70"/>
    <w:rsid w:val="003F2A86"/>
    <w:rsid w:val="003F3C1C"/>
    <w:rsid w:val="003F5B9D"/>
    <w:rsid w:val="003F6F15"/>
    <w:rsid w:val="004028D5"/>
    <w:rsid w:val="004045E4"/>
    <w:rsid w:val="004056D4"/>
    <w:rsid w:val="0041259C"/>
    <w:rsid w:val="00413790"/>
    <w:rsid w:val="004169FF"/>
    <w:rsid w:val="00416FC8"/>
    <w:rsid w:val="004175AA"/>
    <w:rsid w:val="00417D78"/>
    <w:rsid w:val="00420FB8"/>
    <w:rsid w:val="00421B40"/>
    <w:rsid w:val="00422258"/>
    <w:rsid w:val="00422E07"/>
    <w:rsid w:val="004239A9"/>
    <w:rsid w:val="00424C95"/>
    <w:rsid w:val="00424D94"/>
    <w:rsid w:val="0042584E"/>
    <w:rsid w:val="00425A66"/>
    <w:rsid w:val="00426FD6"/>
    <w:rsid w:val="00430E90"/>
    <w:rsid w:val="00431B01"/>
    <w:rsid w:val="00432081"/>
    <w:rsid w:val="00432932"/>
    <w:rsid w:val="00433909"/>
    <w:rsid w:val="00433CFE"/>
    <w:rsid w:val="00434213"/>
    <w:rsid w:val="0043426C"/>
    <w:rsid w:val="00435C42"/>
    <w:rsid w:val="00435CF2"/>
    <w:rsid w:val="00436AEA"/>
    <w:rsid w:val="0043749D"/>
    <w:rsid w:val="004428DE"/>
    <w:rsid w:val="00446636"/>
    <w:rsid w:val="00446C45"/>
    <w:rsid w:val="00447064"/>
    <w:rsid w:val="00447B9C"/>
    <w:rsid w:val="00447C11"/>
    <w:rsid w:val="00450385"/>
    <w:rsid w:val="004504EA"/>
    <w:rsid w:val="004570AC"/>
    <w:rsid w:val="004579CF"/>
    <w:rsid w:val="0046001A"/>
    <w:rsid w:val="00461C2F"/>
    <w:rsid w:val="00462E1A"/>
    <w:rsid w:val="00463C1B"/>
    <w:rsid w:val="00463EF6"/>
    <w:rsid w:val="0046444D"/>
    <w:rsid w:val="004654ED"/>
    <w:rsid w:val="00465988"/>
    <w:rsid w:val="004661D0"/>
    <w:rsid w:val="004701BE"/>
    <w:rsid w:val="00472110"/>
    <w:rsid w:val="0047287A"/>
    <w:rsid w:val="00473B9D"/>
    <w:rsid w:val="0047698D"/>
    <w:rsid w:val="00480EDE"/>
    <w:rsid w:val="00481AF8"/>
    <w:rsid w:val="00484BB9"/>
    <w:rsid w:val="00484CAC"/>
    <w:rsid w:val="00484E6D"/>
    <w:rsid w:val="00485BCE"/>
    <w:rsid w:val="0048621E"/>
    <w:rsid w:val="0048657A"/>
    <w:rsid w:val="00491C25"/>
    <w:rsid w:val="00491D53"/>
    <w:rsid w:val="004958FC"/>
    <w:rsid w:val="004A105A"/>
    <w:rsid w:val="004A22E8"/>
    <w:rsid w:val="004A2F77"/>
    <w:rsid w:val="004A3386"/>
    <w:rsid w:val="004A3AB1"/>
    <w:rsid w:val="004A41F8"/>
    <w:rsid w:val="004A5970"/>
    <w:rsid w:val="004A631D"/>
    <w:rsid w:val="004A78B7"/>
    <w:rsid w:val="004A7ED2"/>
    <w:rsid w:val="004B0EA7"/>
    <w:rsid w:val="004B27FB"/>
    <w:rsid w:val="004B376C"/>
    <w:rsid w:val="004B53C8"/>
    <w:rsid w:val="004B7673"/>
    <w:rsid w:val="004B7ABF"/>
    <w:rsid w:val="004C13AF"/>
    <w:rsid w:val="004C1719"/>
    <w:rsid w:val="004C2158"/>
    <w:rsid w:val="004C2609"/>
    <w:rsid w:val="004C2B25"/>
    <w:rsid w:val="004C3E83"/>
    <w:rsid w:val="004C4371"/>
    <w:rsid w:val="004C470E"/>
    <w:rsid w:val="004C6117"/>
    <w:rsid w:val="004C66D0"/>
    <w:rsid w:val="004D077A"/>
    <w:rsid w:val="004D09F0"/>
    <w:rsid w:val="004D0D74"/>
    <w:rsid w:val="004D149E"/>
    <w:rsid w:val="004D165F"/>
    <w:rsid w:val="004D1844"/>
    <w:rsid w:val="004D1C38"/>
    <w:rsid w:val="004D1CB3"/>
    <w:rsid w:val="004D241F"/>
    <w:rsid w:val="004D3D20"/>
    <w:rsid w:val="004D430C"/>
    <w:rsid w:val="004D5A7A"/>
    <w:rsid w:val="004D7A51"/>
    <w:rsid w:val="004E2272"/>
    <w:rsid w:val="004E2468"/>
    <w:rsid w:val="004E5ABC"/>
    <w:rsid w:val="004E720F"/>
    <w:rsid w:val="004F4A12"/>
    <w:rsid w:val="00500707"/>
    <w:rsid w:val="00500B49"/>
    <w:rsid w:val="00500E68"/>
    <w:rsid w:val="005023B5"/>
    <w:rsid w:val="00504E6C"/>
    <w:rsid w:val="005054CF"/>
    <w:rsid w:val="00506079"/>
    <w:rsid w:val="00506F60"/>
    <w:rsid w:val="005079E0"/>
    <w:rsid w:val="00507EE0"/>
    <w:rsid w:val="00513062"/>
    <w:rsid w:val="00513631"/>
    <w:rsid w:val="00513947"/>
    <w:rsid w:val="00513955"/>
    <w:rsid w:val="00515141"/>
    <w:rsid w:val="0051566C"/>
    <w:rsid w:val="00515678"/>
    <w:rsid w:val="00516197"/>
    <w:rsid w:val="005177DA"/>
    <w:rsid w:val="005251AD"/>
    <w:rsid w:val="00527545"/>
    <w:rsid w:val="00527A54"/>
    <w:rsid w:val="005304C2"/>
    <w:rsid w:val="005310CC"/>
    <w:rsid w:val="00531B35"/>
    <w:rsid w:val="005352A6"/>
    <w:rsid w:val="005357A0"/>
    <w:rsid w:val="00540357"/>
    <w:rsid w:val="0054336E"/>
    <w:rsid w:val="00544CEF"/>
    <w:rsid w:val="0054657C"/>
    <w:rsid w:val="00546873"/>
    <w:rsid w:val="005469C0"/>
    <w:rsid w:val="0055068A"/>
    <w:rsid w:val="00551849"/>
    <w:rsid w:val="0055672D"/>
    <w:rsid w:val="0056041A"/>
    <w:rsid w:val="00560EF2"/>
    <w:rsid w:val="00563F6D"/>
    <w:rsid w:val="005649CA"/>
    <w:rsid w:val="00566F7D"/>
    <w:rsid w:val="005703B3"/>
    <w:rsid w:val="0057774D"/>
    <w:rsid w:val="005814FE"/>
    <w:rsid w:val="005820A0"/>
    <w:rsid w:val="00585C75"/>
    <w:rsid w:val="00587E1E"/>
    <w:rsid w:val="00591431"/>
    <w:rsid w:val="0059479C"/>
    <w:rsid w:val="00597D29"/>
    <w:rsid w:val="005A0143"/>
    <w:rsid w:val="005A1E00"/>
    <w:rsid w:val="005A1FF3"/>
    <w:rsid w:val="005A4046"/>
    <w:rsid w:val="005A4F5D"/>
    <w:rsid w:val="005A6174"/>
    <w:rsid w:val="005A7145"/>
    <w:rsid w:val="005A75CE"/>
    <w:rsid w:val="005A7C55"/>
    <w:rsid w:val="005B0B30"/>
    <w:rsid w:val="005B105E"/>
    <w:rsid w:val="005B1F58"/>
    <w:rsid w:val="005B378E"/>
    <w:rsid w:val="005B4234"/>
    <w:rsid w:val="005B4D27"/>
    <w:rsid w:val="005C0A61"/>
    <w:rsid w:val="005C2175"/>
    <w:rsid w:val="005C22EF"/>
    <w:rsid w:val="005C2724"/>
    <w:rsid w:val="005D0B17"/>
    <w:rsid w:val="005D3B95"/>
    <w:rsid w:val="005D437A"/>
    <w:rsid w:val="005D4418"/>
    <w:rsid w:val="005D4631"/>
    <w:rsid w:val="005D4958"/>
    <w:rsid w:val="005D4A2B"/>
    <w:rsid w:val="005D6E76"/>
    <w:rsid w:val="005D72CA"/>
    <w:rsid w:val="005E0CEE"/>
    <w:rsid w:val="005E103C"/>
    <w:rsid w:val="005E3915"/>
    <w:rsid w:val="005E3AB6"/>
    <w:rsid w:val="005E661A"/>
    <w:rsid w:val="005F1F9D"/>
    <w:rsid w:val="005F3932"/>
    <w:rsid w:val="005F394F"/>
    <w:rsid w:val="005F4AE3"/>
    <w:rsid w:val="005F6C49"/>
    <w:rsid w:val="005F7DE0"/>
    <w:rsid w:val="00600B78"/>
    <w:rsid w:val="00601A46"/>
    <w:rsid w:val="00605F42"/>
    <w:rsid w:val="00606111"/>
    <w:rsid w:val="006074E1"/>
    <w:rsid w:val="00607EDC"/>
    <w:rsid w:val="00610C8D"/>
    <w:rsid w:val="00611796"/>
    <w:rsid w:val="00612ADC"/>
    <w:rsid w:val="00613074"/>
    <w:rsid w:val="00613C62"/>
    <w:rsid w:val="0062031C"/>
    <w:rsid w:val="00620543"/>
    <w:rsid w:val="0062062A"/>
    <w:rsid w:val="00621E88"/>
    <w:rsid w:val="00622259"/>
    <w:rsid w:val="00622DC8"/>
    <w:rsid w:val="00623022"/>
    <w:rsid w:val="00624FA6"/>
    <w:rsid w:val="00625362"/>
    <w:rsid w:val="00625946"/>
    <w:rsid w:val="00627983"/>
    <w:rsid w:val="00630996"/>
    <w:rsid w:val="00630F15"/>
    <w:rsid w:val="00631710"/>
    <w:rsid w:val="0063186C"/>
    <w:rsid w:val="00631EBB"/>
    <w:rsid w:val="0063277A"/>
    <w:rsid w:val="00634D98"/>
    <w:rsid w:val="00635957"/>
    <w:rsid w:val="00636077"/>
    <w:rsid w:val="006361BA"/>
    <w:rsid w:val="006377B6"/>
    <w:rsid w:val="00637CD6"/>
    <w:rsid w:val="00640787"/>
    <w:rsid w:val="006446DD"/>
    <w:rsid w:val="00647335"/>
    <w:rsid w:val="006477E7"/>
    <w:rsid w:val="00647F9D"/>
    <w:rsid w:val="00650186"/>
    <w:rsid w:val="006508CA"/>
    <w:rsid w:val="00652D78"/>
    <w:rsid w:val="006533C3"/>
    <w:rsid w:val="006551B8"/>
    <w:rsid w:val="006635C0"/>
    <w:rsid w:val="006647A9"/>
    <w:rsid w:val="00665358"/>
    <w:rsid w:val="006653B5"/>
    <w:rsid w:val="006705A1"/>
    <w:rsid w:val="00670A1F"/>
    <w:rsid w:val="006735F4"/>
    <w:rsid w:val="006738BA"/>
    <w:rsid w:val="0067455A"/>
    <w:rsid w:val="00674659"/>
    <w:rsid w:val="00674D60"/>
    <w:rsid w:val="006758F2"/>
    <w:rsid w:val="00676075"/>
    <w:rsid w:val="00684240"/>
    <w:rsid w:val="0068509B"/>
    <w:rsid w:val="006876B6"/>
    <w:rsid w:val="00691A06"/>
    <w:rsid w:val="00694865"/>
    <w:rsid w:val="00696F62"/>
    <w:rsid w:val="00697683"/>
    <w:rsid w:val="00697834"/>
    <w:rsid w:val="006A0767"/>
    <w:rsid w:val="006A0D54"/>
    <w:rsid w:val="006A1303"/>
    <w:rsid w:val="006A2118"/>
    <w:rsid w:val="006A5279"/>
    <w:rsid w:val="006B0FBF"/>
    <w:rsid w:val="006B47EC"/>
    <w:rsid w:val="006B6652"/>
    <w:rsid w:val="006B68D8"/>
    <w:rsid w:val="006B6D83"/>
    <w:rsid w:val="006B7D4F"/>
    <w:rsid w:val="006C1856"/>
    <w:rsid w:val="006C4B34"/>
    <w:rsid w:val="006C5683"/>
    <w:rsid w:val="006C77A8"/>
    <w:rsid w:val="006D016E"/>
    <w:rsid w:val="006D0CC1"/>
    <w:rsid w:val="006D0E98"/>
    <w:rsid w:val="006D0FB6"/>
    <w:rsid w:val="006D1D0E"/>
    <w:rsid w:val="006D1F16"/>
    <w:rsid w:val="006D75CD"/>
    <w:rsid w:val="006D765D"/>
    <w:rsid w:val="006E035D"/>
    <w:rsid w:val="006E3E7A"/>
    <w:rsid w:val="006E6784"/>
    <w:rsid w:val="006E7327"/>
    <w:rsid w:val="006E7560"/>
    <w:rsid w:val="006E7A7E"/>
    <w:rsid w:val="006F19E3"/>
    <w:rsid w:val="006F378F"/>
    <w:rsid w:val="006F3AD1"/>
    <w:rsid w:val="006F44F7"/>
    <w:rsid w:val="006F4689"/>
    <w:rsid w:val="006F4798"/>
    <w:rsid w:val="006F66EF"/>
    <w:rsid w:val="007015FF"/>
    <w:rsid w:val="00701B10"/>
    <w:rsid w:val="00701D85"/>
    <w:rsid w:val="00701E18"/>
    <w:rsid w:val="007059B1"/>
    <w:rsid w:val="00706916"/>
    <w:rsid w:val="00710E92"/>
    <w:rsid w:val="007112F2"/>
    <w:rsid w:val="0071167B"/>
    <w:rsid w:val="007131F7"/>
    <w:rsid w:val="00714BBD"/>
    <w:rsid w:val="00714EDE"/>
    <w:rsid w:val="0071547D"/>
    <w:rsid w:val="00720185"/>
    <w:rsid w:val="00721588"/>
    <w:rsid w:val="00722FCE"/>
    <w:rsid w:val="0072385C"/>
    <w:rsid w:val="0072423E"/>
    <w:rsid w:val="00726171"/>
    <w:rsid w:val="00727BCD"/>
    <w:rsid w:val="00731B99"/>
    <w:rsid w:val="00732F02"/>
    <w:rsid w:val="00733D46"/>
    <w:rsid w:val="00733F4B"/>
    <w:rsid w:val="00734630"/>
    <w:rsid w:val="0073670B"/>
    <w:rsid w:val="007374B9"/>
    <w:rsid w:val="00740A8F"/>
    <w:rsid w:val="00742876"/>
    <w:rsid w:val="0074611E"/>
    <w:rsid w:val="00746B4F"/>
    <w:rsid w:val="00747A24"/>
    <w:rsid w:val="00754F67"/>
    <w:rsid w:val="007607E8"/>
    <w:rsid w:val="007608FF"/>
    <w:rsid w:val="00760BD6"/>
    <w:rsid w:val="007626D9"/>
    <w:rsid w:val="00765357"/>
    <w:rsid w:val="00771ACE"/>
    <w:rsid w:val="00772942"/>
    <w:rsid w:val="00774F15"/>
    <w:rsid w:val="00775A6C"/>
    <w:rsid w:val="00775EF4"/>
    <w:rsid w:val="0077778C"/>
    <w:rsid w:val="00777E4B"/>
    <w:rsid w:val="00780130"/>
    <w:rsid w:val="00783730"/>
    <w:rsid w:val="00783777"/>
    <w:rsid w:val="00784486"/>
    <w:rsid w:val="0079113B"/>
    <w:rsid w:val="007918C5"/>
    <w:rsid w:val="00794513"/>
    <w:rsid w:val="00794E0D"/>
    <w:rsid w:val="00797AA8"/>
    <w:rsid w:val="007A0FB2"/>
    <w:rsid w:val="007A4625"/>
    <w:rsid w:val="007A4F58"/>
    <w:rsid w:val="007A551B"/>
    <w:rsid w:val="007A6725"/>
    <w:rsid w:val="007A7ADD"/>
    <w:rsid w:val="007B002D"/>
    <w:rsid w:val="007B2962"/>
    <w:rsid w:val="007B4476"/>
    <w:rsid w:val="007B4850"/>
    <w:rsid w:val="007C00DA"/>
    <w:rsid w:val="007C0E16"/>
    <w:rsid w:val="007C1163"/>
    <w:rsid w:val="007C6E44"/>
    <w:rsid w:val="007D073E"/>
    <w:rsid w:val="007D47BD"/>
    <w:rsid w:val="007D7C47"/>
    <w:rsid w:val="007D7FFB"/>
    <w:rsid w:val="007E0859"/>
    <w:rsid w:val="007E1078"/>
    <w:rsid w:val="007E1A43"/>
    <w:rsid w:val="007E3C0E"/>
    <w:rsid w:val="007E572E"/>
    <w:rsid w:val="007E5935"/>
    <w:rsid w:val="007E718E"/>
    <w:rsid w:val="007F065D"/>
    <w:rsid w:val="007F0C76"/>
    <w:rsid w:val="007F1231"/>
    <w:rsid w:val="007F128F"/>
    <w:rsid w:val="007F274B"/>
    <w:rsid w:val="007F33AE"/>
    <w:rsid w:val="008023A6"/>
    <w:rsid w:val="00805FA4"/>
    <w:rsid w:val="00807B59"/>
    <w:rsid w:val="00810832"/>
    <w:rsid w:val="008115C5"/>
    <w:rsid w:val="00812C70"/>
    <w:rsid w:val="0081418A"/>
    <w:rsid w:val="008149B0"/>
    <w:rsid w:val="00816B22"/>
    <w:rsid w:val="008177D7"/>
    <w:rsid w:val="00821141"/>
    <w:rsid w:val="008226C3"/>
    <w:rsid w:val="00822881"/>
    <w:rsid w:val="00822D9F"/>
    <w:rsid w:val="00826203"/>
    <w:rsid w:val="008272A5"/>
    <w:rsid w:val="008277A6"/>
    <w:rsid w:val="00827D44"/>
    <w:rsid w:val="0083090E"/>
    <w:rsid w:val="00833183"/>
    <w:rsid w:val="0083470D"/>
    <w:rsid w:val="008354D2"/>
    <w:rsid w:val="00837D85"/>
    <w:rsid w:val="00841A1C"/>
    <w:rsid w:val="008423A3"/>
    <w:rsid w:val="00842B49"/>
    <w:rsid w:val="00846074"/>
    <w:rsid w:val="00846D9D"/>
    <w:rsid w:val="00846ED0"/>
    <w:rsid w:val="0085211A"/>
    <w:rsid w:val="008521C4"/>
    <w:rsid w:val="00852297"/>
    <w:rsid w:val="008534EF"/>
    <w:rsid w:val="0085538F"/>
    <w:rsid w:val="00856C0B"/>
    <w:rsid w:val="00860C22"/>
    <w:rsid w:val="0086142A"/>
    <w:rsid w:val="00861D88"/>
    <w:rsid w:val="00862D16"/>
    <w:rsid w:val="008650B3"/>
    <w:rsid w:val="00870848"/>
    <w:rsid w:val="00871B0A"/>
    <w:rsid w:val="0087362B"/>
    <w:rsid w:val="008741E5"/>
    <w:rsid w:val="00876FA4"/>
    <w:rsid w:val="00880168"/>
    <w:rsid w:val="008827FC"/>
    <w:rsid w:val="00882B03"/>
    <w:rsid w:val="00882D3C"/>
    <w:rsid w:val="008836B2"/>
    <w:rsid w:val="00884214"/>
    <w:rsid w:val="008847ED"/>
    <w:rsid w:val="00885464"/>
    <w:rsid w:val="0088580C"/>
    <w:rsid w:val="00887D24"/>
    <w:rsid w:val="00892D3B"/>
    <w:rsid w:val="00893757"/>
    <w:rsid w:val="00895154"/>
    <w:rsid w:val="00897C87"/>
    <w:rsid w:val="00897EDC"/>
    <w:rsid w:val="008A01A8"/>
    <w:rsid w:val="008A17EB"/>
    <w:rsid w:val="008A1A43"/>
    <w:rsid w:val="008A1B66"/>
    <w:rsid w:val="008A25D8"/>
    <w:rsid w:val="008A2F12"/>
    <w:rsid w:val="008A383A"/>
    <w:rsid w:val="008A49F5"/>
    <w:rsid w:val="008A5134"/>
    <w:rsid w:val="008A6F2D"/>
    <w:rsid w:val="008B070B"/>
    <w:rsid w:val="008B6CCD"/>
    <w:rsid w:val="008C00DD"/>
    <w:rsid w:val="008C32AB"/>
    <w:rsid w:val="008C5774"/>
    <w:rsid w:val="008C579E"/>
    <w:rsid w:val="008D0FCF"/>
    <w:rsid w:val="008D2CE6"/>
    <w:rsid w:val="008D37F6"/>
    <w:rsid w:val="008D3A63"/>
    <w:rsid w:val="008D4614"/>
    <w:rsid w:val="008D4FA8"/>
    <w:rsid w:val="008D50D7"/>
    <w:rsid w:val="008D5B54"/>
    <w:rsid w:val="008D6266"/>
    <w:rsid w:val="008D7983"/>
    <w:rsid w:val="008D7EFA"/>
    <w:rsid w:val="008E160E"/>
    <w:rsid w:val="008E2169"/>
    <w:rsid w:val="008E37E1"/>
    <w:rsid w:val="008E390E"/>
    <w:rsid w:val="008E3BE0"/>
    <w:rsid w:val="008E404E"/>
    <w:rsid w:val="008F09A9"/>
    <w:rsid w:val="008F0F83"/>
    <w:rsid w:val="008F1584"/>
    <w:rsid w:val="008F1EC9"/>
    <w:rsid w:val="008F33F1"/>
    <w:rsid w:val="008F48D5"/>
    <w:rsid w:val="008F4F82"/>
    <w:rsid w:val="008F51FF"/>
    <w:rsid w:val="008F6E88"/>
    <w:rsid w:val="008F6FF9"/>
    <w:rsid w:val="00900963"/>
    <w:rsid w:val="00901184"/>
    <w:rsid w:val="009047D2"/>
    <w:rsid w:val="0090492C"/>
    <w:rsid w:val="00905818"/>
    <w:rsid w:val="00911B3C"/>
    <w:rsid w:val="009121FF"/>
    <w:rsid w:val="009129DC"/>
    <w:rsid w:val="00912C64"/>
    <w:rsid w:val="00913148"/>
    <w:rsid w:val="00914DF6"/>
    <w:rsid w:val="009208D8"/>
    <w:rsid w:val="00922DBD"/>
    <w:rsid w:val="0092387F"/>
    <w:rsid w:val="00923B0E"/>
    <w:rsid w:val="00925F3A"/>
    <w:rsid w:val="00926505"/>
    <w:rsid w:val="009265C0"/>
    <w:rsid w:val="00926F0E"/>
    <w:rsid w:val="00930194"/>
    <w:rsid w:val="00932CA4"/>
    <w:rsid w:val="00935573"/>
    <w:rsid w:val="009356A2"/>
    <w:rsid w:val="0093617A"/>
    <w:rsid w:val="00936FDF"/>
    <w:rsid w:val="0093726B"/>
    <w:rsid w:val="00940E25"/>
    <w:rsid w:val="00941587"/>
    <w:rsid w:val="009469BE"/>
    <w:rsid w:val="00946C27"/>
    <w:rsid w:val="0094797C"/>
    <w:rsid w:val="00947DC2"/>
    <w:rsid w:val="00951FDE"/>
    <w:rsid w:val="00954FC6"/>
    <w:rsid w:val="009577FB"/>
    <w:rsid w:val="00957FBC"/>
    <w:rsid w:val="00960420"/>
    <w:rsid w:val="00960714"/>
    <w:rsid w:val="009622C0"/>
    <w:rsid w:val="0096255F"/>
    <w:rsid w:val="009636D9"/>
    <w:rsid w:val="00965E1A"/>
    <w:rsid w:val="00967975"/>
    <w:rsid w:val="00967C6A"/>
    <w:rsid w:val="009704FB"/>
    <w:rsid w:val="0097527E"/>
    <w:rsid w:val="009807AB"/>
    <w:rsid w:val="009832ED"/>
    <w:rsid w:val="00984BBA"/>
    <w:rsid w:val="00985FC1"/>
    <w:rsid w:val="00986F7E"/>
    <w:rsid w:val="00991785"/>
    <w:rsid w:val="00993E9F"/>
    <w:rsid w:val="00994B34"/>
    <w:rsid w:val="00994EF3"/>
    <w:rsid w:val="00995804"/>
    <w:rsid w:val="00997376"/>
    <w:rsid w:val="00997577"/>
    <w:rsid w:val="009A03A4"/>
    <w:rsid w:val="009A200B"/>
    <w:rsid w:val="009A2383"/>
    <w:rsid w:val="009A4EB4"/>
    <w:rsid w:val="009B27E5"/>
    <w:rsid w:val="009B48C4"/>
    <w:rsid w:val="009B4970"/>
    <w:rsid w:val="009B529C"/>
    <w:rsid w:val="009B54CB"/>
    <w:rsid w:val="009B73C8"/>
    <w:rsid w:val="009C1C52"/>
    <w:rsid w:val="009C2EA4"/>
    <w:rsid w:val="009C7CDB"/>
    <w:rsid w:val="009D1A9A"/>
    <w:rsid w:val="009D1DBB"/>
    <w:rsid w:val="009D2D68"/>
    <w:rsid w:val="009D7913"/>
    <w:rsid w:val="009D7B56"/>
    <w:rsid w:val="009E0ECA"/>
    <w:rsid w:val="009E1A09"/>
    <w:rsid w:val="009E318C"/>
    <w:rsid w:val="009E4D2D"/>
    <w:rsid w:val="009E63A4"/>
    <w:rsid w:val="009E7589"/>
    <w:rsid w:val="009E76C1"/>
    <w:rsid w:val="009F2F77"/>
    <w:rsid w:val="009F3981"/>
    <w:rsid w:val="009F4D87"/>
    <w:rsid w:val="009F70E9"/>
    <w:rsid w:val="009F7168"/>
    <w:rsid w:val="00A0003B"/>
    <w:rsid w:val="00A00B4A"/>
    <w:rsid w:val="00A01039"/>
    <w:rsid w:val="00A02290"/>
    <w:rsid w:val="00A031E2"/>
    <w:rsid w:val="00A07664"/>
    <w:rsid w:val="00A0777B"/>
    <w:rsid w:val="00A101DF"/>
    <w:rsid w:val="00A10251"/>
    <w:rsid w:val="00A13230"/>
    <w:rsid w:val="00A15AA8"/>
    <w:rsid w:val="00A16360"/>
    <w:rsid w:val="00A21AD2"/>
    <w:rsid w:val="00A25D84"/>
    <w:rsid w:val="00A31D12"/>
    <w:rsid w:val="00A36AD9"/>
    <w:rsid w:val="00A4337D"/>
    <w:rsid w:val="00A507CF"/>
    <w:rsid w:val="00A50878"/>
    <w:rsid w:val="00A51787"/>
    <w:rsid w:val="00A52025"/>
    <w:rsid w:val="00A528A2"/>
    <w:rsid w:val="00A52DAD"/>
    <w:rsid w:val="00A55420"/>
    <w:rsid w:val="00A56ED0"/>
    <w:rsid w:val="00A579D3"/>
    <w:rsid w:val="00A65BD1"/>
    <w:rsid w:val="00A66894"/>
    <w:rsid w:val="00A74211"/>
    <w:rsid w:val="00A74B74"/>
    <w:rsid w:val="00A765E8"/>
    <w:rsid w:val="00A80198"/>
    <w:rsid w:val="00A809BC"/>
    <w:rsid w:val="00A80EE0"/>
    <w:rsid w:val="00A8114B"/>
    <w:rsid w:val="00A81AA5"/>
    <w:rsid w:val="00A84886"/>
    <w:rsid w:val="00A85694"/>
    <w:rsid w:val="00A87028"/>
    <w:rsid w:val="00A90299"/>
    <w:rsid w:val="00A92927"/>
    <w:rsid w:val="00A93BF0"/>
    <w:rsid w:val="00A94C94"/>
    <w:rsid w:val="00A95B35"/>
    <w:rsid w:val="00A95D44"/>
    <w:rsid w:val="00A96295"/>
    <w:rsid w:val="00A968AB"/>
    <w:rsid w:val="00A97DD5"/>
    <w:rsid w:val="00AA4138"/>
    <w:rsid w:val="00AA463E"/>
    <w:rsid w:val="00AA69EF"/>
    <w:rsid w:val="00AB2DA2"/>
    <w:rsid w:val="00AB3915"/>
    <w:rsid w:val="00AB4B34"/>
    <w:rsid w:val="00AB4DE5"/>
    <w:rsid w:val="00AB7B24"/>
    <w:rsid w:val="00AC0309"/>
    <w:rsid w:val="00AC0716"/>
    <w:rsid w:val="00AC5BEF"/>
    <w:rsid w:val="00AC68BE"/>
    <w:rsid w:val="00AC6EEA"/>
    <w:rsid w:val="00AC737D"/>
    <w:rsid w:val="00AD0028"/>
    <w:rsid w:val="00AD1D3F"/>
    <w:rsid w:val="00AD3477"/>
    <w:rsid w:val="00AD5C29"/>
    <w:rsid w:val="00AD7BF5"/>
    <w:rsid w:val="00AE00B6"/>
    <w:rsid w:val="00AE0220"/>
    <w:rsid w:val="00AE2F29"/>
    <w:rsid w:val="00AE4FA9"/>
    <w:rsid w:val="00AE5F4A"/>
    <w:rsid w:val="00AE7C82"/>
    <w:rsid w:val="00AF2CAB"/>
    <w:rsid w:val="00AF30A5"/>
    <w:rsid w:val="00AF3186"/>
    <w:rsid w:val="00AF42DE"/>
    <w:rsid w:val="00AF5B6E"/>
    <w:rsid w:val="00B0059D"/>
    <w:rsid w:val="00B03339"/>
    <w:rsid w:val="00B03BD4"/>
    <w:rsid w:val="00B042CE"/>
    <w:rsid w:val="00B057CB"/>
    <w:rsid w:val="00B10136"/>
    <w:rsid w:val="00B10591"/>
    <w:rsid w:val="00B10C49"/>
    <w:rsid w:val="00B11637"/>
    <w:rsid w:val="00B116B8"/>
    <w:rsid w:val="00B16DFE"/>
    <w:rsid w:val="00B207AF"/>
    <w:rsid w:val="00B21476"/>
    <w:rsid w:val="00B23EB4"/>
    <w:rsid w:val="00B25D3E"/>
    <w:rsid w:val="00B27EC9"/>
    <w:rsid w:val="00B27FD9"/>
    <w:rsid w:val="00B30CA1"/>
    <w:rsid w:val="00B320DC"/>
    <w:rsid w:val="00B35A8E"/>
    <w:rsid w:val="00B37860"/>
    <w:rsid w:val="00B40062"/>
    <w:rsid w:val="00B4014F"/>
    <w:rsid w:val="00B40ED7"/>
    <w:rsid w:val="00B418F3"/>
    <w:rsid w:val="00B42947"/>
    <w:rsid w:val="00B42A17"/>
    <w:rsid w:val="00B435EC"/>
    <w:rsid w:val="00B45635"/>
    <w:rsid w:val="00B50F34"/>
    <w:rsid w:val="00B51233"/>
    <w:rsid w:val="00B52044"/>
    <w:rsid w:val="00B53898"/>
    <w:rsid w:val="00B539A1"/>
    <w:rsid w:val="00B53C15"/>
    <w:rsid w:val="00B54494"/>
    <w:rsid w:val="00B544C1"/>
    <w:rsid w:val="00B54E70"/>
    <w:rsid w:val="00B57DA6"/>
    <w:rsid w:val="00B60D39"/>
    <w:rsid w:val="00B615CC"/>
    <w:rsid w:val="00B6291B"/>
    <w:rsid w:val="00B62AF0"/>
    <w:rsid w:val="00B63459"/>
    <w:rsid w:val="00B63944"/>
    <w:rsid w:val="00B6539C"/>
    <w:rsid w:val="00B66246"/>
    <w:rsid w:val="00B7023F"/>
    <w:rsid w:val="00B70844"/>
    <w:rsid w:val="00B711AA"/>
    <w:rsid w:val="00B7268A"/>
    <w:rsid w:val="00B75EB1"/>
    <w:rsid w:val="00B762A2"/>
    <w:rsid w:val="00B7630C"/>
    <w:rsid w:val="00B800F9"/>
    <w:rsid w:val="00B81F70"/>
    <w:rsid w:val="00B823D5"/>
    <w:rsid w:val="00B828CB"/>
    <w:rsid w:val="00B83046"/>
    <w:rsid w:val="00B83409"/>
    <w:rsid w:val="00B8430E"/>
    <w:rsid w:val="00B85482"/>
    <w:rsid w:val="00B87ECB"/>
    <w:rsid w:val="00B90A08"/>
    <w:rsid w:val="00B93137"/>
    <w:rsid w:val="00B9451F"/>
    <w:rsid w:val="00B955C4"/>
    <w:rsid w:val="00B97897"/>
    <w:rsid w:val="00B97B65"/>
    <w:rsid w:val="00BA0228"/>
    <w:rsid w:val="00BA1172"/>
    <w:rsid w:val="00BA7125"/>
    <w:rsid w:val="00BB1FA7"/>
    <w:rsid w:val="00BB1FC8"/>
    <w:rsid w:val="00BB32F0"/>
    <w:rsid w:val="00BB3343"/>
    <w:rsid w:val="00BB3543"/>
    <w:rsid w:val="00BB3C10"/>
    <w:rsid w:val="00BB473F"/>
    <w:rsid w:val="00BC043A"/>
    <w:rsid w:val="00BC05A6"/>
    <w:rsid w:val="00BC10C2"/>
    <w:rsid w:val="00BC1448"/>
    <w:rsid w:val="00BC1CFB"/>
    <w:rsid w:val="00BC273A"/>
    <w:rsid w:val="00BC7FE7"/>
    <w:rsid w:val="00BD10A6"/>
    <w:rsid w:val="00BD2895"/>
    <w:rsid w:val="00BD3393"/>
    <w:rsid w:val="00BD3CB9"/>
    <w:rsid w:val="00BD3E31"/>
    <w:rsid w:val="00BD78DB"/>
    <w:rsid w:val="00BE1FA8"/>
    <w:rsid w:val="00BE4454"/>
    <w:rsid w:val="00BE50AA"/>
    <w:rsid w:val="00BE5121"/>
    <w:rsid w:val="00BE7048"/>
    <w:rsid w:val="00BE7316"/>
    <w:rsid w:val="00BE74A0"/>
    <w:rsid w:val="00BE7C55"/>
    <w:rsid w:val="00BF00E3"/>
    <w:rsid w:val="00BF04A6"/>
    <w:rsid w:val="00BF0C5F"/>
    <w:rsid w:val="00BF2612"/>
    <w:rsid w:val="00C00400"/>
    <w:rsid w:val="00C04C22"/>
    <w:rsid w:val="00C06503"/>
    <w:rsid w:val="00C10827"/>
    <w:rsid w:val="00C10985"/>
    <w:rsid w:val="00C11964"/>
    <w:rsid w:val="00C12D3D"/>
    <w:rsid w:val="00C14277"/>
    <w:rsid w:val="00C15714"/>
    <w:rsid w:val="00C17376"/>
    <w:rsid w:val="00C22FB5"/>
    <w:rsid w:val="00C233EF"/>
    <w:rsid w:val="00C236F4"/>
    <w:rsid w:val="00C239E3"/>
    <w:rsid w:val="00C24669"/>
    <w:rsid w:val="00C24B4C"/>
    <w:rsid w:val="00C25C0F"/>
    <w:rsid w:val="00C31A20"/>
    <w:rsid w:val="00C3321C"/>
    <w:rsid w:val="00C346F5"/>
    <w:rsid w:val="00C352B8"/>
    <w:rsid w:val="00C356E8"/>
    <w:rsid w:val="00C471ED"/>
    <w:rsid w:val="00C5056D"/>
    <w:rsid w:val="00C50F95"/>
    <w:rsid w:val="00C51373"/>
    <w:rsid w:val="00C51C2E"/>
    <w:rsid w:val="00C55D4A"/>
    <w:rsid w:val="00C607C9"/>
    <w:rsid w:val="00C63497"/>
    <w:rsid w:val="00C64B15"/>
    <w:rsid w:val="00C65823"/>
    <w:rsid w:val="00C6615E"/>
    <w:rsid w:val="00C678C9"/>
    <w:rsid w:val="00C67F24"/>
    <w:rsid w:val="00C706A2"/>
    <w:rsid w:val="00C70D93"/>
    <w:rsid w:val="00C71B5C"/>
    <w:rsid w:val="00C72207"/>
    <w:rsid w:val="00C72782"/>
    <w:rsid w:val="00C730A2"/>
    <w:rsid w:val="00C75154"/>
    <w:rsid w:val="00C75F85"/>
    <w:rsid w:val="00C76D9F"/>
    <w:rsid w:val="00C83898"/>
    <w:rsid w:val="00C867BC"/>
    <w:rsid w:val="00C924ED"/>
    <w:rsid w:val="00C93A21"/>
    <w:rsid w:val="00C94E7B"/>
    <w:rsid w:val="00C95002"/>
    <w:rsid w:val="00C954D7"/>
    <w:rsid w:val="00C97795"/>
    <w:rsid w:val="00CA3630"/>
    <w:rsid w:val="00CA3C2E"/>
    <w:rsid w:val="00CA4EA1"/>
    <w:rsid w:val="00CA5E1B"/>
    <w:rsid w:val="00CA6F12"/>
    <w:rsid w:val="00CA74C4"/>
    <w:rsid w:val="00CA75DC"/>
    <w:rsid w:val="00CA7800"/>
    <w:rsid w:val="00CA7D25"/>
    <w:rsid w:val="00CB070F"/>
    <w:rsid w:val="00CB1587"/>
    <w:rsid w:val="00CB1C06"/>
    <w:rsid w:val="00CB2234"/>
    <w:rsid w:val="00CB4C87"/>
    <w:rsid w:val="00CB5849"/>
    <w:rsid w:val="00CB5D46"/>
    <w:rsid w:val="00CB5E73"/>
    <w:rsid w:val="00CB5E98"/>
    <w:rsid w:val="00CB6330"/>
    <w:rsid w:val="00CC10D4"/>
    <w:rsid w:val="00CC28B8"/>
    <w:rsid w:val="00CC39D2"/>
    <w:rsid w:val="00CC42C0"/>
    <w:rsid w:val="00CC788B"/>
    <w:rsid w:val="00CD4346"/>
    <w:rsid w:val="00CD5699"/>
    <w:rsid w:val="00CD70EB"/>
    <w:rsid w:val="00CD719F"/>
    <w:rsid w:val="00CE19AC"/>
    <w:rsid w:val="00CE3410"/>
    <w:rsid w:val="00CE3F16"/>
    <w:rsid w:val="00CE5938"/>
    <w:rsid w:val="00CE7F33"/>
    <w:rsid w:val="00CF08FF"/>
    <w:rsid w:val="00CF4CC3"/>
    <w:rsid w:val="00CF4FB0"/>
    <w:rsid w:val="00CF549A"/>
    <w:rsid w:val="00D01691"/>
    <w:rsid w:val="00D02A99"/>
    <w:rsid w:val="00D06875"/>
    <w:rsid w:val="00D122BE"/>
    <w:rsid w:val="00D14592"/>
    <w:rsid w:val="00D14AF9"/>
    <w:rsid w:val="00D1530C"/>
    <w:rsid w:val="00D159D3"/>
    <w:rsid w:val="00D1613E"/>
    <w:rsid w:val="00D1658D"/>
    <w:rsid w:val="00D17D6C"/>
    <w:rsid w:val="00D202DB"/>
    <w:rsid w:val="00D20C24"/>
    <w:rsid w:val="00D2126B"/>
    <w:rsid w:val="00D212DA"/>
    <w:rsid w:val="00D22C38"/>
    <w:rsid w:val="00D22CEB"/>
    <w:rsid w:val="00D253BF"/>
    <w:rsid w:val="00D31D9A"/>
    <w:rsid w:val="00D3358E"/>
    <w:rsid w:val="00D33621"/>
    <w:rsid w:val="00D34E70"/>
    <w:rsid w:val="00D34F74"/>
    <w:rsid w:val="00D3529F"/>
    <w:rsid w:val="00D35A55"/>
    <w:rsid w:val="00D363E8"/>
    <w:rsid w:val="00D36D0C"/>
    <w:rsid w:val="00D401AA"/>
    <w:rsid w:val="00D41486"/>
    <w:rsid w:val="00D4173D"/>
    <w:rsid w:val="00D42CA7"/>
    <w:rsid w:val="00D43886"/>
    <w:rsid w:val="00D46922"/>
    <w:rsid w:val="00D47AED"/>
    <w:rsid w:val="00D50089"/>
    <w:rsid w:val="00D517BA"/>
    <w:rsid w:val="00D54568"/>
    <w:rsid w:val="00D54959"/>
    <w:rsid w:val="00D552EC"/>
    <w:rsid w:val="00D56729"/>
    <w:rsid w:val="00D60CBE"/>
    <w:rsid w:val="00D620D5"/>
    <w:rsid w:val="00D62469"/>
    <w:rsid w:val="00D635CE"/>
    <w:rsid w:val="00D64AE7"/>
    <w:rsid w:val="00D64E17"/>
    <w:rsid w:val="00D65068"/>
    <w:rsid w:val="00D7092D"/>
    <w:rsid w:val="00D73A3F"/>
    <w:rsid w:val="00D76054"/>
    <w:rsid w:val="00D7798B"/>
    <w:rsid w:val="00D80A98"/>
    <w:rsid w:val="00D81F0D"/>
    <w:rsid w:val="00D83A49"/>
    <w:rsid w:val="00D8769C"/>
    <w:rsid w:val="00D90F5D"/>
    <w:rsid w:val="00D91F71"/>
    <w:rsid w:val="00D95793"/>
    <w:rsid w:val="00D95959"/>
    <w:rsid w:val="00DA356A"/>
    <w:rsid w:val="00DA5F89"/>
    <w:rsid w:val="00DA6586"/>
    <w:rsid w:val="00DA6C89"/>
    <w:rsid w:val="00DA6F5F"/>
    <w:rsid w:val="00DB034C"/>
    <w:rsid w:val="00DB0EBE"/>
    <w:rsid w:val="00DB5096"/>
    <w:rsid w:val="00DB7918"/>
    <w:rsid w:val="00DB7A15"/>
    <w:rsid w:val="00DC11F6"/>
    <w:rsid w:val="00DC3562"/>
    <w:rsid w:val="00DC682E"/>
    <w:rsid w:val="00DC6F5D"/>
    <w:rsid w:val="00DC70EB"/>
    <w:rsid w:val="00DD25CB"/>
    <w:rsid w:val="00DD269D"/>
    <w:rsid w:val="00DD4827"/>
    <w:rsid w:val="00DD7C82"/>
    <w:rsid w:val="00DE141D"/>
    <w:rsid w:val="00DE1518"/>
    <w:rsid w:val="00DE1C01"/>
    <w:rsid w:val="00DE2088"/>
    <w:rsid w:val="00DE6A97"/>
    <w:rsid w:val="00DF0DB1"/>
    <w:rsid w:val="00DF184E"/>
    <w:rsid w:val="00DF29F0"/>
    <w:rsid w:val="00DF6863"/>
    <w:rsid w:val="00E014E8"/>
    <w:rsid w:val="00E01C94"/>
    <w:rsid w:val="00E02F60"/>
    <w:rsid w:val="00E04924"/>
    <w:rsid w:val="00E070F1"/>
    <w:rsid w:val="00E07BA5"/>
    <w:rsid w:val="00E10A8C"/>
    <w:rsid w:val="00E11685"/>
    <w:rsid w:val="00E1701D"/>
    <w:rsid w:val="00E17F01"/>
    <w:rsid w:val="00E20D38"/>
    <w:rsid w:val="00E223F6"/>
    <w:rsid w:val="00E229A5"/>
    <w:rsid w:val="00E22CF0"/>
    <w:rsid w:val="00E241F8"/>
    <w:rsid w:val="00E24BDF"/>
    <w:rsid w:val="00E26DA7"/>
    <w:rsid w:val="00E26DFA"/>
    <w:rsid w:val="00E2789D"/>
    <w:rsid w:val="00E30C1B"/>
    <w:rsid w:val="00E312DC"/>
    <w:rsid w:val="00E31AB6"/>
    <w:rsid w:val="00E33514"/>
    <w:rsid w:val="00E367F4"/>
    <w:rsid w:val="00E37302"/>
    <w:rsid w:val="00E400E4"/>
    <w:rsid w:val="00E40304"/>
    <w:rsid w:val="00E41BB9"/>
    <w:rsid w:val="00E4348E"/>
    <w:rsid w:val="00E44566"/>
    <w:rsid w:val="00E44B80"/>
    <w:rsid w:val="00E45898"/>
    <w:rsid w:val="00E468DD"/>
    <w:rsid w:val="00E510C9"/>
    <w:rsid w:val="00E55C4A"/>
    <w:rsid w:val="00E6073F"/>
    <w:rsid w:val="00E6212D"/>
    <w:rsid w:val="00E666BF"/>
    <w:rsid w:val="00E67AA3"/>
    <w:rsid w:val="00E67BE7"/>
    <w:rsid w:val="00E70BE7"/>
    <w:rsid w:val="00E74111"/>
    <w:rsid w:val="00E742A2"/>
    <w:rsid w:val="00E760FB"/>
    <w:rsid w:val="00E76353"/>
    <w:rsid w:val="00E770CC"/>
    <w:rsid w:val="00E801A1"/>
    <w:rsid w:val="00E81739"/>
    <w:rsid w:val="00E8236B"/>
    <w:rsid w:val="00E82BDD"/>
    <w:rsid w:val="00E8416D"/>
    <w:rsid w:val="00E844CC"/>
    <w:rsid w:val="00E855A5"/>
    <w:rsid w:val="00E902BF"/>
    <w:rsid w:val="00E91400"/>
    <w:rsid w:val="00E96D6C"/>
    <w:rsid w:val="00E97DB3"/>
    <w:rsid w:val="00EA1A63"/>
    <w:rsid w:val="00EA1C2B"/>
    <w:rsid w:val="00EA2475"/>
    <w:rsid w:val="00EA3C72"/>
    <w:rsid w:val="00EA3F0B"/>
    <w:rsid w:val="00EA4674"/>
    <w:rsid w:val="00EA53D0"/>
    <w:rsid w:val="00EA632D"/>
    <w:rsid w:val="00EB1875"/>
    <w:rsid w:val="00EB1FF2"/>
    <w:rsid w:val="00EB32BB"/>
    <w:rsid w:val="00EB3500"/>
    <w:rsid w:val="00EB362B"/>
    <w:rsid w:val="00EB4172"/>
    <w:rsid w:val="00EB6AF0"/>
    <w:rsid w:val="00EC361C"/>
    <w:rsid w:val="00EC647D"/>
    <w:rsid w:val="00EC7A62"/>
    <w:rsid w:val="00ED01CC"/>
    <w:rsid w:val="00EE1190"/>
    <w:rsid w:val="00EE217C"/>
    <w:rsid w:val="00EE2334"/>
    <w:rsid w:val="00EE2569"/>
    <w:rsid w:val="00EE4519"/>
    <w:rsid w:val="00EE49E1"/>
    <w:rsid w:val="00EE5AFB"/>
    <w:rsid w:val="00EE5CD9"/>
    <w:rsid w:val="00EE6DFA"/>
    <w:rsid w:val="00EE72AE"/>
    <w:rsid w:val="00EF0CE5"/>
    <w:rsid w:val="00EF1118"/>
    <w:rsid w:val="00EF4AAF"/>
    <w:rsid w:val="00EF4CD9"/>
    <w:rsid w:val="00EF6ACD"/>
    <w:rsid w:val="00EF6CC8"/>
    <w:rsid w:val="00EF789C"/>
    <w:rsid w:val="00F007A0"/>
    <w:rsid w:val="00F02549"/>
    <w:rsid w:val="00F05792"/>
    <w:rsid w:val="00F1043A"/>
    <w:rsid w:val="00F10BCD"/>
    <w:rsid w:val="00F10E14"/>
    <w:rsid w:val="00F1132A"/>
    <w:rsid w:val="00F1175C"/>
    <w:rsid w:val="00F13CDE"/>
    <w:rsid w:val="00F14070"/>
    <w:rsid w:val="00F14A61"/>
    <w:rsid w:val="00F14D7C"/>
    <w:rsid w:val="00F14EC4"/>
    <w:rsid w:val="00F17B9C"/>
    <w:rsid w:val="00F20FAB"/>
    <w:rsid w:val="00F212C1"/>
    <w:rsid w:val="00F232B9"/>
    <w:rsid w:val="00F241C1"/>
    <w:rsid w:val="00F252FB"/>
    <w:rsid w:val="00F306DA"/>
    <w:rsid w:val="00F32779"/>
    <w:rsid w:val="00F33081"/>
    <w:rsid w:val="00F336FE"/>
    <w:rsid w:val="00F33E41"/>
    <w:rsid w:val="00F34649"/>
    <w:rsid w:val="00F34F88"/>
    <w:rsid w:val="00F36A81"/>
    <w:rsid w:val="00F42F29"/>
    <w:rsid w:val="00F4356A"/>
    <w:rsid w:val="00F43FF1"/>
    <w:rsid w:val="00F450C9"/>
    <w:rsid w:val="00F450E7"/>
    <w:rsid w:val="00F46D5E"/>
    <w:rsid w:val="00F504AF"/>
    <w:rsid w:val="00F50C02"/>
    <w:rsid w:val="00F51122"/>
    <w:rsid w:val="00F511D1"/>
    <w:rsid w:val="00F51FCB"/>
    <w:rsid w:val="00F55351"/>
    <w:rsid w:val="00F56BD1"/>
    <w:rsid w:val="00F57A16"/>
    <w:rsid w:val="00F6101E"/>
    <w:rsid w:val="00F61549"/>
    <w:rsid w:val="00F61C1D"/>
    <w:rsid w:val="00F62E4B"/>
    <w:rsid w:val="00F65E0B"/>
    <w:rsid w:val="00F67A72"/>
    <w:rsid w:val="00F71646"/>
    <w:rsid w:val="00F726D8"/>
    <w:rsid w:val="00F73FD6"/>
    <w:rsid w:val="00F751E8"/>
    <w:rsid w:val="00F755A2"/>
    <w:rsid w:val="00F80207"/>
    <w:rsid w:val="00F80510"/>
    <w:rsid w:val="00F80D46"/>
    <w:rsid w:val="00F81314"/>
    <w:rsid w:val="00F82C00"/>
    <w:rsid w:val="00F8381A"/>
    <w:rsid w:val="00F847DE"/>
    <w:rsid w:val="00F936F5"/>
    <w:rsid w:val="00F940B1"/>
    <w:rsid w:val="00F94961"/>
    <w:rsid w:val="00F94F85"/>
    <w:rsid w:val="00F95695"/>
    <w:rsid w:val="00F962B5"/>
    <w:rsid w:val="00FA0836"/>
    <w:rsid w:val="00FA22E9"/>
    <w:rsid w:val="00FA4B61"/>
    <w:rsid w:val="00FA4C48"/>
    <w:rsid w:val="00FB026D"/>
    <w:rsid w:val="00FB1692"/>
    <w:rsid w:val="00FB3016"/>
    <w:rsid w:val="00FB44B2"/>
    <w:rsid w:val="00FB71C1"/>
    <w:rsid w:val="00FB71E4"/>
    <w:rsid w:val="00FB7362"/>
    <w:rsid w:val="00FC1065"/>
    <w:rsid w:val="00FC1636"/>
    <w:rsid w:val="00FC4FB1"/>
    <w:rsid w:val="00FC6428"/>
    <w:rsid w:val="00FD0418"/>
    <w:rsid w:val="00FD29A2"/>
    <w:rsid w:val="00FD2BFB"/>
    <w:rsid w:val="00FD32A2"/>
    <w:rsid w:val="00FD60CA"/>
    <w:rsid w:val="00FD6923"/>
    <w:rsid w:val="00FD6AB3"/>
    <w:rsid w:val="00FD6F76"/>
    <w:rsid w:val="00FE004A"/>
    <w:rsid w:val="00FE3169"/>
    <w:rsid w:val="00FE46EE"/>
    <w:rsid w:val="00FE4A41"/>
    <w:rsid w:val="00FE68FD"/>
    <w:rsid w:val="00FE7419"/>
    <w:rsid w:val="00FF252A"/>
    <w:rsid w:val="00FF3D9D"/>
    <w:rsid w:val="00FF617A"/>
    <w:rsid w:val="00FF67BD"/>
    <w:rsid w:val="00FF729F"/>
    <w:rsid w:val="00FF798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4C89D"/>
  <w15:docId w15:val="{1918CBC6-AF68-4EE3-BD65-3572ECB0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014259970">
      <w:bodyDiv w:val="1"/>
      <w:marLeft w:val="0"/>
      <w:marRight w:val="0"/>
      <w:marTop w:val="0"/>
      <w:marBottom w:val="0"/>
      <w:divBdr>
        <w:top w:val="none" w:sz="0" w:space="0" w:color="auto"/>
        <w:left w:val="none" w:sz="0" w:space="0" w:color="auto"/>
        <w:bottom w:val="none" w:sz="0" w:space="0" w:color="auto"/>
        <w:right w:val="none" w:sz="0" w:space="0" w:color="auto"/>
      </w:divBdr>
    </w:div>
    <w:div w:id="1256592947">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KLink@xoserve.com" TargetMode="External"/><Relationship Id="rId26" Type="http://schemas.openxmlformats.org/officeDocument/2006/relationships/hyperlink" Target="https://www.gasgovernance.co.uk/0860" TargetMode="External"/><Relationship Id="rId3" Type="http://schemas.openxmlformats.org/officeDocument/2006/relationships/customXml" Target="../customXml/item3.xml"/><Relationship Id="rId21" Type="http://schemas.openxmlformats.org/officeDocument/2006/relationships/hyperlink" Target="https://www.gasgovernance.co.uk/sites/default/files/ggf/2023-06/Consolidated%20Minutes%20Transmission%2001Jun23%20v1.0.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phil.lucas@nationalgas.com" TargetMode="External"/><Relationship Id="rId25" Type="http://schemas.openxmlformats.org/officeDocument/2006/relationships/hyperlink" Target="https://www.gasgovernance.co.uk/sites/default/files/ggf/page/2023-03/18%20TPD%20Section%20Q%20-%20Emergencies.pdf" TargetMode="External"/><Relationship Id="rId2" Type="http://schemas.openxmlformats.org/officeDocument/2006/relationships/customXml" Target="../customXml/item2.xml"/><Relationship Id="rId16" Type="http://schemas.openxmlformats.org/officeDocument/2006/relationships/hyperlink" Target="mailto:lauren.jauss@rwe.com" TargetMode="External"/><Relationship Id="rId20" Type="http://schemas.openxmlformats.org/officeDocument/2006/relationships/hyperlink" Target="https://www.gasgovernance.co.uk/sites/default/files/ggf/2023-06/Consolidated%20Minutes%20Transmission%2001Jun23%20v1.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asgovernance.co.uk/sites/default/files/ggf/page/2023-04/12%20TPD%20Section%20J%20-%20Exit%20Requirements.pdf"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assets.publishing.service.gov.uk/government/uploads/system/uploads/attachment_data/file/1175172/national-emergency-plan-downstream-gas-and-electricity.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ationalgas.com/contact-us/stakeholder-resourc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gasgovernance.co.uk" TargetMode="External"/><Relationship Id="rId22" Type="http://schemas.openxmlformats.org/officeDocument/2006/relationships/hyperlink" Target="https://www.nationalgas.com/contact-us/stakeholder-resources" TargetMode="External"/><Relationship Id="rId27" Type="http://schemas.openxmlformats.org/officeDocument/2006/relationships/hyperlink" Target="https://www.gasgovernance.co.uk/086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ec6a2768c395e9a46b9e3f5e54fa15c4">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ee83ea3158b7fe38d5a357fbb9f9c78f"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lcf76f155ced4ddcb4097134ff3c332f xmlns="ca249c35-2c41-4717-8384-495d9b737fa7">
      <Terms xmlns="http://schemas.microsoft.com/office/infopath/2007/PartnerControls"/>
    </lcf76f155ced4ddcb4097134ff3c332f>
    <TaxCatchAll xmlns="3ee84ff3-1fa2-4b0e-bbc1-9d3729ac2ba9" xsi:nil="true"/>
  </documentManagement>
</p:properties>
</file>

<file path=customXml/itemProps1.xml><?xml version="1.0" encoding="utf-8"?>
<ds:datastoreItem xmlns:ds="http://schemas.openxmlformats.org/officeDocument/2006/customXml" ds:itemID="{562DA86A-9F91-430B-B37F-B69A89C8D1FE}">
  <ds:schemaRefs>
    <ds:schemaRef ds:uri="http://schemas.microsoft.com/sharepoint/v3/contenttype/forms"/>
  </ds:schemaRefs>
</ds:datastoreItem>
</file>

<file path=customXml/itemProps2.xml><?xml version="1.0" encoding="utf-8"?>
<ds:datastoreItem xmlns:ds="http://schemas.openxmlformats.org/officeDocument/2006/customXml" ds:itemID="{37E4C7F8-9CEA-4FBE-9946-A700A596A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4.xml><?xml version="1.0" encoding="utf-8"?>
<ds:datastoreItem xmlns:ds="http://schemas.openxmlformats.org/officeDocument/2006/customXml" ds:itemID="{80C61EA1-5D5F-4A2F-9F13-8086CEEBC0EC}">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3608</Words>
  <Characters>19525</Characters>
  <Application>Microsoft Office Word</Application>
  <DocSecurity>0</DocSecurity>
  <Lines>433</Lines>
  <Paragraphs>265</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22868</CharactersWithSpaces>
  <SharedDoc>false</SharedDoc>
  <HyperlinkBase/>
  <HLinks>
    <vt:vector size="66" baseType="variant">
      <vt:variant>
        <vt:i4>5308429</vt:i4>
      </vt:variant>
      <vt:variant>
        <vt:i4>57</vt:i4>
      </vt:variant>
      <vt:variant>
        <vt:i4>0</vt:i4>
      </vt:variant>
      <vt:variant>
        <vt:i4>5</vt:i4>
      </vt:variant>
      <vt:variant>
        <vt:lpwstr>https://www.gasgovernance.co.uk/gendocshttps:/www.gasgovernance.co.uk/gendocs</vt:lpwstr>
      </vt:variant>
      <vt:variant>
        <vt:lpwstr/>
      </vt:variant>
      <vt:variant>
        <vt:i4>3080297</vt:i4>
      </vt:variant>
      <vt:variant>
        <vt:i4>54</vt:i4>
      </vt:variant>
      <vt:variant>
        <vt:i4>0</vt:i4>
      </vt:variant>
      <vt:variant>
        <vt:i4>5</vt:i4>
      </vt:variant>
      <vt:variant>
        <vt:lpwstr>https://www.ofgem.gov.uk/licences-codes-and-standards/codes/industry-codes-work/code-administration-code-practice-cacop</vt:lpwstr>
      </vt:variant>
      <vt:variant>
        <vt:lpwstr/>
      </vt:variant>
      <vt:variant>
        <vt:i4>4456543</vt:i4>
      </vt:variant>
      <vt:variant>
        <vt:i4>51</vt:i4>
      </vt:variant>
      <vt:variant>
        <vt:i4>0</vt:i4>
      </vt:variant>
      <vt:variant>
        <vt:i4>5</vt:i4>
      </vt:variant>
      <vt:variant>
        <vt:lpwstr>https://www.ofgem.gov.uk/publications-and-updates/guidance-treatment-carbon-costs-under-current-industry-code-objectives</vt:lpwstr>
      </vt:variant>
      <vt:variant>
        <vt:lpwstr/>
      </vt:variant>
      <vt:variant>
        <vt:i4>3538987</vt:i4>
      </vt:variant>
      <vt:variant>
        <vt:i4>48</vt:i4>
      </vt:variant>
      <vt:variant>
        <vt:i4>0</vt:i4>
      </vt:variant>
      <vt:variant>
        <vt:i4>5</vt:i4>
      </vt:variant>
      <vt:variant>
        <vt:lpwstr>https://www.ofgem.gov.uk/about-us/our-priorities-and-objectives</vt:lpwstr>
      </vt:variant>
      <vt:variant>
        <vt:lpwstr/>
      </vt:variant>
      <vt:variant>
        <vt:i4>5177364</vt:i4>
      </vt:variant>
      <vt:variant>
        <vt:i4>45</vt:i4>
      </vt:variant>
      <vt:variant>
        <vt:i4>0</vt:i4>
      </vt:variant>
      <vt:variant>
        <vt:i4>5</vt:i4>
      </vt:variant>
      <vt:variant>
        <vt:lpwstr>https://www.gasgovernance.co.uk/mods</vt:lpwstr>
      </vt:variant>
      <vt:variant>
        <vt:lpwstr/>
      </vt:variant>
      <vt:variant>
        <vt:i4>6815836</vt:i4>
      </vt:variant>
      <vt:variant>
        <vt:i4>42</vt:i4>
      </vt:variant>
      <vt:variant>
        <vt:i4>0</vt:i4>
      </vt:variant>
      <vt:variant>
        <vt:i4>5</vt:i4>
      </vt:variant>
      <vt:variant>
        <vt:lpwstr>mailto:UKLink@xoserve.com</vt:lpwstr>
      </vt:variant>
      <vt:variant>
        <vt:lpwstr/>
      </vt:variant>
      <vt:variant>
        <vt:i4>5767218</vt:i4>
      </vt:variant>
      <vt:variant>
        <vt:i4>39</vt:i4>
      </vt:variant>
      <vt:variant>
        <vt:i4>0</vt:i4>
      </vt:variant>
      <vt:variant>
        <vt:i4>5</vt:i4>
      </vt:variant>
      <vt:variant>
        <vt:lpwstr>mailto:enquiries@gasgovernance.co.uk</vt:lpwstr>
      </vt:variant>
      <vt:variant>
        <vt:lpwstr/>
      </vt:variant>
      <vt:variant>
        <vt:i4>6488127</vt:i4>
      </vt:variant>
      <vt:variant>
        <vt:i4>3</vt:i4>
      </vt:variant>
      <vt:variant>
        <vt:i4>0</vt:i4>
      </vt:variant>
      <vt:variant>
        <vt:i4>5</vt:i4>
      </vt:variant>
      <vt:variant>
        <vt:lpwstr>https://www.ofgem.gov.uk/licences-industry-codes-and-standards/industry-code-governance/code-administration-code-practice-cacop</vt:lpwstr>
      </vt:variant>
      <vt:variant>
        <vt:lpwstr/>
      </vt:variant>
      <vt:variant>
        <vt:i4>196618</vt:i4>
      </vt:variant>
      <vt:variant>
        <vt:i4>0</vt:i4>
      </vt:variant>
      <vt:variant>
        <vt:i4>0</vt:i4>
      </vt:variant>
      <vt:variant>
        <vt:i4>5</vt:i4>
      </vt:variant>
      <vt:variant>
        <vt:lpwstr>https://www.gasgovernance.co.uk/unc/templates</vt:lpwstr>
      </vt:variant>
      <vt:variant>
        <vt:lpwstr/>
      </vt:variant>
      <vt:variant>
        <vt:i4>196618</vt:i4>
      </vt:variant>
      <vt:variant>
        <vt:i4>3</vt:i4>
      </vt:variant>
      <vt:variant>
        <vt:i4>0</vt:i4>
      </vt:variant>
      <vt:variant>
        <vt:i4>5</vt:i4>
      </vt:variant>
      <vt:variant>
        <vt:lpwstr>https://www.gasgovernance.co.uk/unc/templates</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Helen Cuin</cp:lastModifiedBy>
  <cp:revision>27</cp:revision>
  <cp:lastPrinted>2024-06-25T15:21:00Z</cp:lastPrinted>
  <dcterms:created xsi:type="dcterms:W3CDTF">2024-06-25T13:59:00Z</dcterms:created>
  <dcterms:modified xsi:type="dcterms:W3CDTF">2024-06-25T15:22:00Z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4bd71501f80fd72887f5ae321ea60b4136182857b76c7ebee7b77268cfd25e24</vt:lpwstr>
  </property>
  <property fmtid="{D5CDD505-2E9C-101B-9397-08002B2CF9AE}" pid="4" name="MediaServiceImageTags">
    <vt:lpwstr/>
  </property>
</Properties>
</file>