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BE1E" w14:textId="67450D96" w:rsidR="008B4330" w:rsidRDefault="00EF1467" w:rsidP="00EF1467">
      <w:pPr>
        <w:pStyle w:val="Heading1"/>
        <w:spacing w:after="60"/>
        <w:rPr>
          <w:sz w:val="36"/>
          <w:szCs w:val="36"/>
        </w:rPr>
      </w:pPr>
      <w:r w:rsidRPr="00EF1467">
        <w:rPr>
          <w:sz w:val="36"/>
          <w:szCs w:val="36"/>
        </w:rPr>
        <w:t xml:space="preserve">Review of OAD Section G </w:t>
      </w:r>
      <w:r w:rsidR="009E0B08">
        <w:rPr>
          <w:sz w:val="36"/>
          <w:szCs w:val="36"/>
        </w:rPr>
        <w:t>(</w:t>
      </w:r>
      <w:r w:rsidRPr="00EF1467">
        <w:rPr>
          <w:sz w:val="36"/>
          <w:szCs w:val="36"/>
        </w:rPr>
        <w:t>Maintenance</w:t>
      </w:r>
      <w:r w:rsidR="009E0B08">
        <w:rPr>
          <w:sz w:val="36"/>
          <w:szCs w:val="36"/>
        </w:rPr>
        <w:t>)</w:t>
      </w:r>
      <w:r w:rsidRPr="00EF1467">
        <w:rPr>
          <w:sz w:val="36"/>
          <w:szCs w:val="36"/>
        </w:rPr>
        <w:t xml:space="preserve"> Arrangements</w:t>
      </w:r>
    </w:p>
    <w:p w14:paraId="0F46FBB7" w14:textId="301C9B77" w:rsidR="00EF1467" w:rsidRPr="003C68C4" w:rsidRDefault="00EF1467" w:rsidP="00EF1467">
      <w:pPr>
        <w:rPr>
          <w:b/>
          <w:bCs/>
          <w:color w:val="1B1C1B" w:themeColor="text1" w:themeShade="80"/>
          <w:sz w:val="28"/>
          <w:szCs w:val="28"/>
        </w:rPr>
      </w:pPr>
      <w:r w:rsidRPr="003C68C4">
        <w:rPr>
          <w:b/>
          <w:bCs/>
          <w:color w:val="1B1C1B" w:themeColor="text1" w:themeShade="80"/>
          <w:sz w:val="28"/>
          <w:szCs w:val="28"/>
        </w:rPr>
        <w:t xml:space="preserve">Scope Requirements for Workshop Review </w:t>
      </w:r>
    </w:p>
    <w:p w14:paraId="50C20503" w14:textId="77777777" w:rsidR="00EF1467" w:rsidRPr="00EF1467" w:rsidRDefault="00EF1467" w:rsidP="00EF1467"/>
    <w:p w14:paraId="63D2463C" w14:textId="5FAB066E" w:rsidR="008B4330" w:rsidRDefault="00EF1467" w:rsidP="008B4330">
      <w:pPr>
        <w:pStyle w:val="Heading2"/>
      </w:pPr>
      <w:r>
        <w:t>Background</w:t>
      </w:r>
    </w:p>
    <w:p w14:paraId="14DD54A0" w14:textId="4284FB2A" w:rsidR="00156BEA" w:rsidRPr="00C51694" w:rsidRDefault="00C35EF8" w:rsidP="00822312">
      <w:pPr>
        <w:pStyle w:val="BodyText1"/>
        <w:spacing w:after="180"/>
        <w:jc w:val="both"/>
        <w:rPr>
          <w:color w:val="292929"/>
          <w:szCs w:val="20"/>
        </w:rPr>
      </w:pPr>
      <w:r w:rsidRPr="00C51694">
        <w:rPr>
          <w:color w:val="292929"/>
          <w:szCs w:val="20"/>
        </w:rPr>
        <w:t xml:space="preserve">At the </w:t>
      </w:r>
      <w:r w:rsidR="0071025B" w:rsidRPr="00C51694">
        <w:rPr>
          <w:color w:val="292929"/>
          <w:szCs w:val="20"/>
        </w:rPr>
        <w:t>Offtake Arrangements Workgroup</w:t>
      </w:r>
      <w:r w:rsidR="007F0DFC">
        <w:rPr>
          <w:color w:val="292929"/>
          <w:szCs w:val="20"/>
        </w:rPr>
        <w:t xml:space="preserve"> (OAW)</w:t>
      </w:r>
      <w:r w:rsidR="0071025B" w:rsidRPr="00C51694">
        <w:rPr>
          <w:color w:val="292929"/>
          <w:szCs w:val="20"/>
        </w:rPr>
        <w:t xml:space="preserve"> on 30.01.24 Cadent presented a proposal </w:t>
      </w:r>
      <w:r w:rsidR="00C85492" w:rsidRPr="00C51694">
        <w:rPr>
          <w:color w:val="292929"/>
          <w:szCs w:val="20"/>
        </w:rPr>
        <w:t>for the review of the maintenance arrangements that are currently documented under Section G of the OAD framework.</w:t>
      </w:r>
    </w:p>
    <w:p w14:paraId="00D0F76C" w14:textId="59AB2F0B" w:rsidR="004F2DE1" w:rsidRPr="00C51694" w:rsidRDefault="00225A05" w:rsidP="00822312">
      <w:pPr>
        <w:pStyle w:val="BodyText1"/>
        <w:spacing w:after="180"/>
        <w:jc w:val="both"/>
        <w:rPr>
          <w:color w:val="292929"/>
          <w:szCs w:val="20"/>
        </w:rPr>
      </w:pPr>
      <w:r w:rsidRPr="00C51694">
        <w:rPr>
          <w:szCs w:val="20"/>
        </w:rPr>
        <w:t xml:space="preserve">The </w:t>
      </w:r>
      <w:r w:rsidR="00484173" w:rsidRPr="00C51694">
        <w:rPr>
          <w:szCs w:val="20"/>
        </w:rPr>
        <w:t>rationale for this this review was</w:t>
      </w:r>
      <w:r w:rsidR="00F108CA" w:rsidRPr="00C51694">
        <w:rPr>
          <w:szCs w:val="20"/>
        </w:rPr>
        <w:t xml:space="preserve"> </w:t>
      </w:r>
      <w:r w:rsidR="001530C7" w:rsidRPr="00C51694">
        <w:rPr>
          <w:szCs w:val="20"/>
        </w:rPr>
        <w:t>on the basis that t</w:t>
      </w:r>
      <w:r w:rsidRPr="00C51694">
        <w:rPr>
          <w:szCs w:val="20"/>
        </w:rPr>
        <w:t>he OAD maintenance requirements have not been modified since they were first implemented in 2005.</w:t>
      </w:r>
      <w:r w:rsidR="007B6771" w:rsidRPr="00C51694">
        <w:rPr>
          <w:szCs w:val="20"/>
        </w:rPr>
        <w:t xml:space="preserve"> </w:t>
      </w:r>
      <w:r w:rsidRPr="00C51694">
        <w:rPr>
          <w:szCs w:val="20"/>
        </w:rPr>
        <w:t xml:space="preserve"> Change is necessary to ensure</w:t>
      </w:r>
      <w:r w:rsidR="007B6771" w:rsidRPr="00C51694">
        <w:rPr>
          <w:szCs w:val="20"/>
        </w:rPr>
        <w:t xml:space="preserve"> that the maintenance arrangements a</w:t>
      </w:r>
      <w:r w:rsidRPr="00C51694">
        <w:rPr>
          <w:szCs w:val="20"/>
        </w:rPr>
        <w:t>re fit for purpose going forward</w:t>
      </w:r>
      <w:r w:rsidR="007C176A" w:rsidRPr="00C51694">
        <w:rPr>
          <w:szCs w:val="20"/>
        </w:rPr>
        <w:t xml:space="preserve">, that they </w:t>
      </w:r>
      <w:r w:rsidR="001439BC" w:rsidRPr="00C51694">
        <w:rPr>
          <w:szCs w:val="20"/>
        </w:rPr>
        <w:t xml:space="preserve">align with current </w:t>
      </w:r>
      <w:r w:rsidR="007C176A" w:rsidRPr="00C51694">
        <w:rPr>
          <w:szCs w:val="20"/>
        </w:rPr>
        <w:t xml:space="preserve">working </w:t>
      </w:r>
      <w:r w:rsidR="001439BC" w:rsidRPr="00C51694">
        <w:rPr>
          <w:szCs w:val="20"/>
        </w:rPr>
        <w:t>practices</w:t>
      </w:r>
      <w:r w:rsidR="00356C2E" w:rsidRPr="00C51694">
        <w:rPr>
          <w:szCs w:val="20"/>
        </w:rPr>
        <w:t xml:space="preserve"> that already exist between operators</w:t>
      </w:r>
      <w:r w:rsidR="001439BC" w:rsidRPr="00C51694">
        <w:rPr>
          <w:szCs w:val="20"/>
        </w:rPr>
        <w:t>,</w:t>
      </w:r>
      <w:r w:rsidRPr="00C51694">
        <w:rPr>
          <w:szCs w:val="20"/>
        </w:rPr>
        <w:t xml:space="preserve"> and</w:t>
      </w:r>
      <w:r w:rsidR="001439BC" w:rsidRPr="00C51694">
        <w:rPr>
          <w:szCs w:val="20"/>
        </w:rPr>
        <w:t xml:space="preserve"> also</w:t>
      </w:r>
      <w:r w:rsidRPr="00C51694">
        <w:rPr>
          <w:szCs w:val="20"/>
        </w:rPr>
        <w:t xml:space="preserve"> </w:t>
      </w:r>
      <w:r w:rsidR="001439BC" w:rsidRPr="00C51694">
        <w:rPr>
          <w:szCs w:val="20"/>
        </w:rPr>
        <w:t xml:space="preserve">require </w:t>
      </w:r>
      <w:r w:rsidR="00CC7F9A" w:rsidRPr="00C51694">
        <w:rPr>
          <w:szCs w:val="20"/>
        </w:rPr>
        <w:t xml:space="preserve">the </w:t>
      </w:r>
      <w:r w:rsidRPr="00C51694">
        <w:rPr>
          <w:szCs w:val="20"/>
        </w:rPr>
        <w:t xml:space="preserve">consistent application between </w:t>
      </w:r>
      <w:r w:rsidR="00356C2E" w:rsidRPr="00C51694">
        <w:rPr>
          <w:szCs w:val="20"/>
        </w:rPr>
        <w:t>parties</w:t>
      </w:r>
      <w:r w:rsidR="00BE53D5" w:rsidRPr="00C51694">
        <w:rPr>
          <w:szCs w:val="20"/>
        </w:rPr>
        <w:t xml:space="preserve"> for compliance effectiveness</w:t>
      </w:r>
      <w:r w:rsidRPr="00C51694">
        <w:rPr>
          <w:szCs w:val="20"/>
        </w:rPr>
        <w:t>.</w:t>
      </w:r>
    </w:p>
    <w:p w14:paraId="7270F759" w14:textId="75F59148" w:rsidR="004F2DE1" w:rsidRPr="00C51694" w:rsidRDefault="00225A05" w:rsidP="00822312">
      <w:pPr>
        <w:pStyle w:val="BodyText1"/>
        <w:spacing w:after="180"/>
        <w:jc w:val="both"/>
        <w:rPr>
          <w:color w:val="292929"/>
          <w:szCs w:val="20"/>
        </w:rPr>
      </w:pPr>
      <w:r w:rsidRPr="00C51694">
        <w:rPr>
          <w:szCs w:val="20"/>
        </w:rPr>
        <w:t xml:space="preserve">The key drivers for the </w:t>
      </w:r>
      <w:r w:rsidR="003536C9" w:rsidRPr="00C51694">
        <w:rPr>
          <w:szCs w:val="20"/>
        </w:rPr>
        <w:t xml:space="preserve">proposed </w:t>
      </w:r>
      <w:r w:rsidRPr="00C51694">
        <w:rPr>
          <w:szCs w:val="20"/>
        </w:rPr>
        <w:t xml:space="preserve">changes </w:t>
      </w:r>
      <w:r w:rsidR="001530C7" w:rsidRPr="00C51694">
        <w:rPr>
          <w:szCs w:val="20"/>
        </w:rPr>
        <w:t xml:space="preserve">were </w:t>
      </w:r>
      <w:r w:rsidRPr="00C51694">
        <w:rPr>
          <w:szCs w:val="20"/>
        </w:rPr>
        <w:t xml:space="preserve">identified </w:t>
      </w:r>
      <w:r w:rsidR="00260A9B" w:rsidRPr="00C51694">
        <w:rPr>
          <w:szCs w:val="20"/>
        </w:rPr>
        <w:t>as</w:t>
      </w:r>
      <w:r w:rsidRPr="00C51694">
        <w:rPr>
          <w:szCs w:val="20"/>
        </w:rPr>
        <w:t xml:space="preserve">: </w:t>
      </w:r>
    </w:p>
    <w:p w14:paraId="4118BFA8" w14:textId="1249294D" w:rsidR="004F2DE1" w:rsidRPr="00C51694" w:rsidRDefault="00260A9B" w:rsidP="00822312">
      <w:pPr>
        <w:pStyle w:val="BodyText1"/>
        <w:numPr>
          <w:ilvl w:val="0"/>
          <w:numId w:val="26"/>
        </w:numPr>
        <w:spacing w:after="180"/>
        <w:jc w:val="both"/>
        <w:rPr>
          <w:color w:val="292929"/>
          <w:szCs w:val="20"/>
        </w:rPr>
      </w:pPr>
      <w:r w:rsidRPr="00C51694">
        <w:rPr>
          <w:szCs w:val="20"/>
        </w:rPr>
        <w:t xml:space="preserve">The current </w:t>
      </w:r>
      <w:r w:rsidR="007A36BA" w:rsidRPr="00C51694">
        <w:rPr>
          <w:szCs w:val="20"/>
        </w:rPr>
        <w:t>arrangements</w:t>
      </w:r>
      <w:r w:rsidR="00225A05" w:rsidRPr="00C51694">
        <w:rPr>
          <w:szCs w:val="20"/>
        </w:rPr>
        <w:t xml:space="preserve"> do not support how operators, plan, schedule and deliver maintenance in line with industry and engineering governance requirements; </w:t>
      </w:r>
    </w:p>
    <w:p w14:paraId="7C372581" w14:textId="6A3AF5CA" w:rsidR="004F2DE1" w:rsidRPr="00C51694" w:rsidRDefault="00225A05" w:rsidP="00822312">
      <w:pPr>
        <w:pStyle w:val="BodyText1"/>
        <w:numPr>
          <w:ilvl w:val="0"/>
          <w:numId w:val="26"/>
        </w:numPr>
        <w:spacing w:after="180"/>
        <w:jc w:val="both"/>
        <w:rPr>
          <w:color w:val="292929"/>
          <w:szCs w:val="20"/>
        </w:rPr>
      </w:pPr>
      <w:r w:rsidRPr="00C51694">
        <w:rPr>
          <w:szCs w:val="20"/>
        </w:rPr>
        <w:t xml:space="preserve">Some </w:t>
      </w:r>
      <w:r w:rsidR="00196DAE" w:rsidRPr="00C51694">
        <w:rPr>
          <w:szCs w:val="20"/>
        </w:rPr>
        <w:t xml:space="preserve">existing </w:t>
      </w:r>
      <w:r w:rsidRPr="00C51694">
        <w:rPr>
          <w:szCs w:val="20"/>
        </w:rPr>
        <w:t xml:space="preserve">arrangements create inefficient and non-value adding requirements for operators to comply with; </w:t>
      </w:r>
    </w:p>
    <w:p w14:paraId="03B51178" w14:textId="393DFBAA" w:rsidR="004F2DE1" w:rsidRPr="00C51694" w:rsidRDefault="00225A05" w:rsidP="00822312">
      <w:pPr>
        <w:pStyle w:val="BodyText1"/>
        <w:numPr>
          <w:ilvl w:val="0"/>
          <w:numId w:val="26"/>
        </w:numPr>
        <w:spacing w:after="180"/>
        <w:jc w:val="both"/>
        <w:rPr>
          <w:color w:val="292929"/>
          <w:szCs w:val="20"/>
        </w:rPr>
      </w:pPr>
      <w:r w:rsidRPr="00C51694">
        <w:rPr>
          <w:szCs w:val="20"/>
        </w:rPr>
        <w:t>It is unclear, unambiguous and inconsistent as to what maintenance must be notified between operators</w:t>
      </w:r>
      <w:r w:rsidR="007A36BA" w:rsidRPr="00C51694">
        <w:rPr>
          <w:szCs w:val="20"/>
        </w:rPr>
        <w:t>; and</w:t>
      </w:r>
      <w:r w:rsidRPr="00C51694">
        <w:rPr>
          <w:szCs w:val="20"/>
        </w:rPr>
        <w:t xml:space="preserve"> </w:t>
      </w:r>
    </w:p>
    <w:p w14:paraId="2F5C9BF4" w14:textId="4B0247E7" w:rsidR="004F2DE1" w:rsidRPr="00C51694" w:rsidRDefault="00225A05" w:rsidP="00BF7AF3">
      <w:pPr>
        <w:pStyle w:val="BodyText1"/>
        <w:numPr>
          <w:ilvl w:val="0"/>
          <w:numId w:val="26"/>
        </w:numPr>
        <w:spacing w:after="240"/>
        <w:ind w:left="714" w:hanging="357"/>
        <w:jc w:val="both"/>
        <w:rPr>
          <w:color w:val="292929"/>
          <w:szCs w:val="20"/>
        </w:rPr>
      </w:pPr>
      <w:r w:rsidRPr="00C51694">
        <w:rPr>
          <w:szCs w:val="20"/>
        </w:rPr>
        <w:t>Clear delineation between maintenance requirement and OAD notification process is needed to ensure activities are reviewed</w:t>
      </w:r>
      <w:r w:rsidR="00C423A4" w:rsidRPr="00C51694">
        <w:rPr>
          <w:szCs w:val="20"/>
        </w:rPr>
        <w:t xml:space="preserve"> appropriately</w:t>
      </w:r>
      <w:r w:rsidRPr="00C51694">
        <w:rPr>
          <w:szCs w:val="20"/>
        </w:rPr>
        <w:t>;</w:t>
      </w:r>
    </w:p>
    <w:p w14:paraId="4FAEE385" w14:textId="2904B873" w:rsidR="00D0479D" w:rsidRPr="00C51694" w:rsidRDefault="00822312" w:rsidP="00BF7AF3">
      <w:pPr>
        <w:pStyle w:val="BodyText1"/>
        <w:spacing w:after="180"/>
        <w:jc w:val="both"/>
        <w:rPr>
          <w:szCs w:val="20"/>
        </w:rPr>
      </w:pPr>
      <w:r w:rsidRPr="00C51694">
        <w:rPr>
          <w:szCs w:val="20"/>
        </w:rPr>
        <w:t xml:space="preserve">An initial review of the </w:t>
      </w:r>
      <w:r w:rsidR="00632B92" w:rsidRPr="00C51694">
        <w:rPr>
          <w:szCs w:val="20"/>
        </w:rPr>
        <w:t>Section G requirements was undertaken by the operators</w:t>
      </w:r>
      <w:r w:rsidR="008A26E7" w:rsidRPr="00C51694">
        <w:rPr>
          <w:szCs w:val="20"/>
        </w:rPr>
        <w:t>, as</w:t>
      </w:r>
      <w:r w:rsidR="00225A05" w:rsidRPr="00C51694">
        <w:rPr>
          <w:szCs w:val="20"/>
        </w:rPr>
        <w:t xml:space="preserve"> part of the work</w:t>
      </w:r>
      <w:r w:rsidR="000D26D1" w:rsidRPr="00C51694">
        <w:rPr>
          <w:szCs w:val="20"/>
        </w:rPr>
        <w:t xml:space="preserve"> the</w:t>
      </w:r>
      <w:r w:rsidR="00225A05" w:rsidRPr="00C51694">
        <w:rPr>
          <w:szCs w:val="20"/>
        </w:rPr>
        <w:t xml:space="preserve"> 0646R Workgroup</w:t>
      </w:r>
      <w:r w:rsidR="000D26D1" w:rsidRPr="00C51694">
        <w:rPr>
          <w:szCs w:val="20"/>
        </w:rPr>
        <w:t>, back in</w:t>
      </w:r>
      <w:r w:rsidR="001E7CC6" w:rsidRPr="00C51694">
        <w:rPr>
          <w:szCs w:val="20"/>
        </w:rPr>
        <w:t xml:space="preserve"> September</w:t>
      </w:r>
      <w:r w:rsidR="00225A05" w:rsidRPr="00C51694">
        <w:rPr>
          <w:szCs w:val="20"/>
        </w:rPr>
        <w:t xml:space="preserve"> 2018.</w:t>
      </w:r>
      <w:r w:rsidR="00D0479D" w:rsidRPr="00C51694">
        <w:rPr>
          <w:szCs w:val="20"/>
        </w:rPr>
        <w:t xml:space="preserve">  The key outcomes from th</w:t>
      </w:r>
      <w:r w:rsidR="00C34B03" w:rsidRPr="00C51694">
        <w:rPr>
          <w:szCs w:val="20"/>
        </w:rPr>
        <w:t xml:space="preserve">is </w:t>
      </w:r>
      <w:r w:rsidR="00D0479D" w:rsidRPr="00C51694">
        <w:rPr>
          <w:szCs w:val="20"/>
        </w:rPr>
        <w:t>review were:</w:t>
      </w:r>
    </w:p>
    <w:p w14:paraId="52338062" w14:textId="4FD233FF" w:rsidR="00D0479D" w:rsidRPr="00C51694" w:rsidRDefault="008563F1" w:rsidP="00D0479D">
      <w:pPr>
        <w:pStyle w:val="BodyText1"/>
        <w:numPr>
          <w:ilvl w:val="0"/>
          <w:numId w:val="27"/>
        </w:numPr>
        <w:spacing w:after="180"/>
        <w:jc w:val="both"/>
        <w:rPr>
          <w:szCs w:val="20"/>
        </w:rPr>
      </w:pPr>
      <w:r w:rsidRPr="00C51694">
        <w:rPr>
          <w:szCs w:val="20"/>
        </w:rPr>
        <w:t xml:space="preserve">The current process is triggered by the DNO who provides a maintenance plan to </w:t>
      </w:r>
      <w:r w:rsidR="00DE43BB" w:rsidRPr="00C51694">
        <w:rPr>
          <w:szCs w:val="20"/>
        </w:rPr>
        <w:t>upstream</w:t>
      </w:r>
      <w:r w:rsidR="003169D0" w:rsidRPr="00C51694">
        <w:rPr>
          <w:szCs w:val="20"/>
        </w:rPr>
        <w:t>/</w:t>
      </w:r>
      <w:r w:rsidR="00DE43BB" w:rsidRPr="00C51694">
        <w:rPr>
          <w:szCs w:val="20"/>
        </w:rPr>
        <w:t>other operator</w:t>
      </w:r>
      <w:r w:rsidRPr="00C51694">
        <w:rPr>
          <w:szCs w:val="20"/>
        </w:rPr>
        <w:t xml:space="preserve"> to review.  </w:t>
      </w:r>
      <w:r w:rsidR="00CB012E" w:rsidRPr="00C51694">
        <w:rPr>
          <w:szCs w:val="20"/>
        </w:rPr>
        <w:t xml:space="preserve">It was agreed in principle that </w:t>
      </w:r>
      <w:r w:rsidRPr="00C51694">
        <w:rPr>
          <w:szCs w:val="20"/>
        </w:rPr>
        <w:t>National G</w:t>
      </w:r>
      <w:r w:rsidR="00CB012E" w:rsidRPr="00C51694">
        <w:rPr>
          <w:szCs w:val="20"/>
        </w:rPr>
        <w:t>as should initiate the process</w:t>
      </w:r>
      <w:r w:rsidR="001B7B47" w:rsidRPr="00C51694">
        <w:rPr>
          <w:szCs w:val="20"/>
        </w:rPr>
        <w:t xml:space="preserve"> rather than the DNO’s.</w:t>
      </w:r>
    </w:p>
    <w:p w14:paraId="43AF7B95" w14:textId="77777777" w:rsidR="00D92BE5" w:rsidRPr="00C51694" w:rsidRDefault="00D92BE5" w:rsidP="00D92BE5">
      <w:pPr>
        <w:pStyle w:val="BodyText1"/>
        <w:numPr>
          <w:ilvl w:val="0"/>
          <w:numId w:val="27"/>
        </w:numPr>
        <w:spacing w:after="180"/>
        <w:jc w:val="both"/>
        <w:rPr>
          <w:szCs w:val="20"/>
        </w:rPr>
      </w:pPr>
      <w:r w:rsidRPr="00C51694">
        <w:rPr>
          <w:szCs w:val="20"/>
        </w:rPr>
        <w:t xml:space="preserve">The parties broadly agreed that the maintenance activities that required notification under the Section G could defined.  These were outlined initially as: </w:t>
      </w:r>
    </w:p>
    <w:p w14:paraId="3E24CF55" w14:textId="77777777" w:rsidR="00D92BE5" w:rsidRPr="00C51694" w:rsidRDefault="00D92BE5" w:rsidP="00D92BE5">
      <w:pPr>
        <w:pStyle w:val="BodyText1"/>
        <w:numPr>
          <w:ilvl w:val="1"/>
          <w:numId w:val="27"/>
        </w:numPr>
        <w:spacing w:after="60"/>
        <w:jc w:val="both"/>
        <w:rPr>
          <w:sz w:val="18"/>
          <w:szCs w:val="18"/>
        </w:rPr>
      </w:pPr>
      <w:r w:rsidRPr="00C51694">
        <w:rPr>
          <w:sz w:val="18"/>
          <w:szCs w:val="18"/>
        </w:rPr>
        <w:t>Major Construction activities (including restriction of site access)</w:t>
      </w:r>
    </w:p>
    <w:p w14:paraId="2532BF4E" w14:textId="77777777" w:rsidR="00D92BE5" w:rsidRPr="00C51694" w:rsidRDefault="00D92BE5" w:rsidP="00D92BE5">
      <w:pPr>
        <w:pStyle w:val="BodyText1"/>
        <w:numPr>
          <w:ilvl w:val="1"/>
          <w:numId w:val="27"/>
        </w:numPr>
        <w:spacing w:after="60"/>
        <w:jc w:val="both"/>
        <w:rPr>
          <w:sz w:val="18"/>
          <w:szCs w:val="18"/>
        </w:rPr>
      </w:pPr>
      <w:r w:rsidRPr="00C51694">
        <w:rPr>
          <w:sz w:val="18"/>
          <w:szCs w:val="18"/>
        </w:rPr>
        <w:t>Long-frequency Major Maintenance (i.e. ILI, ME2, WBH’s)</w:t>
      </w:r>
    </w:p>
    <w:p w14:paraId="52E58FE8" w14:textId="63F5C5D4" w:rsidR="00D92BE5" w:rsidRPr="00C51694" w:rsidRDefault="00D92BE5" w:rsidP="00436918">
      <w:pPr>
        <w:pStyle w:val="BodyText1"/>
        <w:numPr>
          <w:ilvl w:val="1"/>
          <w:numId w:val="27"/>
        </w:numPr>
        <w:spacing w:after="180"/>
        <w:ind w:left="1497" w:hanging="357"/>
        <w:jc w:val="both"/>
        <w:rPr>
          <w:sz w:val="18"/>
          <w:szCs w:val="18"/>
        </w:rPr>
      </w:pPr>
      <w:r w:rsidRPr="00C51694">
        <w:rPr>
          <w:sz w:val="18"/>
          <w:szCs w:val="18"/>
        </w:rPr>
        <w:t xml:space="preserve">Significant Impact </w:t>
      </w:r>
    </w:p>
    <w:p w14:paraId="72107563" w14:textId="4B5744AB" w:rsidR="003169D0" w:rsidRPr="00C51694" w:rsidRDefault="00D32691" w:rsidP="00D0479D">
      <w:pPr>
        <w:pStyle w:val="BodyText1"/>
        <w:numPr>
          <w:ilvl w:val="0"/>
          <w:numId w:val="27"/>
        </w:numPr>
        <w:spacing w:after="180"/>
        <w:jc w:val="both"/>
        <w:rPr>
          <w:szCs w:val="20"/>
        </w:rPr>
      </w:pPr>
      <w:r w:rsidRPr="00C51694">
        <w:rPr>
          <w:szCs w:val="20"/>
        </w:rPr>
        <w:t>Agreement was needed between the parties as to what maintenance activities required NRO’s</w:t>
      </w:r>
      <w:r w:rsidR="00937893" w:rsidRPr="00C51694">
        <w:rPr>
          <w:szCs w:val="20"/>
        </w:rPr>
        <w:t xml:space="preserve"> and therefore cross network controller sign-off.</w:t>
      </w:r>
    </w:p>
    <w:p w14:paraId="7D251BB1" w14:textId="50B52CC7" w:rsidR="00937893" w:rsidRPr="00C51694" w:rsidRDefault="00FE4737" w:rsidP="00D0479D">
      <w:pPr>
        <w:pStyle w:val="BodyText1"/>
        <w:numPr>
          <w:ilvl w:val="0"/>
          <w:numId w:val="27"/>
        </w:numPr>
        <w:spacing w:after="180"/>
        <w:jc w:val="both"/>
        <w:rPr>
          <w:szCs w:val="20"/>
        </w:rPr>
      </w:pPr>
      <w:r w:rsidRPr="00C51694">
        <w:rPr>
          <w:szCs w:val="20"/>
        </w:rPr>
        <w:t>A standard format should be adopted for all maintenance plan submissions.</w:t>
      </w:r>
    </w:p>
    <w:p w14:paraId="35640FA6" w14:textId="18B27CCD" w:rsidR="00BC11F0" w:rsidRDefault="00225A05" w:rsidP="008A26E7">
      <w:pPr>
        <w:pStyle w:val="BodyText1"/>
        <w:spacing w:after="180"/>
        <w:jc w:val="both"/>
        <w:rPr>
          <w:szCs w:val="20"/>
        </w:rPr>
      </w:pPr>
      <w:r w:rsidRPr="00C51694">
        <w:rPr>
          <w:szCs w:val="20"/>
        </w:rPr>
        <w:t>The outcomes from th</w:t>
      </w:r>
      <w:r w:rsidR="00C51694" w:rsidRPr="00C51694">
        <w:rPr>
          <w:szCs w:val="20"/>
        </w:rPr>
        <w:t xml:space="preserve">e 2018 workshop </w:t>
      </w:r>
      <w:r w:rsidRPr="00C51694">
        <w:rPr>
          <w:szCs w:val="20"/>
        </w:rPr>
        <w:t xml:space="preserve">have been incorporated into </w:t>
      </w:r>
      <w:r w:rsidR="006D4791" w:rsidRPr="00C51694">
        <w:rPr>
          <w:szCs w:val="20"/>
        </w:rPr>
        <w:t xml:space="preserve">the </w:t>
      </w:r>
      <w:r w:rsidR="00C51694" w:rsidRPr="00C51694">
        <w:rPr>
          <w:szCs w:val="20"/>
        </w:rPr>
        <w:t xml:space="preserve">later </w:t>
      </w:r>
      <w:r w:rsidR="006D4791" w:rsidRPr="00C51694">
        <w:rPr>
          <w:szCs w:val="20"/>
        </w:rPr>
        <w:t xml:space="preserve">proposal </w:t>
      </w:r>
      <w:r w:rsidR="00C51694" w:rsidRPr="00C51694">
        <w:rPr>
          <w:szCs w:val="20"/>
        </w:rPr>
        <w:t xml:space="preserve">as presented </w:t>
      </w:r>
      <w:r w:rsidR="006D4791" w:rsidRPr="00C51694">
        <w:rPr>
          <w:szCs w:val="20"/>
        </w:rPr>
        <w:t>by Cadent in early 2024.</w:t>
      </w:r>
      <w:r w:rsidR="00824CD5">
        <w:rPr>
          <w:szCs w:val="20"/>
        </w:rPr>
        <w:t xml:space="preserve">   </w:t>
      </w:r>
    </w:p>
    <w:p w14:paraId="0A043606" w14:textId="25BF0168" w:rsidR="00507BBB" w:rsidRDefault="00EF1467" w:rsidP="00FE254E">
      <w:pPr>
        <w:pStyle w:val="Heading2"/>
        <w:spacing w:before="420"/>
      </w:pPr>
      <w:r>
        <w:t>Objective</w:t>
      </w:r>
    </w:p>
    <w:p w14:paraId="3884AD86" w14:textId="36FB967B" w:rsidR="00210FAD" w:rsidRDefault="00FD3E25" w:rsidP="00210FAD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>As the arrangements have not been reviewed since 2005, t</w:t>
      </w:r>
      <w:r w:rsidR="00210FAD">
        <w:rPr>
          <w:color w:val="292929"/>
          <w:szCs w:val="20"/>
        </w:rPr>
        <w:t xml:space="preserve">he </w:t>
      </w:r>
      <w:r w:rsidR="00D40A9A">
        <w:rPr>
          <w:color w:val="292929"/>
          <w:szCs w:val="20"/>
        </w:rPr>
        <w:t>principal</w:t>
      </w:r>
      <w:r w:rsidR="00210FAD">
        <w:rPr>
          <w:color w:val="292929"/>
          <w:szCs w:val="20"/>
        </w:rPr>
        <w:t xml:space="preserve"> objective will be to review all the requirements currently stated within Section G of OAD</w:t>
      </w:r>
      <w:r w:rsidR="009B0C31">
        <w:rPr>
          <w:color w:val="292929"/>
          <w:szCs w:val="20"/>
        </w:rPr>
        <w:t>, including Annex-G1 and Annex-G2,</w:t>
      </w:r>
      <w:r w:rsidR="0031441C">
        <w:rPr>
          <w:color w:val="292929"/>
          <w:szCs w:val="20"/>
        </w:rPr>
        <w:t xml:space="preserve"> and recommend areas that require </w:t>
      </w:r>
      <w:r w:rsidR="00FF604F">
        <w:rPr>
          <w:color w:val="292929"/>
          <w:szCs w:val="20"/>
        </w:rPr>
        <w:t>amendment, enhancement or even removal.</w:t>
      </w:r>
    </w:p>
    <w:p w14:paraId="39DE9856" w14:textId="0DD25BC0" w:rsidR="00507BBB" w:rsidRDefault="00EF1467" w:rsidP="00FE254E">
      <w:pPr>
        <w:pStyle w:val="Heading2"/>
        <w:spacing w:before="420"/>
      </w:pPr>
      <w:r>
        <w:t>Outcomes</w:t>
      </w:r>
      <w:r w:rsidR="00D87AEF">
        <w:t xml:space="preserve"> / Minimum Requirements</w:t>
      </w:r>
    </w:p>
    <w:p w14:paraId="11078EF5" w14:textId="7A752D8A" w:rsidR="00E2009C" w:rsidRDefault="00603FE3" w:rsidP="00603FE3">
      <w:pPr>
        <w:pStyle w:val="BodyText1"/>
        <w:spacing w:after="180"/>
        <w:jc w:val="both"/>
        <w:rPr>
          <w:szCs w:val="20"/>
        </w:rPr>
      </w:pPr>
      <w:r w:rsidRPr="00C51694">
        <w:rPr>
          <w:szCs w:val="20"/>
        </w:rPr>
        <w:t xml:space="preserve">The </w:t>
      </w:r>
      <w:r w:rsidR="00D87AEF">
        <w:rPr>
          <w:szCs w:val="20"/>
        </w:rPr>
        <w:t>outcome</w:t>
      </w:r>
      <w:r w:rsidR="00C36B16">
        <w:rPr>
          <w:szCs w:val="20"/>
        </w:rPr>
        <w:t>(s) will be a documented</w:t>
      </w:r>
      <w:r w:rsidR="00D87AEF">
        <w:rPr>
          <w:szCs w:val="20"/>
        </w:rPr>
        <w:t xml:space="preserve"> summar</w:t>
      </w:r>
      <w:r w:rsidR="00D62370">
        <w:rPr>
          <w:szCs w:val="20"/>
        </w:rPr>
        <w:t xml:space="preserve">y of recommended </w:t>
      </w:r>
      <w:r w:rsidR="00C36B16">
        <w:rPr>
          <w:szCs w:val="20"/>
        </w:rPr>
        <w:t>changes</w:t>
      </w:r>
      <w:r w:rsidR="00071FCE">
        <w:rPr>
          <w:szCs w:val="20"/>
        </w:rPr>
        <w:t xml:space="preserve"> or approach</w:t>
      </w:r>
      <w:r w:rsidR="006A5ED8">
        <w:rPr>
          <w:szCs w:val="20"/>
        </w:rPr>
        <w:t xml:space="preserve"> for OAD Section G</w:t>
      </w:r>
      <w:r w:rsidR="00C36B16">
        <w:rPr>
          <w:szCs w:val="20"/>
        </w:rPr>
        <w:t xml:space="preserve"> t</w:t>
      </w:r>
      <w:r w:rsidR="00D62370">
        <w:rPr>
          <w:szCs w:val="20"/>
        </w:rPr>
        <w:t xml:space="preserve">hat have been agreed in principle between the </w:t>
      </w:r>
      <w:r w:rsidR="00C36B16">
        <w:rPr>
          <w:szCs w:val="20"/>
        </w:rPr>
        <w:t xml:space="preserve">network </w:t>
      </w:r>
      <w:r w:rsidR="00D62370">
        <w:rPr>
          <w:szCs w:val="20"/>
        </w:rPr>
        <w:t>operators</w:t>
      </w:r>
      <w:r w:rsidR="004F656D">
        <w:rPr>
          <w:szCs w:val="20"/>
        </w:rPr>
        <w:t xml:space="preserve">.  This summary will </w:t>
      </w:r>
      <w:r w:rsidR="007C3CDE">
        <w:rPr>
          <w:szCs w:val="20"/>
        </w:rPr>
        <w:t xml:space="preserve">act as the starting point for </w:t>
      </w:r>
      <w:r w:rsidR="00E547E8">
        <w:rPr>
          <w:szCs w:val="20"/>
        </w:rPr>
        <w:t xml:space="preserve">the subsequent </w:t>
      </w:r>
      <w:r w:rsidR="007C3CDE">
        <w:rPr>
          <w:szCs w:val="20"/>
        </w:rPr>
        <w:t xml:space="preserve">drafting of </w:t>
      </w:r>
      <w:r w:rsidR="004436E4">
        <w:rPr>
          <w:szCs w:val="20"/>
        </w:rPr>
        <w:t>any</w:t>
      </w:r>
      <w:r w:rsidR="007C3CDE">
        <w:rPr>
          <w:szCs w:val="20"/>
        </w:rPr>
        <w:t xml:space="preserve"> business rules </w:t>
      </w:r>
      <w:r w:rsidR="00563854">
        <w:rPr>
          <w:szCs w:val="20"/>
        </w:rPr>
        <w:t xml:space="preserve">that will be required </w:t>
      </w:r>
      <w:r w:rsidR="0053775E">
        <w:rPr>
          <w:szCs w:val="20"/>
        </w:rPr>
        <w:t xml:space="preserve">to support </w:t>
      </w:r>
      <w:r w:rsidR="007A3916">
        <w:rPr>
          <w:szCs w:val="20"/>
        </w:rPr>
        <w:t>a formal UNC MOD submission</w:t>
      </w:r>
      <w:r w:rsidR="00563854">
        <w:rPr>
          <w:szCs w:val="20"/>
        </w:rPr>
        <w:t>.</w:t>
      </w:r>
    </w:p>
    <w:p w14:paraId="408029DF" w14:textId="35EF3870" w:rsidR="00E33E22" w:rsidRDefault="00E33E22" w:rsidP="00603FE3">
      <w:pPr>
        <w:pStyle w:val="BodyText1"/>
        <w:spacing w:after="180"/>
        <w:jc w:val="both"/>
        <w:rPr>
          <w:szCs w:val="20"/>
        </w:rPr>
      </w:pPr>
      <w:r>
        <w:rPr>
          <w:szCs w:val="20"/>
        </w:rPr>
        <w:lastRenderedPageBreak/>
        <w:t xml:space="preserve">However, to ensure that </w:t>
      </w:r>
      <w:r w:rsidR="005F1C19">
        <w:rPr>
          <w:szCs w:val="20"/>
        </w:rPr>
        <w:t>work</w:t>
      </w:r>
      <w:r w:rsidR="004436E4">
        <w:rPr>
          <w:szCs w:val="20"/>
        </w:rPr>
        <w:t>shop</w:t>
      </w:r>
      <w:r w:rsidR="005F1C19">
        <w:rPr>
          <w:szCs w:val="20"/>
        </w:rPr>
        <w:t xml:space="preserve"> delivers value from the required engagement, the minimum requirements </w:t>
      </w:r>
      <w:r w:rsidR="00BC14EC">
        <w:rPr>
          <w:szCs w:val="20"/>
        </w:rPr>
        <w:t xml:space="preserve">that need to be </w:t>
      </w:r>
      <w:r w:rsidR="00396C4B">
        <w:rPr>
          <w:szCs w:val="20"/>
        </w:rPr>
        <w:t>undertaken are</w:t>
      </w:r>
      <w:r w:rsidR="009A4196">
        <w:rPr>
          <w:szCs w:val="20"/>
        </w:rPr>
        <w:t xml:space="preserve"> proposed as</w:t>
      </w:r>
      <w:r w:rsidR="00396C4B">
        <w:rPr>
          <w:szCs w:val="20"/>
        </w:rPr>
        <w:t>:</w:t>
      </w:r>
    </w:p>
    <w:p w14:paraId="63D8853F" w14:textId="476224D0" w:rsidR="00E3317C" w:rsidRDefault="008E542F" w:rsidP="00E3317C">
      <w:pPr>
        <w:pStyle w:val="BodyText1"/>
        <w:numPr>
          <w:ilvl w:val="0"/>
          <w:numId w:val="29"/>
        </w:numPr>
        <w:spacing w:after="180"/>
        <w:jc w:val="both"/>
        <w:rPr>
          <w:szCs w:val="20"/>
        </w:rPr>
      </w:pPr>
      <w:r>
        <w:rPr>
          <w:szCs w:val="20"/>
        </w:rPr>
        <w:t>the r</w:t>
      </w:r>
      <w:r w:rsidR="00E3317C">
        <w:rPr>
          <w:szCs w:val="20"/>
        </w:rPr>
        <w:t xml:space="preserve">eview and agreement on the maintenance activities that need to be notified as part of an operator’s </w:t>
      </w:r>
      <w:r w:rsidR="009315E5">
        <w:rPr>
          <w:szCs w:val="20"/>
        </w:rPr>
        <w:t xml:space="preserve">annual </w:t>
      </w:r>
      <w:r w:rsidR="00E3317C">
        <w:rPr>
          <w:szCs w:val="20"/>
        </w:rPr>
        <w:t xml:space="preserve">maintenance </w:t>
      </w:r>
      <w:r w:rsidR="009315E5">
        <w:rPr>
          <w:szCs w:val="20"/>
        </w:rPr>
        <w:t xml:space="preserve">plan </w:t>
      </w:r>
      <w:r w:rsidR="00E3317C">
        <w:rPr>
          <w:szCs w:val="20"/>
        </w:rPr>
        <w:t xml:space="preserve">submission; </w:t>
      </w:r>
    </w:p>
    <w:p w14:paraId="62809651" w14:textId="46C38E81" w:rsidR="003E66D1" w:rsidRDefault="008E542F" w:rsidP="003E66D1">
      <w:pPr>
        <w:pStyle w:val="BodyText1"/>
        <w:numPr>
          <w:ilvl w:val="0"/>
          <w:numId w:val="29"/>
        </w:numPr>
        <w:spacing w:after="180"/>
        <w:jc w:val="both"/>
        <w:rPr>
          <w:szCs w:val="20"/>
        </w:rPr>
      </w:pPr>
      <w:r>
        <w:rPr>
          <w:szCs w:val="20"/>
        </w:rPr>
        <w:t>the r</w:t>
      </w:r>
      <w:r w:rsidR="003E66D1">
        <w:rPr>
          <w:szCs w:val="20"/>
        </w:rPr>
        <w:t xml:space="preserve">eview and </w:t>
      </w:r>
      <w:r w:rsidR="00FE254E">
        <w:rPr>
          <w:szCs w:val="20"/>
        </w:rPr>
        <w:t>agreement on any n</w:t>
      </w:r>
      <w:r w:rsidR="00E3317C">
        <w:rPr>
          <w:szCs w:val="20"/>
        </w:rPr>
        <w:t xml:space="preserve">ecessary </w:t>
      </w:r>
      <w:r w:rsidR="003E66D1">
        <w:rPr>
          <w:szCs w:val="20"/>
        </w:rPr>
        <w:t xml:space="preserve">amendments </w:t>
      </w:r>
      <w:r w:rsidR="00396C4B">
        <w:rPr>
          <w:szCs w:val="20"/>
        </w:rPr>
        <w:t>to the</w:t>
      </w:r>
      <w:r w:rsidR="002B27B9">
        <w:rPr>
          <w:szCs w:val="20"/>
        </w:rPr>
        <w:t xml:space="preserve"> “</w:t>
      </w:r>
      <w:r w:rsidR="002B27B9" w:rsidRPr="002B27B9">
        <w:rPr>
          <w:i/>
          <w:iCs/>
          <w:szCs w:val="20"/>
        </w:rPr>
        <w:t>Timetable for Maintenance Programming</w:t>
      </w:r>
      <w:r w:rsidR="002B27B9">
        <w:rPr>
          <w:szCs w:val="20"/>
        </w:rPr>
        <w:t xml:space="preserve">” </w:t>
      </w:r>
      <w:r w:rsidR="003E66D1">
        <w:rPr>
          <w:szCs w:val="20"/>
        </w:rPr>
        <w:t>as documented in Annex-G</w:t>
      </w:r>
      <w:r w:rsidR="00071FB1">
        <w:rPr>
          <w:szCs w:val="20"/>
        </w:rPr>
        <w:t>2;</w:t>
      </w:r>
    </w:p>
    <w:p w14:paraId="14287A9C" w14:textId="3E813A9C" w:rsidR="00603FE3" w:rsidRPr="00D064D1" w:rsidRDefault="00B301B8" w:rsidP="00603FE3">
      <w:pPr>
        <w:pStyle w:val="BodyText1"/>
        <w:numPr>
          <w:ilvl w:val="0"/>
          <w:numId w:val="29"/>
        </w:numPr>
        <w:spacing w:after="180"/>
        <w:jc w:val="both"/>
        <w:rPr>
          <w:color w:val="292929"/>
          <w:szCs w:val="20"/>
        </w:rPr>
      </w:pPr>
      <w:r>
        <w:rPr>
          <w:szCs w:val="20"/>
        </w:rPr>
        <w:t xml:space="preserve">the review </w:t>
      </w:r>
      <w:r w:rsidR="009D24AE" w:rsidRPr="00062DCD">
        <w:rPr>
          <w:szCs w:val="20"/>
        </w:rPr>
        <w:t>and agree</w:t>
      </w:r>
      <w:r>
        <w:rPr>
          <w:szCs w:val="20"/>
        </w:rPr>
        <w:t>ment</w:t>
      </w:r>
      <w:r w:rsidR="009D24AE" w:rsidRPr="00062DCD">
        <w:rPr>
          <w:szCs w:val="20"/>
        </w:rPr>
        <w:t xml:space="preserve"> the format of maintenance </w:t>
      </w:r>
      <w:r w:rsidR="009315E5">
        <w:rPr>
          <w:szCs w:val="20"/>
        </w:rPr>
        <w:t xml:space="preserve">plan </w:t>
      </w:r>
      <w:r w:rsidR="009D24AE" w:rsidRPr="00062DCD">
        <w:rPr>
          <w:szCs w:val="20"/>
        </w:rPr>
        <w:t>submissions</w:t>
      </w:r>
      <w:r w:rsidR="00062DCD" w:rsidRPr="00062DCD">
        <w:rPr>
          <w:szCs w:val="20"/>
        </w:rPr>
        <w:t xml:space="preserve"> as documented in Annex-G1</w:t>
      </w:r>
      <w:r w:rsidR="009D24AE" w:rsidRPr="00062DCD">
        <w:rPr>
          <w:szCs w:val="20"/>
        </w:rPr>
        <w:t xml:space="preserve"> </w:t>
      </w:r>
      <w:r w:rsidR="00A66086" w:rsidRPr="00062DCD">
        <w:rPr>
          <w:szCs w:val="20"/>
        </w:rPr>
        <w:t xml:space="preserve"> </w:t>
      </w:r>
      <w:r w:rsidR="00563854" w:rsidRPr="00062DCD">
        <w:rPr>
          <w:szCs w:val="20"/>
        </w:rPr>
        <w:t xml:space="preserve">  </w:t>
      </w:r>
    </w:p>
    <w:p w14:paraId="07C2433B" w14:textId="6069ADAD" w:rsidR="00D064D1" w:rsidRPr="00062DCD" w:rsidRDefault="00D064D1" w:rsidP="00D064D1">
      <w:pPr>
        <w:pStyle w:val="BodyText1"/>
        <w:spacing w:after="180"/>
        <w:jc w:val="both"/>
        <w:rPr>
          <w:color w:val="292929"/>
          <w:szCs w:val="20"/>
        </w:rPr>
      </w:pPr>
      <w:r>
        <w:rPr>
          <w:szCs w:val="20"/>
        </w:rPr>
        <w:t xml:space="preserve">The outcomes will be presented </w:t>
      </w:r>
      <w:r w:rsidR="00A353E1">
        <w:rPr>
          <w:szCs w:val="20"/>
        </w:rPr>
        <w:t xml:space="preserve">back </w:t>
      </w:r>
      <w:r>
        <w:rPr>
          <w:szCs w:val="20"/>
        </w:rPr>
        <w:t xml:space="preserve">to the </w:t>
      </w:r>
      <w:r w:rsidR="007F0DFC">
        <w:rPr>
          <w:szCs w:val="20"/>
        </w:rPr>
        <w:t xml:space="preserve">OAW in line with any timescales </w:t>
      </w:r>
      <w:r w:rsidR="00A353E1">
        <w:rPr>
          <w:szCs w:val="20"/>
        </w:rPr>
        <w:t>agreed via this group.</w:t>
      </w:r>
    </w:p>
    <w:p w14:paraId="75076631" w14:textId="6F2B2BF2" w:rsidR="00507BBB" w:rsidRDefault="00EF1467" w:rsidP="00FE254E">
      <w:pPr>
        <w:pStyle w:val="Heading2"/>
        <w:spacing w:before="420"/>
      </w:pPr>
      <w:r>
        <w:t>Considerations</w:t>
      </w:r>
    </w:p>
    <w:p w14:paraId="263B2F70" w14:textId="238EB1E6" w:rsidR="00DF7F76" w:rsidRDefault="00F26A76" w:rsidP="00B022FB">
      <w:pPr>
        <w:pStyle w:val="BodyText1"/>
        <w:spacing w:after="180"/>
        <w:jc w:val="both"/>
        <w:rPr>
          <w:szCs w:val="20"/>
        </w:rPr>
      </w:pPr>
      <w:r>
        <w:rPr>
          <w:szCs w:val="20"/>
        </w:rPr>
        <w:t xml:space="preserve">Any proposed changes need to </w:t>
      </w:r>
      <w:r w:rsidR="00062DCD">
        <w:rPr>
          <w:szCs w:val="20"/>
        </w:rPr>
        <w:t xml:space="preserve">take in </w:t>
      </w:r>
      <w:r>
        <w:rPr>
          <w:szCs w:val="20"/>
        </w:rPr>
        <w:t>consider</w:t>
      </w:r>
      <w:r w:rsidR="00062DCD">
        <w:rPr>
          <w:szCs w:val="20"/>
        </w:rPr>
        <w:t xml:space="preserve">ation the following </w:t>
      </w:r>
      <w:r w:rsidR="00481988">
        <w:rPr>
          <w:szCs w:val="20"/>
        </w:rPr>
        <w:t>aspects</w:t>
      </w:r>
      <w:r w:rsidR="00DF7F76">
        <w:rPr>
          <w:szCs w:val="20"/>
        </w:rPr>
        <w:t>:</w:t>
      </w:r>
    </w:p>
    <w:p w14:paraId="374F8ED1" w14:textId="49542843" w:rsidR="00B022FB" w:rsidRDefault="00F26A76" w:rsidP="00DF7F76">
      <w:pPr>
        <w:pStyle w:val="BodyText1"/>
        <w:numPr>
          <w:ilvl w:val="0"/>
          <w:numId w:val="28"/>
        </w:numPr>
        <w:spacing w:after="180"/>
        <w:jc w:val="both"/>
        <w:rPr>
          <w:szCs w:val="20"/>
        </w:rPr>
      </w:pPr>
      <w:r>
        <w:rPr>
          <w:szCs w:val="20"/>
        </w:rPr>
        <w:t xml:space="preserve">the alignment with </w:t>
      </w:r>
      <w:r w:rsidR="00C1291F">
        <w:rPr>
          <w:szCs w:val="20"/>
        </w:rPr>
        <w:t>NTS maintenance planning requirements under TPD Section L</w:t>
      </w:r>
      <w:r w:rsidR="00DF7F76">
        <w:rPr>
          <w:szCs w:val="20"/>
        </w:rPr>
        <w:t>;</w:t>
      </w:r>
    </w:p>
    <w:p w14:paraId="664DA192" w14:textId="23C9483C" w:rsidR="00DF7F76" w:rsidRDefault="00DF7F76" w:rsidP="00DF7F76">
      <w:pPr>
        <w:pStyle w:val="BodyText1"/>
        <w:numPr>
          <w:ilvl w:val="0"/>
          <w:numId w:val="28"/>
        </w:numPr>
        <w:spacing w:after="180"/>
        <w:jc w:val="both"/>
        <w:rPr>
          <w:szCs w:val="20"/>
        </w:rPr>
      </w:pPr>
      <w:r>
        <w:rPr>
          <w:szCs w:val="20"/>
        </w:rPr>
        <w:t xml:space="preserve">the potential impact </w:t>
      </w:r>
      <w:r w:rsidR="006D1C32">
        <w:rPr>
          <w:szCs w:val="20"/>
        </w:rPr>
        <w:t xml:space="preserve">and linkages to </w:t>
      </w:r>
      <w:r>
        <w:rPr>
          <w:szCs w:val="20"/>
        </w:rPr>
        <w:t xml:space="preserve">other sections of </w:t>
      </w:r>
      <w:r w:rsidR="003C6DAC">
        <w:rPr>
          <w:szCs w:val="20"/>
        </w:rPr>
        <w:t xml:space="preserve">the </w:t>
      </w:r>
      <w:r>
        <w:rPr>
          <w:szCs w:val="20"/>
        </w:rPr>
        <w:t>OAD</w:t>
      </w:r>
      <w:r w:rsidR="003C6DAC">
        <w:rPr>
          <w:szCs w:val="20"/>
        </w:rPr>
        <w:t xml:space="preserve"> framework</w:t>
      </w:r>
      <w:r w:rsidR="002C59A6">
        <w:rPr>
          <w:szCs w:val="20"/>
        </w:rPr>
        <w:t xml:space="preserve"> e.g. the “Offtake Communications Document” etc</w:t>
      </w:r>
    </w:p>
    <w:p w14:paraId="29A6B43E" w14:textId="344B9CF9" w:rsidR="00C56F12" w:rsidRDefault="00C56F12" w:rsidP="00DF7F76">
      <w:pPr>
        <w:pStyle w:val="BodyText1"/>
        <w:numPr>
          <w:ilvl w:val="0"/>
          <w:numId w:val="28"/>
        </w:numPr>
        <w:spacing w:after="180"/>
        <w:jc w:val="both"/>
        <w:rPr>
          <w:szCs w:val="20"/>
        </w:rPr>
      </w:pPr>
      <w:r>
        <w:rPr>
          <w:szCs w:val="20"/>
        </w:rPr>
        <w:t xml:space="preserve">alignment or impact with </w:t>
      </w:r>
      <w:r w:rsidR="00F44BF8">
        <w:rPr>
          <w:szCs w:val="20"/>
        </w:rPr>
        <w:t>suite of process and procedures for SCO</w:t>
      </w:r>
      <w:r w:rsidR="00481988">
        <w:rPr>
          <w:szCs w:val="20"/>
        </w:rPr>
        <w:t>;</w:t>
      </w:r>
    </w:p>
    <w:p w14:paraId="206397AA" w14:textId="25E9ADFF" w:rsidR="002D56AE" w:rsidRDefault="002D56AE" w:rsidP="00DF7F76">
      <w:pPr>
        <w:pStyle w:val="BodyText1"/>
        <w:numPr>
          <w:ilvl w:val="0"/>
          <w:numId w:val="28"/>
        </w:numPr>
        <w:spacing w:after="180"/>
        <w:jc w:val="both"/>
        <w:rPr>
          <w:szCs w:val="20"/>
        </w:rPr>
      </w:pPr>
      <w:r>
        <w:rPr>
          <w:szCs w:val="20"/>
        </w:rPr>
        <w:t xml:space="preserve">any industry </w:t>
      </w:r>
      <w:r w:rsidR="000B1702">
        <w:rPr>
          <w:szCs w:val="20"/>
        </w:rPr>
        <w:t>engineering compliance</w:t>
      </w:r>
      <w:r w:rsidR="005952D9">
        <w:rPr>
          <w:szCs w:val="20"/>
        </w:rPr>
        <w:t>/standards</w:t>
      </w:r>
      <w:r w:rsidR="000B1702">
        <w:rPr>
          <w:szCs w:val="20"/>
        </w:rPr>
        <w:t xml:space="preserve"> requirements</w:t>
      </w:r>
      <w:r w:rsidR="005952D9">
        <w:rPr>
          <w:szCs w:val="20"/>
        </w:rPr>
        <w:t>;</w:t>
      </w:r>
    </w:p>
    <w:p w14:paraId="4B72B3F6" w14:textId="6CF939E9" w:rsidR="000B1702" w:rsidRDefault="005952D9" w:rsidP="00DF7F76">
      <w:pPr>
        <w:pStyle w:val="BodyText1"/>
        <w:numPr>
          <w:ilvl w:val="0"/>
          <w:numId w:val="28"/>
        </w:numPr>
        <w:spacing w:after="180"/>
        <w:jc w:val="both"/>
        <w:rPr>
          <w:szCs w:val="20"/>
        </w:rPr>
      </w:pPr>
      <w:r>
        <w:rPr>
          <w:szCs w:val="20"/>
        </w:rPr>
        <w:t xml:space="preserve">individual network operator compliance requirements where these may differ </w:t>
      </w:r>
      <w:r w:rsidR="00166884">
        <w:rPr>
          <w:szCs w:val="20"/>
        </w:rPr>
        <w:t xml:space="preserve">from </w:t>
      </w:r>
      <w:r w:rsidR="00D40A9A">
        <w:rPr>
          <w:szCs w:val="20"/>
        </w:rPr>
        <w:t>operators</w:t>
      </w:r>
      <w:r w:rsidR="003C6DAC">
        <w:rPr>
          <w:szCs w:val="20"/>
        </w:rPr>
        <w:t>.</w:t>
      </w:r>
    </w:p>
    <w:p w14:paraId="69534978" w14:textId="6FB3F150" w:rsidR="00507BBB" w:rsidRDefault="006D61EC" w:rsidP="000F66E7">
      <w:pPr>
        <w:pStyle w:val="Heading2"/>
        <w:spacing w:before="420"/>
      </w:pPr>
      <w:r>
        <w:t>Ex</w:t>
      </w:r>
      <w:r w:rsidR="00EF1467">
        <w:t>clusions</w:t>
      </w:r>
    </w:p>
    <w:p w14:paraId="5D171D19" w14:textId="3A384A44" w:rsidR="000F66E7" w:rsidRPr="00C51694" w:rsidRDefault="001A3FB4" w:rsidP="000F66E7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 xml:space="preserve">Only Section G of the OAD framework will be covered by this review.   </w:t>
      </w:r>
      <w:r w:rsidR="00BC1420">
        <w:rPr>
          <w:color w:val="292929"/>
          <w:szCs w:val="20"/>
        </w:rPr>
        <w:t xml:space="preserve">Following an initial assessment the impact to other </w:t>
      </w:r>
      <w:r w:rsidR="001F4C60">
        <w:rPr>
          <w:color w:val="292929"/>
          <w:szCs w:val="20"/>
        </w:rPr>
        <w:t>OAD sections is neg</w:t>
      </w:r>
      <w:r w:rsidR="00822178">
        <w:rPr>
          <w:color w:val="292929"/>
          <w:szCs w:val="20"/>
        </w:rPr>
        <w:t xml:space="preserve">ligible.  </w:t>
      </w:r>
      <w:r w:rsidR="00E23469">
        <w:rPr>
          <w:color w:val="292929"/>
          <w:szCs w:val="20"/>
        </w:rPr>
        <w:t>T</w:t>
      </w:r>
      <w:r w:rsidR="00822178">
        <w:rPr>
          <w:color w:val="292929"/>
          <w:szCs w:val="20"/>
        </w:rPr>
        <w:t>he</w:t>
      </w:r>
      <w:r w:rsidR="00D707D4">
        <w:rPr>
          <w:color w:val="292929"/>
          <w:szCs w:val="20"/>
        </w:rPr>
        <w:t xml:space="preserve">re may be minor impacts to any existing UNC OAD subsidiary </w:t>
      </w:r>
      <w:r w:rsidR="00943F92">
        <w:rPr>
          <w:color w:val="292929"/>
          <w:szCs w:val="20"/>
        </w:rPr>
        <w:t>documents or impacts to other section elsewhere in UNC</w:t>
      </w:r>
      <w:r w:rsidR="00E23469">
        <w:rPr>
          <w:color w:val="292929"/>
          <w:szCs w:val="20"/>
        </w:rPr>
        <w:t xml:space="preserve"> however, these requirements </w:t>
      </w:r>
      <w:r w:rsidR="00D40A9A">
        <w:rPr>
          <w:color w:val="292929"/>
          <w:szCs w:val="20"/>
        </w:rPr>
        <w:t>are</w:t>
      </w:r>
      <w:r w:rsidR="00E23469">
        <w:rPr>
          <w:color w:val="292929"/>
          <w:szCs w:val="20"/>
        </w:rPr>
        <w:t xml:space="preserve"> captured by the </w:t>
      </w:r>
      <w:r w:rsidR="00716EC2">
        <w:rPr>
          <w:color w:val="292929"/>
          <w:szCs w:val="20"/>
        </w:rPr>
        <w:t>Considerations section above.</w:t>
      </w:r>
      <w:r w:rsidR="00943F92">
        <w:rPr>
          <w:color w:val="292929"/>
          <w:szCs w:val="20"/>
        </w:rPr>
        <w:t xml:space="preserve"> </w:t>
      </w:r>
    </w:p>
    <w:p w14:paraId="251CE991" w14:textId="1F609D12" w:rsidR="00EF1467" w:rsidRDefault="006D61EC" w:rsidP="000F66E7">
      <w:pPr>
        <w:pStyle w:val="Heading2"/>
        <w:spacing w:before="420"/>
      </w:pPr>
      <w:r>
        <w:t>Resources</w:t>
      </w:r>
    </w:p>
    <w:p w14:paraId="66496EE2" w14:textId="77777777" w:rsidR="009E4A43" w:rsidRDefault="00E3447D" w:rsidP="00824CD5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>To ensure that the arrangements are reviewed appropriately</w:t>
      </w:r>
      <w:r w:rsidR="00465896">
        <w:rPr>
          <w:color w:val="292929"/>
          <w:szCs w:val="20"/>
        </w:rPr>
        <w:t xml:space="preserve"> it is recommended that all network operators must attend the workshop</w:t>
      </w:r>
      <w:r w:rsidR="00A80E62">
        <w:rPr>
          <w:color w:val="292929"/>
          <w:szCs w:val="20"/>
        </w:rPr>
        <w:t xml:space="preserve">.   </w:t>
      </w:r>
    </w:p>
    <w:p w14:paraId="497252FE" w14:textId="10249EAE" w:rsidR="00E541A0" w:rsidRDefault="00A80E62" w:rsidP="00824CD5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>D</w:t>
      </w:r>
      <w:r w:rsidR="00F14B42">
        <w:rPr>
          <w:color w:val="292929"/>
          <w:szCs w:val="20"/>
        </w:rPr>
        <w:t>elegates</w:t>
      </w:r>
      <w:r w:rsidR="00F26B46">
        <w:rPr>
          <w:color w:val="292929"/>
          <w:szCs w:val="20"/>
        </w:rPr>
        <w:t xml:space="preserve"> representing each party</w:t>
      </w:r>
      <w:r w:rsidR="00F14B42">
        <w:rPr>
          <w:color w:val="292929"/>
          <w:szCs w:val="20"/>
        </w:rPr>
        <w:t xml:space="preserve"> must have a sufficient </w:t>
      </w:r>
      <w:r w:rsidR="002E5901">
        <w:rPr>
          <w:color w:val="292929"/>
          <w:szCs w:val="20"/>
        </w:rPr>
        <w:t xml:space="preserve">experience or </w:t>
      </w:r>
      <w:r w:rsidR="00F14B42">
        <w:rPr>
          <w:color w:val="292929"/>
          <w:szCs w:val="20"/>
        </w:rPr>
        <w:t xml:space="preserve">understanding of the </w:t>
      </w:r>
      <w:r w:rsidR="0079654C">
        <w:rPr>
          <w:color w:val="292929"/>
          <w:szCs w:val="20"/>
        </w:rPr>
        <w:t>key maintenance activities undertaken by their organisation</w:t>
      </w:r>
      <w:r w:rsidR="00E22A34">
        <w:rPr>
          <w:color w:val="292929"/>
          <w:szCs w:val="20"/>
        </w:rPr>
        <w:t>.  This includes</w:t>
      </w:r>
      <w:r w:rsidR="002E5901">
        <w:rPr>
          <w:color w:val="292929"/>
          <w:szCs w:val="20"/>
        </w:rPr>
        <w:t xml:space="preserve"> </w:t>
      </w:r>
      <w:r w:rsidR="00E22A34">
        <w:rPr>
          <w:color w:val="292929"/>
          <w:szCs w:val="20"/>
        </w:rPr>
        <w:t xml:space="preserve">knowledge or experience </w:t>
      </w:r>
      <w:r w:rsidR="008010B6">
        <w:rPr>
          <w:color w:val="292929"/>
          <w:szCs w:val="20"/>
        </w:rPr>
        <w:t xml:space="preserve">of </w:t>
      </w:r>
      <w:r w:rsidR="002E5901">
        <w:rPr>
          <w:color w:val="292929"/>
          <w:szCs w:val="20"/>
        </w:rPr>
        <w:t xml:space="preserve">the compliance requirements associated with </w:t>
      </w:r>
      <w:r w:rsidR="008010B6">
        <w:rPr>
          <w:color w:val="292929"/>
          <w:szCs w:val="20"/>
        </w:rPr>
        <w:t>maintenance</w:t>
      </w:r>
      <w:r w:rsidR="002E5901">
        <w:rPr>
          <w:color w:val="292929"/>
          <w:szCs w:val="20"/>
        </w:rPr>
        <w:t>,</w:t>
      </w:r>
      <w:r w:rsidR="002F7F44">
        <w:rPr>
          <w:color w:val="292929"/>
          <w:szCs w:val="20"/>
        </w:rPr>
        <w:t xml:space="preserve"> the process that is followed,</w:t>
      </w:r>
      <w:r w:rsidR="002E5901">
        <w:rPr>
          <w:color w:val="292929"/>
          <w:szCs w:val="20"/>
        </w:rPr>
        <w:t xml:space="preserve"> and </w:t>
      </w:r>
      <w:r w:rsidR="009A5665">
        <w:rPr>
          <w:color w:val="292929"/>
          <w:szCs w:val="20"/>
        </w:rPr>
        <w:t xml:space="preserve">the </w:t>
      </w:r>
      <w:r w:rsidR="008010B6">
        <w:rPr>
          <w:color w:val="292929"/>
          <w:szCs w:val="20"/>
        </w:rPr>
        <w:t xml:space="preserve">operational </w:t>
      </w:r>
      <w:r w:rsidR="009A5665">
        <w:rPr>
          <w:color w:val="292929"/>
          <w:szCs w:val="20"/>
        </w:rPr>
        <w:t xml:space="preserve">impacts </w:t>
      </w:r>
      <w:r w:rsidR="001B612B">
        <w:rPr>
          <w:color w:val="292929"/>
          <w:szCs w:val="20"/>
        </w:rPr>
        <w:t xml:space="preserve">that may or will arise </w:t>
      </w:r>
      <w:r w:rsidR="009A5665">
        <w:rPr>
          <w:color w:val="292929"/>
          <w:szCs w:val="20"/>
        </w:rPr>
        <w:t>from the coordination</w:t>
      </w:r>
      <w:r w:rsidR="002F2977">
        <w:rPr>
          <w:color w:val="292929"/>
          <w:szCs w:val="20"/>
        </w:rPr>
        <w:t xml:space="preserve"> and execution</w:t>
      </w:r>
      <w:r w:rsidR="001B612B">
        <w:rPr>
          <w:color w:val="292929"/>
          <w:szCs w:val="20"/>
        </w:rPr>
        <w:t xml:space="preserve"> </w:t>
      </w:r>
      <w:r w:rsidR="002F7F44">
        <w:rPr>
          <w:color w:val="292929"/>
          <w:szCs w:val="20"/>
        </w:rPr>
        <w:t>of such activities</w:t>
      </w:r>
      <w:r w:rsidR="001B612B">
        <w:rPr>
          <w:color w:val="292929"/>
          <w:szCs w:val="20"/>
        </w:rPr>
        <w:t>.</w:t>
      </w:r>
    </w:p>
    <w:p w14:paraId="49C99785" w14:textId="5F75D2FB" w:rsidR="00E541A0" w:rsidRDefault="00381DA7" w:rsidP="00824CD5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 xml:space="preserve">OAD or other Commercial </w:t>
      </w:r>
      <w:r w:rsidR="00993E09">
        <w:rPr>
          <w:color w:val="292929"/>
          <w:szCs w:val="20"/>
        </w:rPr>
        <w:t xml:space="preserve">representation will be </w:t>
      </w:r>
      <w:r w:rsidR="00327B37">
        <w:rPr>
          <w:color w:val="292929"/>
          <w:szCs w:val="20"/>
        </w:rPr>
        <w:t xml:space="preserve">welcomed but will be </w:t>
      </w:r>
      <w:r w:rsidR="000F66E7">
        <w:rPr>
          <w:color w:val="292929"/>
          <w:szCs w:val="20"/>
        </w:rPr>
        <w:t>optional.</w:t>
      </w:r>
    </w:p>
    <w:p w14:paraId="6FE6E014" w14:textId="41E6AEB8" w:rsidR="00824CD5" w:rsidRPr="00C51694" w:rsidRDefault="009A5665" w:rsidP="00824CD5">
      <w:pPr>
        <w:pStyle w:val="BodyText1"/>
        <w:spacing w:after="180"/>
        <w:jc w:val="both"/>
        <w:rPr>
          <w:color w:val="292929"/>
          <w:szCs w:val="20"/>
        </w:rPr>
      </w:pPr>
      <w:r>
        <w:rPr>
          <w:color w:val="292929"/>
          <w:szCs w:val="20"/>
        </w:rPr>
        <w:t xml:space="preserve"> </w:t>
      </w:r>
    </w:p>
    <w:p w14:paraId="29C36C72" w14:textId="40C20E97" w:rsidR="00EF1467" w:rsidRDefault="00EF1467" w:rsidP="008B4330">
      <w:pPr>
        <w:pStyle w:val="BodyText1"/>
        <w:rPr>
          <w:color w:val="292929"/>
          <w:sz w:val="24"/>
          <w:szCs w:val="28"/>
        </w:rPr>
      </w:pPr>
    </w:p>
    <w:p w14:paraId="09F5A14D" w14:textId="77777777" w:rsidR="00EF1467" w:rsidRPr="005602F4" w:rsidRDefault="00EF1467" w:rsidP="008B4330">
      <w:pPr>
        <w:pStyle w:val="BodyText1"/>
        <w:rPr>
          <w:color w:val="292929"/>
          <w:sz w:val="24"/>
          <w:szCs w:val="28"/>
        </w:rPr>
      </w:pPr>
    </w:p>
    <w:sectPr w:rsidR="00EF1467" w:rsidRPr="005602F4" w:rsidSect="00EF1467">
      <w:footerReference w:type="default" r:id="rId12"/>
      <w:footerReference w:type="first" r:id="rId13"/>
      <w:pgSz w:w="11906" w:h="16838"/>
      <w:pgMar w:top="567" w:right="964" w:bottom="964" w:left="964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398D" w14:textId="77777777" w:rsidR="00EF1467" w:rsidRDefault="00EF1467" w:rsidP="000B3F36">
      <w:pPr>
        <w:spacing w:after="0" w:line="240" w:lineRule="auto"/>
      </w:pPr>
      <w:r>
        <w:separator/>
      </w:r>
    </w:p>
  </w:endnote>
  <w:endnote w:type="continuationSeparator" w:id="0">
    <w:p w14:paraId="72152656" w14:textId="77777777" w:rsidR="00EF1467" w:rsidRDefault="00EF1467" w:rsidP="000B3F36">
      <w:pPr>
        <w:spacing w:after="0" w:line="240" w:lineRule="auto"/>
      </w:pPr>
      <w:r>
        <w:continuationSeparator/>
      </w:r>
    </w:p>
  </w:endnote>
  <w:endnote w:type="continuationNotice" w:id="1">
    <w:p w14:paraId="53B261D0" w14:textId="77777777" w:rsidR="00EF1467" w:rsidRDefault="00EF1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5581" w14:textId="0EA132A2" w:rsidR="00261895" w:rsidRPr="00261895" w:rsidRDefault="00716EC2" w:rsidP="00261895">
    <w:pPr>
      <w:pStyle w:val="Footer"/>
      <w:jc w:val="center"/>
      <w:rPr>
        <w:sz w:val="24"/>
        <w:szCs w:val="28"/>
      </w:rPr>
    </w:pPr>
    <w:r>
      <w:rPr>
        <w:sz w:val="24"/>
        <w:szCs w:val="28"/>
      </w:rPr>
      <w:tab/>
    </w:r>
    <w:r>
      <w:rPr>
        <w:sz w:val="24"/>
        <w:szCs w:val="2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004" w14:textId="20482150" w:rsidR="00716EC2" w:rsidRDefault="00716EC2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8DE3" w14:textId="77777777" w:rsidR="00EF1467" w:rsidRDefault="00EF1467" w:rsidP="000B3F36">
      <w:pPr>
        <w:spacing w:after="0" w:line="240" w:lineRule="auto"/>
      </w:pPr>
      <w:r>
        <w:separator/>
      </w:r>
    </w:p>
  </w:footnote>
  <w:footnote w:type="continuationSeparator" w:id="0">
    <w:p w14:paraId="2E237A7F" w14:textId="77777777" w:rsidR="00EF1467" w:rsidRDefault="00EF1467" w:rsidP="000B3F36">
      <w:pPr>
        <w:spacing w:after="0" w:line="240" w:lineRule="auto"/>
      </w:pPr>
      <w:r>
        <w:continuationSeparator/>
      </w:r>
    </w:p>
  </w:footnote>
  <w:footnote w:type="continuationNotice" w:id="1">
    <w:p w14:paraId="1F1D31E5" w14:textId="77777777" w:rsidR="00EF1467" w:rsidRDefault="00EF14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6.15pt;height:831.4pt" o:bullet="t">
        <v:imagedata r:id="rId1" o:title="Bullet with invis shape"/>
      </v:shape>
    </w:pict>
  </w:numPicBullet>
  <w:numPicBullet w:numPicBulletId="1">
    <w:pict>
      <v:shape id="_x0000_i1029" type="#_x0000_t75" style="width:414pt;height:638.65pt" o:bullet="t">
        <v:imagedata r:id="rId2" o:title="Bullet"/>
      </v:shape>
    </w:pict>
  </w:numPicBullet>
  <w:abstractNum w:abstractNumId="0" w15:restartNumberingAfterBreak="0">
    <w:nsid w:val="FFFFFF7C"/>
    <w:multiLevelType w:val="singleLevel"/>
    <w:tmpl w:val="D80AB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024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5E0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E5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E6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CC3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C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14B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8F081E"/>
    <w:multiLevelType w:val="hybridMultilevel"/>
    <w:tmpl w:val="32FE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C56C10"/>
    <w:multiLevelType w:val="multilevel"/>
    <w:tmpl w:val="6AA6F0BC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A4616" w:themeColor="accent1"/>
      </w:rPr>
    </w:lvl>
    <w:lvl w:ilvl="1">
      <w:start w:val="1"/>
      <w:numFmt w:val="decimal"/>
      <w:lvlText w:val="%2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color w:val="FA4616" w:themeColor="accent1"/>
      </w:rPr>
    </w:lvl>
    <w:lvl w:ilvl="2">
      <w:start w:val="1"/>
      <w:numFmt w:val="decimal"/>
      <w:lvlText w:val="%3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FA4616" w:themeColor="accent1"/>
      </w:rPr>
    </w:lvl>
    <w:lvl w:ilvl="3">
      <w:start w:val="1"/>
      <w:numFmt w:val="bullet"/>
      <w:lvlText w:val="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FA4616" w:themeColor="accent1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08C65365"/>
    <w:multiLevelType w:val="hybridMultilevel"/>
    <w:tmpl w:val="0A0605D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EAE3802"/>
    <w:multiLevelType w:val="hybridMultilevel"/>
    <w:tmpl w:val="BFE2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14BC1"/>
    <w:multiLevelType w:val="hybridMultilevel"/>
    <w:tmpl w:val="688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4616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67DA7"/>
    <w:multiLevelType w:val="hybridMultilevel"/>
    <w:tmpl w:val="95B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6756"/>
    <w:multiLevelType w:val="hybridMultilevel"/>
    <w:tmpl w:val="9D8A5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4616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806AA"/>
    <w:multiLevelType w:val="hybridMultilevel"/>
    <w:tmpl w:val="BD32DB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8776F5"/>
    <w:multiLevelType w:val="hybridMultilevel"/>
    <w:tmpl w:val="B306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29C1"/>
    <w:multiLevelType w:val="hybridMultilevel"/>
    <w:tmpl w:val="F366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75535"/>
    <w:multiLevelType w:val="multilevel"/>
    <w:tmpl w:val="404629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FA4616" w:themeColor="accen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FA4616" w:themeColor="accent1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7CE06D31"/>
    <w:multiLevelType w:val="hybridMultilevel"/>
    <w:tmpl w:val="534E5A84"/>
    <w:lvl w:ilvl="0" w:tplc="62887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4616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00AD6"/>
    <w:multiLevelType w:val="multilevel"/>
    <w:tmpl w:val="C7468366"/>
    <w:lvl w:ilvl="0">
      <w:start w:val="1"/>
      <w:numFmt w:val="decimal"/>
      <w:pStyle w:val="Sectionnumber"/>
      <w:lvlText w:val="%1"/>
      <w:lvlJc w:val="left"/>
      <w:pPr>
        <w:ind w:left="0" w:firstLine="0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284"/>
        </w:tabs>
        <w:ind w:left="284" w:hanging="142"/>
      </w:pPr>
      <w:rPr>
        <w:rFonts w:hint="default"/>
        <w:b/>
        <w:i w:val="0"/>
        <w:color w:val="FA4616" w:themeColor="accent1"/>
      </w:rPr>
    </w:lvl>
    <w:lvl w:ilvl="2">
      <w:start w:val="1"/>
      <w:numFmt w:val="decimal"/>
      <w:pStyle w:val="ListNumber3"/>
      <w:lvlText w:val="%3"/>
      <w:lvlJc w:val="left"/>
      <w:pPr>
        <w:tabs>
          <w:tab w:val="num" w:pos="426"/>
        </w:tabs>
        <w:ind w:left="426" w:hanging="142"/>
      </w:pPr>
      <w:rPr>
        <w:rFonts w:hint="default"/>
        <w:b/>
        <w:i w:val="0"/>
        <w:color w:val="FA4616" w:themeColor="accent1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568"/>
        </w:tabs>
        <w:ind w:left="568" w:hanging="142"/>
      </w:pPr>
      <w:rPr>
        <w:rFonts w:ascii="Symbol" w:hAnsi="Symbol" w:hint="default"/>
        <w:color w:val="FA4616" w:themeColor="accent1"/>
      </w:r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710" w:hanging="14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2"/>
        </w:tabs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4"/>
        </w:tabs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8"/>
        </w:tabs>
        <w:ind w:left="1278" w:hanging="142"/>
      </w:pPr>
      <w:rPr>
        <w:rFonts w:hint="default"/>
      </w:rPr>
    </w:lvl>
  </w:abstractNum>
  <w:num w:numId="1" w16cid:durableId="2072076185">
    <w:abstractNumId w:val="18"/>
  </w:num>
  <w:num w:numId="2" w16cid:durableId="1536192427">
    <w:abstractNumId w:val="5"/>
  </w:num>
  <w:num w:numId="3" w16cid:durableId="245309714">
    <w:abstractNumId w:val="7"/>
  </w:num>
  <w:num w:numId="4" w16cid:durableId="636184159">
    <w:abstractNumId w:val="6"/>
  </w:num>
  <w:num w:numId="5" w16cid:durableId="7867747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880979">
    <w:abstractNumId w:val="9"/>
  </w:num>
  <w:num w:numId="7" w16cid:durableId="733048212">
    <w:abstractNumId w:val="3"/>
  </w:num>
  <w:num w:numId="8" w16cid:durableId="859048060">
    <w:abstractNumId w:val="2"/>
  </w:num>
  <w:num w:numId="9" w16cid:durableId="10802482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381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966065">
    <w:abstractNumId w:val="20"/>
  </w:num>
  <w:num w:numId="12" w16cid:durableId="237905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7295367">
    <w:abstractNumId w:val="4"/>
  </w:num>
  <w:num w:numId="14" w16cid:durableId="1234467524">
    <w:abstractNumId w:val="1"/>
  </w:num>
  <w:num w:numId="15" w16cid:durableId="1289554898">
    <w:abstractNumId w:val="0"/>
  </w:num>
  <w:num w:numId="16" w16cid:durableId="11999016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83821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17944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3768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051216">
    <w:abstractNumId w:val="8"/>
  </w:num>
  <w:num w:numId="21" w16cid:durableId="336659235">
    <w:abstractNumId w:val="19"/>
  </w:num>
  <w:num w:numId="22" w16cid:durableId="1967810656">
    <w:abstractNumId w:val="12"/>
  </w:num>
  <w:num w:numId="23" w16cid:durableId="250355508">
    <w:abstractNumId w:val="14"/>
  </w:num>
  <w:num w:numId="24" w16cid:durableId="1046953713">
    <w:abstractNumId w:val="16"/>
  </w:num>
  <w:num w:numId="25" w16cid:durableId="460150520">
    <w:abstractNumId w:val="11"/>
  </w:num>
  <w:num w:numId="26" w16cid:durableId="1419909129">
    <w:abstractNumId w:val="13"/>
  </w:num>
  <w:num w:numId="27" w16cid:durableId="1861621369">
    <w:abstractNumId w:val="15"/>
  </w:num>
  <w:num w:numId="28" w16cid:durableId="562833103">
    <w:abstractNumId w:val="10"/>
  </w:num>
  <w:num w:numId="29" w16cid:durableId="13174913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67"/>
    <w:rsid w:val="0000559F"/>
    <w:rsid w:val="0001077B"/>
    <w:rsid w:val="00013AB8"/>
    <w:rsid w:val="00025C26"/>
    <w:rsid w:val="0003164A"/>
    <w:rsid w:val="00031764"/>
    <w:rsid w:val="00045D69"/>
    <w:rsid w:val="000460A4"/>
    <w:rsid w:val="00046361"/>
    <w:rsid w:val="00054711"/>
    <w:rsid w:val="0005473B"/>
    <w:rsid w:val="00061B40"/>
    <w:rsid w:val="00062DCD"/>
    <w:rsid w:val="00071FB1"/>
    <w:rsid w:val="00071FCE"/>
    <w:rsid w:val="00077B92"/>
    <w:rsid w:val="0009119F"/>
    <w:rsid w:val="000A0A0A"/>
    <w:rsid w:val="000A70C8"/>
    <w:rsid w:val="000B1411"/>
    <w:rsid w:val="000B1702"/>
    <w:rsid w:val="000B3F36"/>
    <w:rsid w:val="000B546E"/>
    <w:rsid w:val="000B7033"/>
    <w:rsid w:val="000D26D1"/>
    <w:rsid w:val="000D32D1"/>
    <w:rsid w:val="000D7A8E"/>
    <w:rsid w:val="000E0BDD"/>
    <w:rsid w:val="000E39FE"/>
    <w:rsid w:val="000E65A6"/>
    <w:rsid w:val="000E77EE"/>
    <w:rsid w:val="000F2FCB"/>
    <w:rsid w:val="000F66E7"/>
    <w:rsid w:val="0011023F"/>
    <w:rsid w:val="001335DB"/>
    <w:rsid w:val="001354F9"/>
    <w:rsid w:val="00142B46"/>
    <w:rsid w:val="001439BC"/>
    <w:rsid w:val="001501C2"/>
    <w:rsid w:val="001527FB"/>
    <w:rsid w:val="001530C7"/>
    <w:rsid w:val="00156861"/>
    <w:rsid w:val="00156BEA"/>
    <w:rsid w:val="0015725F"/>
    <w:rsid w:val="0016379D"/>
    <w:rsid w:val="00166884"/>
    <w:rsid w:val="00170578"/>
    <w:rsid w:val="001732DD"/>
    <w:rsid w:val="00190F50"/>
    <w:rsid w:val="00195E7D"/>
    <w:rsid w:val="00196CED"/>
    <w:rsid w:val="00196DAE"/>
    <w:rsid w:val="00197268"/>
    <w:rsid w:val="001A037C"/>
    <w:rsid w:val="001A3C24"/>
    <w:rsid w:val="001A3FB4"/>
    <w:rsid w:val="001B0742"/>
    <w:rsid w:val="001B612B"/>
    <w:rsid w:val="001B7B47"/>
    <w:rsid w:val="001C7D44"/>
    <w:rsid w:val="001D64FC"/>
    <w:rsid w:val="001D6A4A"/>
    <w:rsid w:val="001E2CBF"/>
    <w:rsid w:val="001E7CC6"/>
    <w:rsid w:val="001E7E52"/>
    <w:rsid w:val="001F35C0"/>
    <w:rsid w:val="001F4C60"/>
    <w:rsid w:val="001F6942"/>
    <w:rsid w:val="00203566"/>
    <w:rsid w:val="00207F18"/>
    <w:rsid w:val="00210769"/>
    <w:rsid w:val="00210FAD"/>
    <w:rsid w:val="00212522"/>
    <w:rsid w:val="00213373"/>
    <w:rsid w:val="00225A05"/>
    <w:rsid w:val="00226372"/>
    <w:rsid w:val="0023135E"/>
    <w:rsid w:val="00240B8F"/>
    <w:rsid w:val="00242954"/>
    <w:rsid w:val="002457B2"/>
    <w:rsid w:val="00253EC8"/>
    <w:rsid w:val="00260A9B"/>
    <w:rsid w:val="00261895"/>
    <w:rsid w:val="00271989"/>
    <w:rsid w:val="00276434"/>
    <w:rsid w:val="0028369E"/>
    <w:rsid w:val="002840CD"/>
    <w:rsid w:val="0028410E"/>
    <w:rsid w:val="002A7B67"/>
    <w:rsid w:val="002A7F1F"/>
    <w:rsid w:val="002B27B9"/>
    <w:rsid w:val="002B524B"/>
    <w:rsid w:val="002B632A"/>
    <w:rsid w:val="002C57B1"/>
    <w:rsid w:val="002C59A6"/>
    <w:rsid w:val="002D56AE"/>
    <w:rsid w:val="002E28BE"/>
    <w:rsid w:val="002E53E8"/>
    <w:rsid w:val="002E5901"/>
    <w:rsid w:val="002F2977"/>
    <w:rsid w:val="002F7F44"/>
    <w:rsid w:val="003000BC"/>
    <w:rsid w:val="00303C7E"/>
    <w:rsid w:val="003057F5"/>
    <w:rsid w:val="0031441C"/>
    <w:rsid w:val="003169D0"/>
    <w:rsid w:val="00321F4E"/>
    <w:rsid w:val="00327B37"/>
    <w:rsid w:val="0034483E"/>
    <w:rsid w:val="003536C9"/>
    <w:rsid w:val="003545C4"/>
    <w:rsid w:val="003568CF"/>
    <w:rsid w:val="00356C2E"/>
    <w:rsid w:val="00366555"/>
    <w:rsid w:val="00373EC5"/>
    <w:rsid w:val="003768EB"/>
    <w:rsid w:val="00380516"/>
    <w:rsid w:val="00381DA7"/>
    <w:rsid w:val="0039114E"/>
    <w:rsid w:val="00396C4B"/>
    <w:rsid w:val="003A5836"/>
    <w:rsid w:val="003B1777"/>
    <w:rsid w:val="003B6ABF"/>
    <w:rsid w:val="003B6C81"/>
    <w:rsid w:val="003B7819"/>
    <w:rsid w:val="003C68C4"/>
    <w:rsid w:val="003C6DAC"/>
    <w:rsid w:val="003D1536"/>
    <w:rsid w:val="003D268D"/>
    <w:rsid w:val="003D3156"/>
    <w:rsid w:val="003D3EEF"/>
    <w:rsid w:val="003E66D1"/>
    <w:rsid w:val="003F0410"/>
    <w:rsid w:val="003F1FCA"/>
    <w:rsid w:val="003F6499"/>
    <w:rsid w:val="00401A47"/>
    <w:rsid w:val="00403563"/>
    <w:rsid w:val="00410390"/>
    <w:rsid w:val="004111B1"/>
    <w:rsid w:val="0041592A"/>
    <w:rsid w:val="004161BC"/>
    <w:rsid w:val="004223F0"/>
    <w:rsid w:val="00425A95"/>
    <w:rsid w:val="00431676"/>
    <w:rsid w:val="00435CB7"/>
    <w:rsid w:val="0043640F"/>
    <w:rsid w:val="00436918"/>
    <w:rsid w:val="004436E4"/>
    <w:rsid w:val="004443F9"/>
    <w:rsid w:val="0044543F"/>
    <w:rsid w:val="00445A95"/>
    <w:rsid w:val="00463B99"/>
    <w:rsid w:val="00465896"/>
    <w:rsid w:val="00465DAB"/>
    <w:rsid w:val="00467CF0"/>
    <w:rsid w:val="00470306"/>
    <w:rsid w:val="004751B3"/>
    <w:rsid w:val="00481988"/>
    <w:rsid w:val="00484173"/>
    <w:rsid w:val="004A08BB"/>
    <w:rsid w:val="004B2F35"/>
    <w:rsid w:val="004B50BD"/>
    <w:rsid w:val="004C6536"/>
    <w:rsid w:val="004C790B"/>
    <w:rsid w:val="004F2DE1"/>
    <w:rsid w:val="004F656D"/>
    <w:rsid w:val="00500294"/>
    <w:rsid w:val="005067C5"/>
    <w:rsid w:val="00506F87"/>
    <w:rsid w:val="00507BBB"/>
    <w:rsid w:val="0051418C"/>
    <w:rsid w:val="00521256"/>
    <w:rsid w:val="005238B9"/>
    <w:rsid w:val="00527E59"/>
    <w:rsid w:val="00532296"/>
    <w:rsid w:val="00532398"/>
    <w:rsid w:val="005325BF"/>
    <w:rsid w:val="0053775E"/>
    <w:rsid w:val="00541289"/>
    <w:rsid w:val="005453BD"/>
    <w:rsid w:val="00553844"/>
    <w:rsid w:val="005538D2"/>
    <w:rsid w:val="00557C4F"/>
    <w:rsid w:val="005602F4"/>
    <w:rsid w:val="00563854"/>
    <w:rsid w:val="00566280"/>
    <w:rsid w:val="0058005C"/>
    <w:rsid w:val="005825F0"/>
    <w:rsid w:val="00584C14"/>
    <w:rsid w:val="0058514A"/>
    <w:rsid w:val="00586B9C"/>
    <w:rsid w:val="00586E5A"/>
    <w:rsid w:val="0058720D"/>
    <w:rsid w:val="00592774"/>
    <w:rsid w:val="005952D9"/>
    <w:rsid w:val="005D1565"/>
    <w:rsid w:val="005F1C19"/>
    <w:rsid w:val="00603FE3"/>
    <w:rsid w:val="0060669C"/>
    <w:rsid w:val="00612409"/>
    <w:rsid w:val="00617255"/>
    <w:rsid w:val="00624723"/>
    <w:rsid w:val="00625952"/>
    <w:rsid w:val="00625D88"/>
    <w:rsid w:val="00632B92"/>
    <w:rsid w:val="0063347E"/>
    <w:rsid w:val="00633948"/>
    <w:rsid w:val="006365AE"/>
    <w:rsid w:val="00655C9C"/>
    <w:rsid w:val="00657836"/>
    <w:rsid w:val="00683191"/>
    <w:rsid w:val="006A5ED8"/>
    <w:rsid w:val="006D1C32"/>
    <w:rsid w:val="006D4791"/>
    <w:rsid w:val="006D61EC"/>
    <w:rsid w:val="006E6D1B"/>
    <w:rsid w:val="006F512B"/>
    <w:rsid w:val="0071025B"/>
    <w:rsid w:val="00716EC2"/>
    <w:rsid w:val="0071798E"/>
    <w:rsid w:val="007224FD"/>
    <w:rsid w:val="007445D0"/>
    <w:rsid w:val="007515B5"/>
    <w:rsid w:val="0075667B"/>
    <w:rsid w:val="00760359"/>
    <w:rsid w:val="00762885"/>
    <w:rsid w:val="00784A1A"/>
    <w:rsid w:val="0078656C"/>
    <w:rsid w:val="007957E2"/>
    <w:rsid w:val="00796548"/>
    <w:rsid w:val="0079654C"/>
    <w:rsid w:val="007A00CC"/>
    <w:rsid w:val="007A2768"/>
    <w:rsid w:val="007A36BA"/>
    <w:rsid w:val="007A3916"/>
    <w:rsid w:val="007A576C"/>
    <w:rsid w:val="007B17F4"/>
    <w:rsid w:val="007B6771"/>
    <w:rsid w:val="007C176A"/>
    <w:rsid w:val="007C3CDE"/>
    <w:rsid w:val="007C6717"/>
    <w:rsid w:val="007C7526"/>
    <w:rsid w:val="007D0672"/>
    <w:rsid w:val="007E3776"/>
    <w:rsid w:val="007E45DD"/>
    <w:rsid w:val="007E5073"/>
    <w:rsid w:val="007E5154"/>
    <w:rsid w:val="007E7B99"/>
    <w:rsid w:val="007F0DFC"/>
    <w:rsid w:val="007F0EA6"/>
    <w:rsid w:val="008010B6"/>
    <w:rsid w:val="00802D38"/>
    <w:rsid w:val="00803EC5"/>
    <w:rsid w:val="00806596"/>
    <w:rsid w:val="0081280B"/>
    <w:rsid w:val="008217A3"/>
    <w:rsid w:val="00822178"/>
    <w:rsid w:val="00822312"/>
    <w:rsid w:val="008241DF"/>
    <w:rsid w:val="00824CD5"/>
    <w:rsid w:val="008563F1"/>
    <w:rsid w:val="00856F29"/>
    <w:rsid w:val="008705E7"/>
    <w:rsid w:val="00877191"/>
    <w:rsid w:val="00877651"/>
    <w:rsid w:val="00884282"/>
    <w:rsid w:val="008844E2"/>
    <w:rsid w:val="008861D8"/>
    <w:rsid w:val="008A26E7"/>
    <w:rsid w:val="008A439A"/>
    <w:rsid w:val="008A5EC5"/>
    <w:rsid w:val="008B4330"/>
    <w:rsid w:val="008C629D"/>
    <w:rsid w:val="008D0CBD"/>
    <w:rsid w:val="008D5089"/>
    <w:rsid w:val="008D57BF"/>
    <w:rsid w:val="008E50E7"/>
    <w:rsid w:val="008E542F"/>
    <w:rsid w:val="008F4A1B"/>
    <w:rsid w:val="00904ED9"/>
    <w:rsid w:val="00907B8E"/>
    <w:rsid w:val="00910ABB"/>
    <w:rsid w:val="00910EEE"/>
    <w:rsid w:val="009122E1"/>
    <w:rsid w:val="00912C27"/>
    <w:rsid w:val="009136D0"/>
    <w:rsid w:val="00916A3A"/>
    <w:rsid w:val="00922039"/>
    <w:rsid w:val="00924909"/>
    <w:rsid w:val="009315E5"/>
    <w:rsid w:val="00931EDD"/>
    <w:rsid w:val="00933922"/>
    <w:rsid w:val="00937893"/>
    <w:rsid w:val="00937F25"/>
    <w:rsid w:val="00943F92"/>
    <w:rsid w:val="00955D85"/>
    <w:rsid w:val="00956984"/>
    <w:rsid w:val="009578E0"/>
    <w:rsid w:val="00970142"/>
    <w:rsid w:val="00980C44"/>
    <w:rsid w:val="009840AA"/>
    <w:rsid w:val="00993E09"/>
    <w:rsid w:val="009972D4"/>
    <w:rsid w:val="009A0987"/>
    <w:rsid w:val="009A4196"/>
    <w:rsid w:val="009A5665"/>
    <w:rsid w:val="009B0C31"/>
    <w:rsid w:val="009B3CC7"/>
    <w:rsid w:val="009B7608"/>
    <w:rsid w:val="009B7F24"/>
    <w:rsid w:val="009C5F9D"/>
    <w:rsid w:val="009C769B"/>
    <w:rsid w:val="009D1C6B"/>
    <w:rsid w:val="009D24AE"/>
    <w:rsid w:val="009E0B08"/>
    <w:rsid w:val="009E1123"/>
    <w:rsid w:val="009E2EDF"/>
    <w:rsid w:val="009E4A43"/>
    <w:rsid w:val="009F03F4"/>
    <w:rsid w:val="009F0E1A"/>
    <w:rsid w:val="009F11FA"/>
    <w:rsid w:val="009F1211"/>
    <w:rsid w:val="009F3C45"/>
    <w:rsid w:val="00A04343"/>
    <w:rsid w:val="00A129BE"/>
    <w:rsid w:val="00A16A2F"/>
    <w:rsid w:val="00A21080"/>
    <w:rsid w:val="00A214D0"/>
    <w:rsid w:val="00A353E1"/>
    <w:rsid w:val="00A44EC8"/>
    <w:rsid w:val="00A45965"/>
    <w:rsid w:val="00A45DC5"/>
    <w:rsid w:val="00A531BA"/>
    <w:rsid w:val="00A65E93"/>
    <w:rsid w:val="00A66086"/>
    <w:rsid w:val="00A80E62"/>
    <w:rsid w:val="00AA7ACF"/>
    <w:rsid w:val="00AB4B5A"/>
    <w:rsid w:val="00AB6A2C"/>
    <w:rsid w:val="00AD082A"/>
    <w:rsid w:val="00AE50DE"/>
    <w:rsid w:val="00AF0E18"/>
    <w:rsid w:val="00AF2011"/>
    <w:rsid w:val="00AF3558"/>
    <w:rsid w:val="00B022FB"/>
    <w:rsid w:val="00B05748"/>
    <w:rsid w:val="00B05B43"/>
    <w:rsid w:val="00B0750C"/>
    <w:rsid w:val="00B11D1C"/>
    <w:rsid w:val="00B127FE"/>
    <w:rsid w:val="00B226FC"/>
    <w:rsid w:val="00B274FC"/>
    <w:rsid w:val="00B301B8"/>
    <w:rsid w:val="00B3749B"/>
    <w:rsid w:val="00B41C56"/>
    <w:rsid w:val="00B44502"/>
    <w:rsid w:val="00B46931"/>
    <w:rsid w:val="00B50831"/>
    <w:rsid w:val="00B737D6"/>
    <w:rsid w:val="00B82C58"/>
    <w:rsid w:val="00B904D4"/>
    <w:rsid w:val="00B905AB"/>
    <w:rsid w:val="00B950BE"/>
    <w:rsid w:val="00BA4A66"/>
    <w:rsid w:val="00BA4D55"/>
    <w:rsid w:val="00BB7B32"/>
    <w:rsid w:val="00BC11F0"/>
    <w:rsid w:val="00BC1420"/>
    <w:rsid w:val="00BC14EC"/>
    <w:rsid w:val="00BC26D1"/>
    <w:rsid w:val="00BD5942"/>
    <w:rsid w:val="00BD63AF"/>
    <w:rsid w:val="00BE3185"/>
    <w:rsid w:val="00BE53D5"/>
    <w:rsid w:val="00BF25A9"/>
    <w:rsid w:val="00BF5C68"/>
    <w:rsid w:val="00BF7AF3"/>
    <w:rsid w:val="00C0491A"/>
    <w:rsid w:val="00C07C67"/>
    <w:rsid w:val="00C111EB"/>
    <w:rsid w:val="00C1291F"/>
    <w:rsid w:val="00C151CB"/>
    <w:rsid w:val="00C15C8D"/>
    <w:rsid w:val="00C34B03"/>
    <w:rsid w:val="00C35EF8"/>
    <w:rsid w:val="00C369C3"/>
    <w:rsid w:val="00C36B16"/>
    <w:rsid w:val="00C423A4"/>
    <w:rsid w:val="00C46036"/>
    <w:rsid w:val="00C466CE"/>
    <w:rsid w:val="00C51694"/>
    <w:rsid w:val="00C55CF7"/>
    <w:rsid w:val="00C56F12"/>
    <w:rsid w:val="00C57F18"/>
    <w:rsid w:val="00C623A0"/>
    <w:rsid w:val="00C75D8F"/>
    <w:rsid w:val="00C804E8"/>
    <w:rsid w:val="00C831DB"/>
    <w:rsid w:val="00C85492"/>
    <w:rsid w:val="00C95F60"/>
    <w:rsid w:val="00CA669E"/>
    <w:rsid w:val="00CB012E"/>
    <w:rsid w:val="00CB2462"/>
    <w:rsid w:val="00CB2D46"/>
    <w:rsid w:val="00CB359A"/>
    <w:rsid w:val="00CC0027"/>
    <w:rsid w:val="00CC07B3"/>
    <w:rsid w:val="00CC4A6B"/>
    <w:rsid w:val="00CC52CD"/>
    <w:rsid w:val="00CC7F9A"/>
    <w:rsid w:val="00CE3070"/>
    <w:rsid w:val="00CE333E"/>
    <w:rsid w:val="00CE6467"/>
    <w:rsid w:val="00CE7134"/>
    <w:rsid w:val="00CF0677"/>
    <w:rsid w:val="00CF31F0"/>
    <w:rsid w:val="00D0473B"/>
    <w:rsid w:val="00D0479D"/>
    <w:rsid w:val="00D064D1"/>
    <w:rsid w:val="00D11A78"/>
    <w:rsid w:val="00D1256E"/>
    <w:rsid w:val="00D217BC"/>
    <w:rsid w:val="00D264C8"/>
    <w:rsid w:val="00D32691"/>
    <w:rsid w:val="00D3594C"/>
    <w:rsid w:val="00D40A9A"/>
    <w:rsid w:val="00D536F7"/>
    <w:rsid w:val="00D55887"/>
    <w:rsid w:val="00D62370"/>
    <w:rsid w:val="00D63BC1"/>
    <w:rsid w:val="00D707D4"/>
    <w:rsid w:val="00D76152"/>
    <w:rsid w:val="00D80A26"/>
    <w:rsid w:val="00D82EBF"/>
    <w:rsid w:val="00D87AEF"/>
    <w:rsid w:val="00D92BE5"/>
    <w:rsid w:val="00DA30F9"/>
    <w:rsid w:val="00DA5AC2"/>
    <w:rsid w:val="00DC21DF"/>
    <w:rsid w:val="00DC271A"/>
    <w:rsid w:val="00DC6EB5"/>
    <w:rsid w:val="00DD26D2"/>
    <w:rsid w:val="00DE43BB"/>
    <w:rsid w:val="00DF478B"/>
    <w:rsid w:val="00DF7A96"/>
    <w:rsid w:val="00DF7F76"/>
    <w:rsid w:val="00E112B1"/>
    <w:rsid w:val="00E148ED"/>
    <w:rsid w:val="00E2009C"/>
    <w:rsid w:val="00E22A34"/>
    <w:rsid w:val="00E23469"/>
    <w:rsid w:val="00E26985"/>
    <w:rsid w:val="00E320C7"/>
    <w:rsid w:val="00E3317C"/>
    <w:rsid w:val="00E33E22"/>
    <w:rsid w:val="00E3447D"/>
    <w:rsid w:val="00E40578"/>
    <w:rsid w:val="00E519FC"/>
    <w:rsid w:val="00E53E57"/>
    <w:rsid w:val="00E541A0"/>
    <w:rsid w:val="00E54282"/>
    <w:rsid w:val="00E547E8"/>
    <w:rsid w:val="00E567BA"/>
    <w:rsid w:val="00E85AD8"/>
    <w:rsid w:val="00E90A98"/>
    <w:rsid w:val="00E97793"/>
    <w:rsid w:val="00EA435A"/>
    <w:rsid w:val="00EA4A0A"/>
    <w:rsid w:val="00EB592B"/>
    <w:rsid w:val="00EB7FD6"/>
    <w:rsid w:val="00EC2CAC"/>
    <w:rsid w:val="00EC3CFE"/>
    <w:rsid w:val="00ED3E7F"/>
    <w:rsid w:val="00EE2801"/>
    <w:rsid w:val="00EE37DF"/>
    <w:rsid w:val="00EF032B"/>
    <w:rsid w:val="00EF1467"/>
    <w:rsid w:val="00EF493D"/>
    <w:rsid w:val="00F108CA"/>
    <w:rsid w:val="00F14B42"/>
    <w:rsid w:val="00F25963"/>
    <w:rsid w:val="00F2619F"/>
    <w:rsid w:val="00F26A76"/>
    <w:rsid w:val="00F26B46"/>
    <w:rsid w:val="00F44BF8"/>
    <w:rsid w:val="00F5550A"/>
    <w:rsid w:val="00F71522"/>
    <w:rsid w:val="00F907E1"/>
    <w:rsid w:val="00F90B97"/>
    <w:rsid w:val="00FA0839"/>
    <w:rsid w:val="00FA306C"/>
    <w:rsid w:val="00FA4CA7"/>
    <w:rsid w:val="00FB2E3A"/>
    <w:rsid w:val="00FD3E25"/>
    <w:rsid w:val="00FD44DD"/>
    <w:rsid w:val="00FE254E"/>
    <w:rsid w:val="00FE4737"/>
    <w:rsid w:val="00FF604F"/>
    <w:rsid w:val="057CFC14"/>
    <w:rsid w:val="09441168"/>
    <w:rsid w:val="1E756CC8"/>
    <w:rsid w:val="21E0E6DB"/>
    <w:rsid w:val="25986D5F"/>
    <w:rsid w:val="58366D4D"/>
    <w:rsid w:val="62EC91F6"/>
    <w:rsid w:val="7C8505C3"/>
    <w:rsid w:val="7D51E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F1CFB"/>
  <w15:chartTrackingRefBased/>
  <w15:docId w15:val="{CE329CC0-F6F5-446E-876B-6D39B5E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E1123"/>
    <w:pPr>
      <w:spacing w:after="120" w:line="288" w:lineRule="auto"/>
    </w:pPr>
    <w:rPr>
      <w:rFonts w:ascii="Arial" w:eastAsia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05C"/>
    <w:pPr>
      <w:keepNext/>
      <w:keepLines/>
      <w:pageBreakBefore/>
      <w:spacing w:after="1440" w:line="520" w:lineRule="exact"/>
      <w:contextualSpacing/>
      <w:outlineLvl w:val="0"/>
    </w:pPr>
    <w:rPr>
      <w:rFonts w:asciiTheme="majorHAnsi" w:eastAsiaTheme="majorEastAsia" w:hAnsiTheme="majorHAnsi" w:cstheme="majorBidi"/>
      <w:b/>
      <w:color w:val="FA461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2CBF"/>
    <w:pPr>
      <w:keepNext/>
      <w:keepLines/>
      <w:spacing w:before="360" w:after="60" w:line="264" w:lineRule="auto"/>
      <w:outlineLvl w:val="1"/>
    </w:pPr>
    <w:rPr>
      <w:rFonts w:asciiTheme="majorHAnsi" w:eastAsiaTheme="majorEastAsia" w:hAnsiTheme="majorHAnsi" w:cstheme="majorBidi"/>
      <w:b/>
      <w:color w:val="FA46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C9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373A36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2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429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05C"/>
    <w:rPr>
      <w:rFonts w:asciiTheme="majorHAnsi" w:eastAsiaTheme="majorEastAsia" w:hAnsiTheme="majorHAnsi" w:cstheme="majorBidi"/>
      <w:b/>
      <w:color w:val="FA4616" w:themeColor="accent1"/>
      <w:sz w:val="48"/>
      <w:szCs w:val="32"/>
    </w:rPr>
  </w:style>
  <w:style w:type="table" w:styleId="PlainTable4">
    <w:name w:val="Plain Table 4"/>
    <w:aliases w:val="Rapleys"/>
    <w:basedOn w:val="TableNormal"/>
    <w:uiPriority w:val="44"/>
    <w:rsid w:val="00A45965"/>
    <w:pPr>
      <w:spacing w:after="0" w:line="240" w:lineRule="auto"/>
    </w:pPr>
    <w:tblPr>
      <w:tblStyleRowBandSize w:val="1"/>
      <w:tblStyleColBandSize w:val="1"/>
      <w:tblCellMar>
        <w:top w:w="113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A4616" w:themeFill="accent1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E2CBF"/>
    <w:rPr>
      <w:rFonts w:asciiTheme="majorHAnsi" w:eastAsiaTheme="majorEastAsia" w:hAnsiTheme="majorHAnsi" w:cstheme="majorBidi"/>
      <w:b/>
      <w:color w:val="FA46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C9C"/>
    <w:rPr>
      <w:rFonts w:asciiTheme="majorHAnsi" w:eastAsiaTheme="majorEastAsia" w:hAnsiTheme="majorHAnsi" w:cstheme="majorBidi"/>
      <w:b/>
      <w:color w:val="373A36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954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954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basedOn w:val="Normal"/>
    <w:uiPriority w:val="1"/>
    <w:rsid w:val="0034483E"/>
    <w:pPr>
      <w:numPr>
        <w:numId w:val="5"/>
      </w:numPr>
      <w:spacing w:after="240" w:line="264" w:lineRule="auto"/>
    </w:pPr>
    <w:rPr>
      <w:color w:val="373A36" w:themeColor="text1"/>
    </w:rPr>
  </w:style>
  <w:style w:type="paragraph" w:styleId="ListBullet2">
    <w:name w:val="List Bullet 2"/>
    <w:basedOn w:val="Normal"/>
    <w:uiPriority w:val="1"/>
    <w:rsid w:val="0034483E"/>
    <w:pPr>
      <w:numPr>
        <w:ilvl w:val="1"/>
        <w:numId w:val="5"/>
      </w:numPr>
      <w:spacing w:line="264" w:lineRule="auto"/>
    </w:pPr>
    <w:rPr>
      <w:color w:val="373A36" w:themeColor="text1"/>
    </w:rPr>
  </w:style>
  <w:style w:type="paragraph" w:styleId="ListBullet3">
    <w:name w:val="List Bullet 3"/>
    <w:basedOn w:val="Normal"/>
    <w:uiPriority w:val="1"/>
    <w:rsid w:val="0034483E"/>
    <w:pPr>
      <w:numPr>
        <w:ilvl w:val="2"/>
        <w:numId w:val="5"/>
      </w:numPr>
      <w:spacing w:line="264" w:lineRule="auto"/>
      <w:contextualSpacing/>
    </w:pPr>
    <w:rPr>
      <w:color w:val="373A36" w:themeColor="text1"/>
    </w:rPr>
  </w:style>
  <w:style w:type="paragraph" w:styleId="ListBullet4">
    <w:name w:val="List Bullet 4"/>
    <w:basedOn w:val="Normal"/>
    <w:uiPriority w:val="1"/>
    <w:rsid w:val="0034483E"/>
    <w:pPr>
      <w:numPr>
        <w:ilvl w:val="3"/>
        <w:numId w:val="11"/>
      </w:numPr>
      <w:spacing w:line="264" w:lineRule="auto"/>
      <w:contextualSpacing/>
    </w:pPr>
    <w:rPr>
      <w:color w:val="373A36" w:themeColor="text1"/>
    </w:rPr>
  </w:style>
  <w:style w:type="paragraph" w:styleId="ListNumber">
    <w:name w:val="List Number"/>
    <w:basedOn w:val="Normal"/>
    <w:uiPriority w:val="3"/>
    <w:rsid w:val="0001077B"/>
    <w:pPr>
      <w:numPr>
        <w:numId w:val="6"/>
      </w:numPr>
      <w:spacing w:after="240" w:line="264" w:lineRule="auto"/>
    </w:pPr>
    <w:rPr>
      <w:color w:val="373A36" w:themeColor="text1"/>
    </w:rPr>
  </w:style>
  <w:style w:type="paragraph" w:styleId="ListNumber2">
    <w:name w:val="List Number 2"/>
    <w:basedOn w:val="Normal"/>
    <w:uiPriority w:val="3"/>
    <w:rsid w:val="00203566"/>
    <w:pPr>
      <w:numPr>
        <w:ilvl w:val="1"/>
        <w:numId w:val="11"/>
      </w:numPr>
      <w:spacing w:after="240"/>
    </w:pPr>
  </w:style>
  <w:style w:type="paragraph" w:styleId="ListNumber3">
    <w:name w:val="List Number 3"/>
    <w:basedOn w:val="Normal"/>
    <w:uiPriority w:val="3"/>
    <w:rsid w:val="00203566"/>
    <w:pPr>
      <w:numPr>
        <w:ilvl w:val="2"/>
        <w:numId w:val="11"/>
      </w:numPr>
      <w:spacing w:after="240"/>
    </w:pPr>
  </w:style>
  <w:style w:type="paragraph" w:customStyle="1" w:styleId="BasicParagraph">
    <w:name w:val="[Basic Paragraph]"/>
    <w:basedOn w:val="Normal"/>
    <w:uiPriority w:val="99"/>
    <w:semiHidden/>
    <w:rsid w:val="00DA5AC2"/>
    <w:pPr>
      <w:autoSpaceDE w:val="0"/>
      <w:autoSpaceDN w:val="0"/>
      <w:adjustRightInd w:val="0"/>
      <w:spacing w:after="0"/>
      <w:textAlignment w:val="center"/>
    </w:pPr>
    <w:rPr>
      <w:rFonts w:eastAsiaTheme="minorHAnsi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DA5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DA5AC2"/>
    <w:pPr>
      <w:spacing w:after="0" w:line="240" w:lineRule="auto"/>
    </w:pPr>
    <w:tblPr>
      <w:tblStyleRowBandSize w:val="1"/>
      <w:tblStyleColBandSize w:val="1"/>
      <w:tblBorders>
        <w:top w:val="single" w:sz="4" w:space="0" w:color="FDB4A1" w:themeColor="accent1" w:themeTint="66"/>
        <w:left w:val="single" w:sz="4" w:space="0" w:color="FDB4A1" w:themeColor="accent1" w:themeTint="66"/>
        <w:bottom w:val="single" w:sz="4" w:space="0" w:color="FDB4A1" w:themeColor="accent1" w:themeTint="66"/>
        <w:right w:val="single" w:sz="4" w:space="0" w:color="FDB4A1" w:themeColor="accent1" w:themeTint="66"/>
        <w:insideH w:val="single" w:sz="4" w:space="0" w:color="FDB4A1" w:themeColor="accent1" w:themeTint="66"/>
        <w:insideV w:val="single" w:sz="4" w:space="0" w:color="FDB4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8F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F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2">
    <w:name w:val="List Table 5 Dark Accent 2"/>
    <w:basedOn w:val="TableNormal"/>
    <w:uiPriority w:val="50"/>
    <w:rsid w:val="00DA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232" w:themeColor="accent2"/>
        <w:left w:val="single" w:sz="24" w:space="0" w:color="F58232" w:themeColor="accent2"/>
        <w:bottom w:val="single" w:sz="24" w:space="0" w:color="F58232" w:themeColor="accent2"/>
        <w:right w:val="single" w:sz="24" w:space="0" w:color="F58232" w:themeColor="accent2"/>
      </w:tblBorders>
    </w:tblPr>
    <w:tcPr>
      <w:shd w:val="clear" w:color="auto" w:fill="F582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5AC2"/>
    <w:pPr>
      <w:spacing w:after="0" w:line="240" w:lineRule="auto"/>
    </w:pPr>
    <w:tblPr>
      <w:tblStyleRowBandSize w:val="1"/>
      <w:tblStyleColBandSize w:val="1"/>
      <w:tblBorders>
        <w:top w:val="single" w:sz="4" w:space="0" w:color="F58232" w:themeColor="accent2"/>
        <w:left w:val="single" w:sz="4" w:space="0" w:color="F58232" w:themeColor="accent2"/>
        <w:bottom w:val="single" w:sz="4" w:space="0" w:color="F58232" w:themeColor="accent2"/>
        <w:right w:val="single" w:sz="4" w:space="0" w:color="F582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32" w:themeFill="accent2"/>
      </w:tcPr>
    </w:tblStylePr>
    <w:tblStylePr w:type="lastRow">
      <w:rPr>
        <w:b/>
        <w:bCs/>
      </w:rPr>
      <w:tblPr/>
      <w:tcPr>
        <w:tcBorders>
          <w:top w:val="double" w:sz="4" w:space="0" w:color="F582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32" w:themeColor="accent2"/>
          <w:right w:val="single" w:sz="4" w:space="0" w:color="F58232" w:themeColor="accent2"/>
        </w:tcBorders>
      </w:tcPr>
    </w:tblStylePr>
    <w:tblStylePr w:type="band1Horz">
      <w:tblPr/>
      <w:tcPr>
        <w:tcBorders>
          <w:top w:val="single" w:sz="4" w:space="0" w:color="F58232" w:themeColor="accent2"/>
          <w:bottom w:val="single" w:sz="4" w:space="0" w:color="F582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32" w:themeColor="accent2"/>
          <w:left w:val="nil"/>
        </w:tcBorders>
      </w:tcPr>
    </w:tblStylePr>
    <w:tblStylePr w:type="swCell">
      <w:tblPr/>
      <w:tcPr>
        <w:tcBorders>
          <w:top w:val="double" w:sz="4" w:space="0" w:color="F58232" w:themeColor="accent2"/>
          <w:right w:val="nil"/>
        </w:tcBorders>
      </w:tcPr>
    </w:tblStylePr>
  </w:style>
  <w:style w:type="table" w:styleId="ListTable3-Accent1">
    <w:name w:val="List Table 3 Accent 1"/>
    <w:aliases w:val="Cadent"/>
    <w:basedOn w:val="TableNormal"/>
    <w:uiPriority w:val="48"/>
    <w:rsid w:val="00B905AB"/>
    <w:pPr>
      <w:spacing w:after="0" w:line="200" w:lineRule="exact"/>
    </w:pPr>
    <w:rPr>
      <w:sz w:val="16"/>
    </w:rPr>
    <w:tblPr>
      <w:tblStyleRowBandSize w:val="1"/>
      <w:tblStyleColBandSize w:val="1"/>
      <w:tblBorders>
        <w:insideH w:val="single" w:sz="6" w:space="0" w:color="CACAC9"/>
      </w:tblBorders>
      <w:tblCellMar>
        <w:top w:w="85" w:type="dxa"/>
        <w:left w:w="142" w:type="dxa"/>
        <w:right w:w="142" w:type="dxa"/>
      </w:tblCellMar>
    </w:tblPr>
    <w:tcPr>
      <w:shd w:val="clear" w:color="auto" w:fill="F1F1F1"/>
    </w:tcPr>
    <w:tblStylePr w:type="firstRow">
      <w:rPr>
        <w:rFonts w:asciiTheme="majorHAnsi" w:hAnsiTheme="majorHAnsi"/>
        <w:b w:val="0"/>
        <w:bCs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4616" w:themeFill="accent1"/>
      </w:tcPr>
    </w:tblStylePr>
    <w:tblStylePr w:type="lastRow">
      <w:rPr>
        <w:b/>
        <w:bCs/>
      </w:rPr>
      <w:tblPr/>
      <w:tcPr>
        <w:tcBorders>
          <w:top w:val="double" w:sz="4" w:space="0" w:color="FA4616" w:themeColor="accent1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/>
        <w:bCs/>
        <w:color w:val="FA4616" w:themeColor="accent1"/>
        <w:sz w:val="32"/>
      </w:rPr>
      <w:tblPr/>
      <w:tcPr>
        <w:tcBorders>
          <w:right w:val="single" w:sz="36" w:space="0" w:color="FFFFFF"/>
        </w:tcBorders>
        <w:shd w:val="clear" w:color="auto" w:fill="FFF2E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616" w:themeColor="accent1"/>
          <w:right w:val="single" w:sz="4" w:space="0" w:color="FA4616" w:themeColor="accent1"/>
        </w:tcBorders>
      </w:tcPr>
    </w:tblStylePr>
    <w:tblStylePr w:type="band1Horz">
      <w:tblPr/>
      <w:tcPr>
        <w:tcBorders>
          <w:top w:val="single" w:sz="4" w:space="0" w:color="FA4616" w:themeColor="accent1"/>
          <w:bottom w:val="single" w:sz="4" w:space="0" w:color="FA461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616" w:themeColor="accent1"/>
          <w:left w:val="nil"/>
        </w:tcBorders>
      </w:tcPr>
    </w:tblStylePr>
    <w:tblStylePr w:type="swCell">
      <w:tblPr/>
      <w:tcPr>
        <w:tcBorders>
          <w:top w:val="double" w:sz="4" w:space="0" w:color="FA4616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1D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D6A4A"/>
    <w:pPr>
      <w:spacing w:after="0" w:line="240" w:lineRule="auto"/>
    </w:pPr>
    <w:tblPr>
      <w:tblStyleRowBandSize w:val="1"/>
      <w:tblStyleColBandSize w:val="1"/>
      <w:tblBorders>
        <w:top w:val="single" w:sz="4" w:space="0" w:color="373A36" w:themeColor="text1"/>
        <w:left w:val="single" w:sz="4" w:space="0" w:color="373A36" w:themeColor="text1"/>
        <w:bottom w:val="single" w:sz="4" w:space="0" w:color="373A36" w:themeColor="text1"/>
        <w:right w:val="single" w:sz="4" w:space="0" w:color="373A3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A36" w:themeFill="text1"/>
      </w:tcPr>
    </w:tblStylePr>
    <w:tblStylePr w:type="lastRow">
      <w:rPr>
        <w:b/>
        <w:bCs/>
      </w:rPr>
      <w:tblPr/>
      <w:tcPr>
        <w:tcBorders>
          <w:top w:val="double" w:sz="4" w:space="0" w:color="373A3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A36" w:themeColor="text1"/>
          <w:right w:val="single" w:sz="4" w:space="0" w:color="373A36" w:themeColor="text1"/>
        </w:tcBorders>
      </w:tcPr>
    </w:tblStylePr>
    <w:tblStylePr w:type="band1Horz">
      <w:tblPr/>
      <w:tcPr>
        <w:tcBorders>
          <w:top w:val="single" w:sz="4" w:space="0" w:color="373A36" w:themeColor="text1"/>
          <w:bottom w:val="single" w:sz="4" w:space="0" w:color="373A3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A36" w:themeColor="text1"/>
          <w:left w:val="nil"/>
        </w:tcBorders>
      </w:tcPr>
    </w:tblStylePr>
    <w:tblStylePr w:type="swCell">
      <w:tblPr/>
      <w:tcPr>
        <w:tcBorders>
          <w:top w:val="double" w:sz="4" w:space="0" w:color="373A36" w:themeColor="text1"/>
          <w:right w:val="nil"/>
        </w:tcBorders>
      </w:tcPr>
    </w:tblStylePr>
  </w:style>
  <w:style w:type="paragraph" w:customStyle="1" w:styleId="Tabletext">
    <w:name w:val="Table text"/>
    <w:basedOn w:val="Normal"/>
    <w:uiPriority w:val="8"/>
    <w:qFormat/>
    <w:rsid w:val="0034483E"/>
    <w:pPr>
      <w:spacing w:line="264" w:lineRule="auto"/>
    </w:pPr>
    <w:rPr>
      <w:bCs/>
      <w:sz w:val="16"/>
    </w:rPr>
  </w:style>
  <w:style w:type="paragraph" w:styleId="Quote">
    <w:name w:val="Quote"/>
    <w:basedOn w:val="BodyText1"/>
    <w:next w:val="Normal"/>
    <w:link w:val="QuoteChar"/>
    <w:uiPriority w:val="29"/>
    <w:semiHidden/>
    <w:qFormat/>
    <w:rsid w:val="00762885"/>
    <w:rPr>
      <w:b/>
      <w:color w:val="FFFFFF" w:themeColor="background1"/>
      <w:sz w:val="24"/>
      <w:szCs w:val="28"/>
    </w:rPr>
  </w:style>
  <w:style w:type="paragraph" w:customStyle="1" w:styleId="Heading1Blk">
    <w:name w:val="Heading 1Blk"/>
    <w:basedOn w:val="Normal"/>
    <w:uiPriority w:val="10"/>
    <w:qFormat/>
    <w:rsid w:val="00366555"/>
    <w:pPr>
      <w:spacing w:after="840" w:line="240" w:lineRule="auto"/>
      <w:ind w:right="4026"/>
    </w:pPr>
    <w:rPr>
      <w:b/>
      <w:noProof/>
      <w:color w:val="373A36" w:themeColor="text1"/>
      <w:sz w:val="60"/>
      <w:szCs w:val="60"/>
    </w:rPr>
  </w:style>
  <w:style w:type="table" w:customStyle="1" w:styleId="Textgrid">
    <w:name w:val="Text grid"/>
    <w:basedOn w:val="TableNormal"/>
    <w:uiPriority w:val="99"/>
    <w:rsid w:val="00624723"/>
    <w:pPr>
      <w:spacing w:after="0" w:line="240" w:lineRule="auto"/>
    </w:pPr>
    <w:tblPr>
      <w:tblCellMar>
        <w:left w:w="0" w:type="dxa"/>
        <w:right w:w="284" w:type="dxa"/>
      </w:tblCellMar>
    </w:tblPr>
    <w:tcPr>
      <w:shd w:val="clear" w:color="auto" w:fill="auto"/>
    </w:tcPr>
  </w:style>
  <w:style w:type="paragraph" w:customStyle="1" w:styleId="Intro">
    <w:name w:val="Intro"/>
    <w:basedOn w:val="Normal"/>
    <w:uiPriority w:val="12"/>
    <w:qFormat/>
    <w:rsid w:val="0051418C"/>
    <w:pPr>
      <w:spacing w:after="480" w:line="300" w:lineRule="exact"/>
    </w:pPr>
    <w:rPr>
      <w:b/>
      <w:noProof/>
      <w:color w:val="373A36" w:themeColor="text1"/>
      <w:sz w:val="22"/>
    </w:rPr>
  </w:style>
  <w:style w:type="paragraph" w:styleId="Header">
    <w:name w:val="header"/>
    <w:basedOn w:val="Normal"/>
    <w:link w:val="HeaderChar"/>
    <w:uiPriority w:val="99"/>
    <w:semiHidden/>
    <w:rsid w:val="000B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844"/>
    <w:rPr>
      <w:rFonts w:ascii="Arial" w:eastAsia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DF7A96"/>
    <w:pPr>
      <w:pBdr>
        <w:top w:val="single" w:sz="4" w:space="4" w:color="373A36" w:themeColor="text1"/>
      </w:pBd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844"/>
    <w:rPr>
      <w:rFonts w:ascii="Arial" w:eastAsia="Arial" w:hAnsi="Arial" w:cs="Times New Roman"/>
      <w:sz w:val="20"/>
    </w:rPr>
  </w:style>
  <w:style w:type="paragraph" w:customStyle="1" w:styleId="BodyText1">
    <w:name w:val="Body Text1"/>
    <w:basedOn w:val="Normal"/>
    <w:qFormat/>
    <w:rsid w:val="0034483E"/>
    <w:pPr>
      <w:spacing w:line="264" w:lineRule="auto"/>
    </w:pPr>
    <w:rPr>
      <w:color w:val="373A36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885"/>
    <w:rPr>
      <w:rFonts w:ascii="Arial" w:eastAsia="Arial" w:hAnsi="Arial" w:cs="Times New Roman"/>
      <w:b/>
      <w:color w:val="FFFFFF" w:themeColor="background1"/>
      <w:sz w:val="24"/>
      <w:szCs w:val="28"/>
    </w:rPr>
  </w:style>
  <w:style w:type="paragraph" w:customStyle="1" w:styleId="SectionHeader">
    <w:name w:val="Section Header"/>
    <w:basedOn w:val="BodyText1"/>
    <w:qFormat/>
    <w:rsid w:val="00B127FE"/>
    <w:pPr>
      <w:spacing w:line="240" w:lineRule="auto"/>
    </w:pPr>
    <w:rPr>
      <w:b/>
      <w:color w:val="FA4616" w:themeColor="accent1"/>
      <w:sz w:val="82"/>
    </w:rPr>
  </w:style>
  <w:style w:type="paragraph" w:customStyle="1" w:styleId="Sectionnumber">
    <w:name w:val="Section number"/>
    <w:basedOn w:val="BodyText1"/>
    <w:qFormat/>
    <w:rsid w:val="00E112B1"/>
    <w:pPr>
      <w:numPr>
        <w:numId w:val="11"/>
      </w:numPr>
      <w:jc w:val="center"/>
    </w:pPr>
    <w:rPr>
      <w:color w:val="FFFFFF" w:themeColor="background1"/>
      <w:sz w:val="144"/>
      <w:szCs w:val="24"/>
    </w:rPr>
  </w:style>
  <w:style w:type="paragraph" w:customStyle="1" w:styleId="Contentstitle">
    <w:name w:val="Contents title"/>
    <w:basedOn w:val="Heading1"/>
    <w:semiHidden/>
    <w:qFormat/>
    <w:rsid w:val="00DD26D2"/>
    <w:rPr>
      <w:noProof/>
    </w:rPr>
  </w:style>
  <w:style w:type="paragraph" w:styleId="TOC1">
    <w:name w:val="toc 1"/>
    <w:basedOn w:val="Normal"/>
    <w:next w:val="Normal"/>
    <w:autoRedefine/>
    <w:uiPriority w:val="39"/>
    <w:rsid w:val="009F1211"/>
    <w:pPr>
      <w:pBdr>
        <w:bottom w:val="single" w:sz="2" w:space="2" w:color="FA4616" w:themeColor="accent1"/>
      </w:pBdr>
      <w:tabs>
        <w:tab w:val="right" w:pos="7371"/>
      </w:tabs>
      <w:spacing w:before="360" w:after="0" w:line="300" w:lineRule="exact"/>
      <w:ind w:left="851" w:right="2607"/>
    </w:pPr>
    <w:rPr>
      <w:b/>
      <w:noProof/>
      <w:color w:val="FA4616" w:themeColor="accent1"/>
      <w:sz w:val="30"/>
    </w:rPr>
  </w:style>
  <w:style w:type="paragraph" w:styleId="TOC2">
    <w:name w:val="toc 2"/>
    <w:basedOn w:val="Normal"/>
    <w:next w:val="Normal"/>
    <w:autoRedefine/>
    <w:uiPriority w:val="39"/>
    <w:rsid w:val="009F1211"/>
    <w:pPr>
      <w:tabs>
        <w:tab w:val="right" w:pos="7371"/>
      </w:tabs>
      <w:spacing w:after="0" w:line="320" w:lineRule="exact"/>
      <w:ind w:left="851" w:right="2607"/>
    </w:pPr>
    <w:rPr>
      <w:noProof/>
      <w:color w:val="373A36" w:themeColor="text1"/>
      <w:sz w:val="24"/>
    </w:rPr>
  </w:style>
  <w:style w:type="character" w:styleId="Hyperlink">
    <w:name w:val="Hyperlink"/>
    <w:basedOn w:val="DefaultParagraphFont"/>
    <w:uiPriority w:val="99"/>
    <w:rsid w:val="00DC271A"/>
    <w:rPr>
      <w:color w:val="FA4616" w:themeColor="hyperlink"/>
      <w:u w:val="single"/>
    </w:rPr>
  </w:style>
  <w:style w:type="paragraph" w:customStyle="1" w:styleId="Covertitle">
    <w:name w:val="Cover title"/>
    <w:basedOn w:val="Normal"/>
    <w:uiPriority w:val="13"/>
    <w:qFormat/>
    <w:rsid w:val="00AD082A"/>
    <w:pPr>
      <w:spacing w:before="1440" w:after="160" w:line="240" w:lineRule="auto"/>
    </w:pPr>
    <w:rPr>
      <w:b/>
      <w:color w:val="FA4616" w:themeColor="accent1"/>
      <w:sz w:val="120"/>
      <w:szCs w:val="56"/>
    </w:rPr>
  </w:style>
  <w:style w:type="paragraph" w:customStyle="1" w:styleId="Coversubtitle">
    <w:name w:val="Cover subtitle"/>
    <w:basedOn w:val="Normal"/>
    <w:uiPriority w:val="13"/>
    <w:qFormat/>
    <w:rsid w:val="0001077B"/>
    <w:pPr>
      <w:spacing w:after="160" w:line="259" w:lineRule="auto"/>
    </w:pPr>
    <w:rPr>
      <w:b/>
      <w:color w:val="373A36" w:themeColor="text1"/>
      <w:sz w:val="48"/>
    </w:rPr>
  </w:style>
  <w:style w:type="paragraph" w:customStyle="1" w:styleId="SectionDividerIntro">
    <w:name w:val="Section Divider Intro"/>
    <w:basedOn w:val="Intro"/>
    <w:qFormat/>
    <w:rsid w:val="00B127FE"/>
    <w:pPr>
      <w:framePr w:hSpace="180" w:wrap="around" w:vAnchor="text" w:hAnchor="margin" w:y="1237"/>
      <w:spacing w:line="240" w:lineRule="auto"/>
    </w:pPr>
    <w:rPr>
      <w:sz w:val="30"/>
    </w:rPr>
  </w:style>
  <w:style w:type="paragraph" w:customStyle="1" w:styleId="SectionDividerBody">
    <w:name w:val="Section Divider Body"/>
    <w:basedOn w:val="BodyText1"/>
    <w:qFormat/>
    <w:rsid w:val="00B127FE"/>
    <w:pPr>
      <w:framePr w:hSpace="180" w:wrap="around" w:vAnchor="text" w:hAnchor="margin" w:y="1237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adentgasltd.sharepoint.com/sites/CadentO365AssetLibrary/Document%20Templates/Policies%20and%20Procedures%20-%20New%20branding%202023.dotx" TargetMode="External"/></Relationships>
</file>

<file path=word/theme/theme1.xml><?xml version="1.0" encoding="utf-8"?>
<a:theme xmlns:a="http://schemas.openxmlformats.org/drawingml/2006/main" name="Office Theme">
  <a:themeElements>
    <a:clrScheme name="_Cadent">
      <a:dk1>
        <a:srgbClr val="373A36"/>
      </a:dk1>
      <a:lt1>
        <a:sysClr val="window" lastClr="FFFFFF"/>
      </a:lt1>
      <a:dk2>
        <a:srgbClr val="6DCAF3"/>
      </a:dk2>
      <a:lt2>
        <a:srgbClr val="E7E6E6"/>
      </a:lt2>
      <a:accent1>
        <a:srgbClr val="FA4616"/>
      </a:accent1>
      <a:accent2>
        <a:srgbClr val="F58232"/>
      </a:accent2>
      <a:accent3>
        <a:srgbClr val="373A36"/>
      </a:accent3>
      <a:accent4>
        <a:srgbClr val="37B6AE"/>
      </a:accent4>
      <a:accent5>
        <a:srgbClr val="FFCC00"/>
      </a:accent5>
      <a:accent6>
        <a:srgbClr val="E4609F"/>
      </a:accent6>
      <a:hlink>
        <a:srgbClr val="FA4616"/>
      </a:hlink>
      <a:folHlink>
        <a:srgbClr val="F5823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8dae23-1077-43f0-af6a-f64793792108" xsi:nil="true"/>
    <TaxCatchAll xmlns="3ee84ff3-1fa2-4b0e-bbc1-9d3729ac2ba9" xsi:nil="true"/>
    <Sign_x002d_off_x0020_status xmlns="028dae23-1077-43f0-af6a-f64793792108">
      <UserInfo>
        <DisplayName/>
        <AccountId xsi:nil="true"/>
        <AccountType/>
      </UserInfo>
    </Sign_x002d_off_x0020_status>
    <lcf76f155ced4ddcb4097134ff3c332f xmlns="028dae23-1077-43f0-af6a-f647937921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1071FEC59E41A820E9294AE07AB1" ma:contentTypeVersion="18" ma:contentTypeDescription="Create a new document." ma:contentTypeScope="" ma:versionID="190ef5233fd3a09b260ed5dc2bc97577">
  <xsd:schema xmlns:xsd="http://www.w3.org/2001/XMLSchema" xmlns:xs="http://www.w3.org/2001/XMLSchema" xmlns:p="http://schemas.microsoft.com/office/2006/metadata/properties" xmlns:ns2="028dae23-1077-43f0-af6a-f64793792108" xmlns:ns3="3ee84ff3-1fa2-4b0e-bbc1-9d3729ac2ba9" targetNamespace="http://schemas.microsoft.com/office/2006/metadata/properties" ma:root="true" ma:fieldsID="319b8ff1b527c1cfdcb8d9938a8ecff6" ns2:_="" ns3:_="">
    <xsd:import namespace="028dae23-1077-43f0-af6a-f64793792108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e23-1077-43f0-af6a-f6479379210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0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D5D9-C4D5-423F-A11A-63C3B9DA5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80126-0B6C-429A-A8B3-B68F1BEC050C}">
  <ds:schemaRefs>
    <ds:schemaRef ds:uri="http://schemas.microsoft.com/office/2006/metadata/properties"/>
    <ds:schemaRef ds:uri="http://schemas.microsoft.com/office/infopath/2007/PartnerControls"/>
    <ds:schemaRef ds:uri="1da359e2-f871-418e-b811-afddf73c0589"/>
  </ds:schemaRefs>
</ds:datastoreItem>
</file>

<file path=customXml/itemProps3.xml><?xml version="1.0" encoding="utf-8"?>
<ds:datastoreItem xmlns:ds="http://schemas.openxmlformats.org/officeDocument/2006/customXml" ds:itemID="{BC1E0D0F-4F6A-4727-A198-256C822B4925}"/>
</file>

<file path=customXml/itemProps4.xml><?xml version="1.0" encoding="utf-8"?>
<ds:datastoreItem xmlns:ds="http://schemas.openxmlformats.org/officeDocument/2006/customXml" ds:itemID="{8A1618EB-E833-4E55-9070-0FC27B0A1B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6E53BD-BEC0-4ACD-BA78-BA25575E1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Policies%20and%20Procedures%20-%20New%20branding%202023</Template>
  <TotalTime>159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Dunkley, Darren</dc:creator>
  <cp:keywords/>
  <dc:description/>
  <cp:lastModifiedBy>Dunkley, Darren</cp:lastModifiedBy>
  <cp:revision>151</cp:revision>
  <cp:lastPrinted>2022-08-04T08:34:00Z</cp:lastPrinted>
  <dcterms:created xsi:type="dcterms:W3CDTF">2024-05-23T09:58:00Z</dcterms:created>
  <dcterms:modified xsi:type="dcterms:W3CDTF">2024-05-23T12:44:00Z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0x0101008FE740DDBEDB9340BC7343B29D2BB740</vt:lpwstr>
  </property>
  <property fmtid="{D5CDD505-2E9C-101B-9397-08002B2CF9AE}" pid="3" name="MediaServiceImageTags">
    <vt:lpwstr/>
  </property>
  <property fmtid="{D5CDD505-2E9C-101B-9397-08002B2CF9AE}" pid="4" name="_dlc_DocIdItemGuid">
    <vt:lpwstr>1478a8e3-611a-4374-a9c1-6b6fe05b2f71</vt:lpwstr>
  </property>
</Properties>
</file>