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76" w:type="dxa"/>
        <w:tblInd w:w="-206" w:type="dxa"/>
        <w:shd w:val="clear" w:color="auto" w:fill="CCE0DA"/>
        <w:tblLayout w:type="fixed"/>
        <w:tblCellMar>
          <w:left w:w="0" w:type="dxa"/>
          <w:right w:w="0" w:type="dxa"/>
        </w:tblCellMar>
        <w:tblLook w:val="01E0" w:firstRow="1" w:lastRow="1" w:firstColumn="1" w:lastColumn="1" w:noHBand="0" w:noVBand="0"/>
      </w:tblPr>
      <w:tblGrid>
        <w:gridCol w:w="7973"/>
        <w:gridCol w:w="2303"/>
      </w:tblGrid>
      <w:tr w:rsidR="000B432A" w:rsidRPr="00175E62" w14:paraId="328F4757" w14:textId="77777777" w:rsidTr="3780501F">
        <w:trPr>
          <w:trHeight w:val="1012"/>
        </w:trPr>
        <w:tc>
          <w:tcPr>
            <w:tcW w:w="7973" w:type="dxa"/>
            <w:tcBorders>
              <w:top w:val="single" w:sz="4" w:space="0" w:color="4A8958"/>
              <w:left w:val="single" w:sz="4" w:space="0" w:color="4A8958"/>
              <w:bottom w:val="single" w:sz="4" w:space="0" w:color="4A8958"/>
              <w:right w:val="single" w:sz="4" w:space="0" w:color="4A8958"/>
            </w:tcBorders>
            <w:shd w:val="clear" w:color="auto" w:fill="FFFFFF" w:themeFill="background1"/>
          </w:tcPr>
          <w:p w14:paraId="254C650F" w14:textId="4C77407E" w:rsidR="000B432A" w:rsidRPr="00967004" w:rsidRDefault="007A0DCB" w:rsidP="00FF40C5">
            <w:pPr>
              <w:pStyle w:val="UNCRequest2"/>
            </w:pPr>
            <w:r w:rsidRPr="00AE0931">
              <w:t xml:space="preserve">UNC </w:t>
            </w:r>
            <w:r>
              <w:t>Request</w:t>
            </w:r>
            <w:r w:rsidRPr="00AE0931">
              <w:t xml:space="preserve"> Workgroup Report</w:t>
            </w:r>
          </w:p>
        </w:tc>
        <w:tc>
          <w:tcPr>
            <w:tcW w:w="2303" w:type="dxa"/>
            <w:tcBorders>
              <w:top w:val="single" w:sz="4" w:space="0" w:color="4A8958"/>
              <w:left w:val="single" w:sz="4" w:space="0" w:color="4A8958"/>
              <w:bottom w:val="single" w:sz="4" w:space="0" w:color="4A8958"/>
              <w:right w:val="single" w:sz="4" w:space="0" w:color="4A8958"/>
            </w:tcBorders>
            <w:shd w:val="clear" w:color="auto" w:fill="FFFFFF" w:themeFill="background1"/>
          </w:tcPr>
          <w:p w14:paraId="7ECDA712" w14:textId="77777777" w:rsidR="000B432A" w:rsidRPr="00745709" w:rsidRDefault="000B432A" w:rsidP="00FF40C5">
            <w:pPr>
              <w:pStyle w:val="UNCStyle2"/>
              <w:framePr w:wrap="around"/>
            </w:pPr>
            <w:r w:rsidRPr="00745709">
              <w:t>At what stage is this document in the process?</w:t>
            </w:r>
          </w:p>
        </w:tc>
      </w:tr>
      <w:tr w:rsidR="000B432A" w:rsidRPr="00EB32BB" w14:paraId="7277219D" w14:textId="77777777" w:rsidTr="3780501F">
        <w:trPr>
          <w:trHeight w:val="2725"/>
        </w:trPr>
        <w:tc>
          <w:tcPr>
            <w:tcW w:w="7973" w:type="dxa"/>
            <w:tcBorders>
              <w:top w:val="single" w:sz="4" w:space="0" w:color="4A8958"/>
              <w:left w:val="single" w:sz="4" w:space="0" w:color="4A8958"/>
              <w:bottom w:val="single" w:sz="4" w:space="0" w:color="4A8958"/>
              <w:right w:val="single" w:sz="4" w:space="0" w:color="4A8958"/>
            </w:tcBorders>
            <w:shd w:val="clear" w:color="auto" w:fill="auto"/>
          </w:tcPr>
          <w:p w14:paraId="3DB09A5D" w14:textId="6D9C41C5" w:rsidR="000B432A" w:rsidRDefault="00754315" w:rsidP="39D899CA">
            <w:pPr>
              <w:ind w:left="113" w:right="113"/>
              <w:rPr>
                <w:rFonts w:cs="Arial"/>
                <w:i/>
                <w:iCs/>
                <w:color w:val="00B274"/>
                <w:sz w:val="24"/>
                <w:szCs w:val="24"/>
              </w:rPr>
            </w:pPr>
            <w:r w:rsidRPr="39D899CA">
              <w:rPr>
                <w:rFonts w:cs="Arial"/>
                <w:color w:val="008576"/>
                <w:sz w:val="80"/>
                <w:szCs w:val="80"/>
              </w:rPr>
              <w:t xml:space="preserve">UNC </w:t>
            </w:r>
            <w:r w:rsidR="00F638FA">
              <w:rPr>
                <w:rFonts w:cs="Arial"/>
                <w:color w:val="008576"/>
                <w:sz w:val="80"/>
                <w:szCs w:val="80"/>
              </w:rPr>
              <w:t>0851R</w:t>
            </w:r>
            <w:r w:rsidR="000B432A" w:rsidRPr="39D899CA">
              <w:rPr>
                <w:rFonts w:cs="Arial"/>
                <w:color w:val="008576"/>
                <w:sz w:val="80"/>
                <w:szCs w:val="80"/>
              </w:rPr>
              <w:t>:</w:t>
            </w:r>
          </w:p>
          <w:p w14:paraId="3EFBBD7C" w14:textId="5DBEE853" w:rsidR="000B432A" w:rsidRPr="00EB32BB" w:rsidRDefault="53705066" w:rsidP="3780501F">
            <w:pPr>
              <w:ind w:left="204"/>
              <w:rPr>
                <w:rFonts w:cs="Arial"/>
                <w:i/>
                <w:iCs/>
                <w:color w:val="00B274"/>
                <w:sz w:val="24"/>
                <w:szCs w:val="24"/>
              </w:rPr>
            </w:pPr>
            <w:r w:rsidRPr="3780501F">
              <w:rPr>
                <w:rFonts w:cs="Arial"/>
                <w:color w:val="008000"/>
                <w:sz w:val="48"/>
                <w:szCs w:val="48"/>
              </w:rPr>
              <w:t xml:space="preserve">Extending the Annually Read PC4 </w:t>
            </w:r>
            <w:r w:rsidR="00C37305" w:rsidRPr="3780501F">
              <w:rPr>
                <w:rFonts w:cs="Arial"/>
                <w:color w:val="008000"/>
                <w:sz w:val="48"/>
                <w:szCs w:val="48"/>
              </w:rPr>
              <w:t>Supply Meter Point (</w:t>
            </w:r>
            <w:r w:rsidRPr="3780501F">
              <w:rPr>
                <w:rFonts w:cs="Arial"/>
                <w:color w:val="008000"/>
                <w:sz w:val="48"/>
                <w:szCs w:val="48"/>
              </w:rPr>
              <w:t>SMP</w:t>
            </w:r>
            <w:r w:rsidR="00C37305" w:rsidRPr="3780501F">
              <w:rPr>
                <w:rFonts w:cs="Arial"/>
                <w:color w:val="008000"/>
                <w:sz w:val="48"/>
                <w:szCs w:val="48"/>
              </w:rPr>
              <w:t>)</w:t>
            </w:r>
            <w:r w:rsidRPr="3780501F">
              <w:rPr>
                <w:rFonts w:cs="Arial"/>
                <w:color w:val="008000"/>
                <w:sz w:val="48"/>
                <w:szCs w:val="48"/>
              </w:rPr>
              <w:t xml:space="preserve"> read submission window</w:t>
            </w:r>
          </w:p>
        </w:tc>
        <w:tc>
          <w:tcPr>
            <w:tcW w:w="2303" w:type="dxa"/>
            <w:tcBorders>
              <w:top w:val="single" w:sz="4" w:space="0" w:color="4A8958"/>
              <w:left w:val="single" w:sz="4" w:space="0" w:color="FFFFFF" w:themeColor="background1"/>
              <w:bottom w:val="single" w:sz="4" w:space="0" w:color="4A8958"/>
              <w:right w:val="single" w:sz="4" w:space="0" w:color="4A8958"/>
            </w:tcBorders>
            <w:shd w:val="clear" w:color="auto" w:fill="auto"/>
          </w:tcPr>
          <w:p w14:paraId="5AA120E0" w14:textId="6130178C" w:rsidR="000B432A" w:rsidRPr="00EB32BB" w:rsidRDefault="00FF40C5" w:rsidP="00EE6E87">
            <w:pPr>
              <w:spacing w:line="240" w:lineRule="auto"/>
              <w:ind w:left="27" w:right="113"/>
              <w:jc w:val="center"/>
              <w:rPr>
                <w:rFonts w:cs="Arial"/>
                <w:color w:val="008576"/>
              </w:rPr>
            </w:pPr>
            <w:r w:rsidRPr="004D08C9">
              <w:rPr>
                <w:rFonts w:cs="Arial"/>
                <w:noProof/>
                <w:lang w:val="en-US"/>
              </w:rPr>
              <w:drawing>
                <wp:inline distT="0" distB="0" distL="0" distR="0" wp14:anchorId="0D043ACB" wp14:editId="7650248E">
                  <wp:extent cx="1248410" cy="1525905"/>
                  <wp:effectExtent l="57150" t="57150" r="46990" b="55245"/>
                  <wp:docPr id="715960409"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r w:rsidR="000B432A" w:rsidRPr="00EB32BB" w14:paraId="3FBCF82C" w14:textId="77777777" w:rsidTr="3780501F">
        <w:trPr>
          <w:trHeight w:val="1375"/>
        </w:trPr>
        <w:tc>
          <w:tcPr>
            <w:tcW w:w="10276" w:type="dxa"/>
            <w:gridSpan w:val="2"/>
            <w:tcBorders>
              <w:top w:val="single" w:sz="4" w:space="0" w:color="4A8958"/>
              <w:left w:val="single" w:sz="4" w:space="0" w:color="4A8958"/>
              <w:bottom w:val="single" w:sz="4" w:space="0" w:color="4A8958"/>
              <w:right w:val="single" w:sz="4" w:space="0" w:color="4A8958"/>
            </w:tcBorders>
            <w:shd w:val="clear" w:color="auto" w:fill="auto"/>
          </w:tcPr>
          <w:p w14:paraId="5F5187FB" w14:textId="4D0785D0" w:rsidR="002F1F24" w:rsidRPr="00CA74C4" w:rsidRDefault="002F1F24" w:rsidP="39D899CA">
            <w:pPr>
              <w:pStyle w:val="BodyText2"/>
              <w:ind w:left="113" w:right="113"/>
              <w:rPr>
                <w:rFonts w:cs="Arial"/>
                <w:i/>
                <w:iCs/>
                <w:color w:val="00B274"/>
                <w:sz w:val="24"/>
                <w:szCs w:val="24"/>
              </w:rPr>
            </w:pPr>
            <w:r w:rsidRPr="39D899CA">
              <w:rPr>
                <w:rFonts w:cs="Arial"/>
                <w:b/>
                <w:bCs/>
                <w:sz w:val="24"/>
                <w:szCs w:val="24"/>
              </w:rPr>
              <w:t>Purpose of Request:</w:t>
            </w:r>
            <w:r w:rsidRPr="39D899CA">
              <w:rPr>
                <w:rFonts w:cs="Arial"/>
                <w:i/>
                <w:iCs/>
                <w:color w:val="00B274"/>
                <w:sz w:val="24"/>
                <w:szCs w:val="24"/>
              </w:rPr>
              <w:t xml:space="preserve"> </w:t>
            </w:r>
          </w:p>
          <w:p w14:paraId="55DAA371" w14:textId="5D40D6A0" w:rsidR="000B432A" w:rsidRPr="000B432A" w:rsidRDefault="0CAE1606" w:rsidP="009F5EE2">
            <w:pPr>
              <w:ind w:left="113" w:right="113"/>
              <w:jc w:val="both"/>
              <w:rPr>
                <w:sz w:val="24"/>
                <w:szCs w:val="24"/>
              </w:rPr>
            </w:pPr>
            <w:r w:rsidRPr="3780501F">
              <w:rPr>
                <w:rFonts w:cs="Arial"/>
                <w:sz w:val="24"/>
                <w:szCs w:val="24"/>
              </w:rPr>
              <w:t>Under UNC TPD, M, 5.9.4, Shippers have 25 Supply Point Systems Business Days</w:t>
            </w:r>
            <w:r w:rsidR="006B19F4">
              <w:rPr>
                <w:rFonts w:cs="Arial"/>
                <w:sz w:val="24"/>
                <w:szCs w:val="24"/>
              </w:rPr>
              <w:t xml:space="preserve"> (</w:t>
            </w:r>
            <w:r w:rsidR="006B19F4" w:rsidRPr="3780501F">
              <w:rPr>
                <w:rFonts w:cs="Arial"/>
                <w:sz w:val="24"/>
                <w:szCs w:val="24"/>
              </w:rPr>
              <w:t>SPSBD</w:t>
            </w:r>
            <w:r w:rsidR="006B19F4">
              <w:rPr>
                <w:rFonts w:cs="Arial"/>
                <w:sz w:val="24"/>
                <w:szCs w:val="24"/>
              </w:rPr>
              <w:t>)</w:t>
            </w:r>
            <w:r w:rsidRPr="3780501F">
              <w:rPr>
                <w:rFonts w:cs="Arial"/>
                <w:sz w:val="24"/>
                <w:szCs w:val="24"/>
              </w:rPr>
              <w:t xml:space="preserve"> after the read date to submit a read for settlement. Where there's an issue preventing the read from being validated, and that issue is not resolvable within the 25 </w:t>
            </w:r>
            <w:r w:rsidR="13779DEB" w:rsidRPr="3780501F">
              <w:rPr>
                <w:rFonts w:cs="Arial"/>
                <w:sz w:val="24"/>
                <w:szCs w:val="24"/>
              </w:rPr>
              <w:t xml:space="preserve">SPSBD </w:t>
            </w:r>
            <w:r w:rsidRPr="3780501F">
              <w:rPr>
                <w:rFonts w:cs="Arial"/>
                <w:sz w:val="24"/>
                <w:szCs w:val="24"/>
              </w:rPr>
              <w:t xml:space="preserve">timeframe, the read becomes unusable. </w:t>
            </w:r>
            <w:r w:rsidR="13E07AEC" w:rsidRPr="3780501F">
              <w:rPr>
                <w:rFonts w:cs="Arial"/>
                <w:sz w:val="24"/>
                <w:szCs w:val="24"/>
              </w:rPr>
              <w:t>This is highly problematic for</w:t>
            </w:r>
            <w:r w:rsidR="4025CB66" w:rsidRPr="3780501F">
              <w:rPr>
                <w:rFonts w:cs="Arial"/>
                <w:sz w:val="24"/>
                <w:szCs w:val="24"/>
              </w:rPr>
              <w:t xml:space="preserve"> meter reads</w:t>
            </w:r>
            <w:r w:rsidR="5856D1B9" w:rsidRPr="3780501F">
              <w:rPr>
                <w:rFonts w:cs="Arial"/>
                <w:sz w:val="24"/>
                <w:szCs w:val="24"/>
              </w:rPr>
              <w:t xml:space="preserve"> that</w:t>
            </w:r>
            <w:r w:rsidR="4025CB66" w:rsidRPr="3780501F">
              <w:rPr>
                <w:rFonts w:cs="Arial"/>
                <w:sz w:val="24"/>
                <w:szCs w:val="24"/>
              </w:rPr>
              <w:t xml:space="preserve"> are hard </w:t>
            </w:r>
            <w:r w:rsidR="286BD15E" w:rsidRPr="3780501F">
              <w:rPr>
                <w:rFonts w:cs="Arial"/>
                <w:sz w:val="24"/>
                <w:szCs w:val="24"/>
              </w:rPr>
              <w:t>to retrieve</w:t>
            </w:r>
            <w:r w:rsidR="05B5E0CF" w:rsidRPr="3780501F">
              <w:rPr>
                <w:rFonts w:cs="Arial"/>
                <w:sz w:val="24"/>
                <w:szCs w:val="24"/>
              </w:rPr>
              <w:t>.</w:t>
            </w:r>
            <w:r w:rsidR="286BD15E" w:rsidRPr="3780501F">
              <w:rPr>
                <w:rFonts w:cs="Arial"/>
                <w:sz w:val="24"/>
                <w:szCs w:val="24"/>
              </w:rPr>
              <w:t xml:space="preserve"> </w:t>
            </w:r>
            <w:r w:rsidR="00E03F8C" w:rsidRPr="3780501F">
              <w:rPr>
                <w:rFonts w:cs="Arial"/>
                <w:sz w:val="24"/>
                <w:szCs w:val="24"/>
              </w:rPr>
              <w:t xml:space="preserve">It needs addressing because </w:t>
            </w:r>
            <w:r w:rsidR="00442EE7" w:rsidRPr="3780501F">
              <w:rPr>
                <w:rFonts w:cs="Arial"/>
                <w:sz w:val="24"/>
                <w:szCs w:val="24"/>
              </w:rPr>
              <w:t>e</w:t>
            </w:r>
            <w:r w:rsidR="5B6DF64F" w:rsidRPr="3780501F">
              <w:rPr>
                <w:rFonts w:cs="Arial"/>
                <w:sz w:val="24"/>
                <w:szCs w:val="24"/>
              </w:rPr>
              <w:t xml:space="preserve">nabling valid reads to be entered into settlement </w:t>
            </w:r>
            <w:r w:rsidRPr="3780501F">
              <w:rPr>
                <w:rFonts w:cs="Arial"/>
                <w:sz w:val="24"/>
                <w:szCs w:val="24"/>
              </w:rPr>
              <w:t>decrease</w:t>
            </w:r>
            <w:r w:rsidR="0074283F" w:rsidRPr="3780501F">
              <w:rPr>
                <w:rFonts w:cs="Arial"/>
                <w:sz w:val="24"/>
                <w:szCs w:val="24"/>
              </w:rPr>
              <w:t>s</w:t>
            </w:r>
            <w:r w:rsidRPr="3780501F">
              <w:rPr>
                <w:rFonts w:cs="Arial"/>
                <w:sz w:val="24"/>
                <w:szCs w:val="24"/>
              </w:rPr>
              <w:t xml:space="preserve"> settlement imbalance, unbilled, U</w:t>
            </w:r>
            <w:r w:rsidR="0AE3C64C" w:rsidRPr="3780501F">
              <w:rPr>
                <w:rFonts w:cs="Arial"/>
                <w:sz w:val="24"/>
                <w:szCs w:val="24"/>
              </w:rPr>
              <w:t>nidentified Gas (No reads at Line in the Sand is a UIG contributor)</w:t>
            </w:r>
            <w:r w:rsidRPr="3780501F">
              <w:rPr>
                <w:rFonts w:cs="Arial"/>
                <w:sz w:val="24"/>
                <w:szCs w:val="24"/>
              </w:rPr>
              <w:t xml:space="preserve">, manual AQ fixes, </w:t>
            </w:r>
            <w:r w:rsidR="01DBDFB5" w:rsidRPr="3780501F">
              <w:rPr>
                <w:rFonts w:cs="Arial"/>
                <w:sz w:val="24"/>
                <w:szCs w:val="24"/>
              </w:rPr>
              <w:t xml:space="preserve">repeated costs for </w:t>
            </w:r>
            <w:r w:rsidRPr="3780501F">
              <w:rPr>
                <w:rFonts w:cs="Arial"/>
                <w:sz w:val="24"/>
                <w:szCs w:val="24"/>
              </w:rPr>
              <w:t xml:space="preserve">additional site visits, and </w:t>
            </w:r>
            <w:r w:rsidR="31CF328F" w:rsidRPr="3780501F">
              <w:rPr>
                <w:rFonts w:cs="Arial"/>
                <w:sz w:val="24"/>
                <w:szCs w:val="24"/>
              </w:rPr>
              <w:t xml:space="preserve">time and money spent on </w:t>
            </w:r>
            <w:r w:rsidR="006B19F4">
              <w:rPr>
                <w:rFonts w:cs="Arial"/>
                <w:sz w:val="24"/>
                <w:szCs w:val="24"/>
              </w:rPr>
              <w:t>must-reads</w:t>
            </w:r>
            <w:r w:rsidRPr="3780501F">
              <w:rPr>
                <w:rFonts w:cs="Arial"/>
                <w:sz w:val="24"/>
                <w:szCs w:val="24"/>
              </w:rPr>
              <w:t xml:space="preserve">. </w:t>
            </w:r>
          </w:p>
        </w:tc>
      </w:tr>
      <w:tr w:rsidR="008404BD" w:rsidRPr="00EB32BB" w14:paraId="585F4CE8" w14:textId="77777777" w:rsidTr="3780501F">
        <w:trPr>
          <w:trHeight w:val="899"/>
        </w:trPr>
        <w:tc>
          <w:tcPr>
            <w:tcW w:w="10276" w:type="dxa"/>
            <w:gridSpan w:val="2"/>
            <w:tcBorders>
              <w:top w:val="single" w:sz="4" w:space="0" w:color="4A8958"/>
              <w:left w:val="single" w:sz="4" w:space="0" w:color="4A8958"/>
              <w:bottom w:val="single" w:sz="4" w:space="0" w:color="4A8958"/>
              <w:right w:val="single" w:sz="4" w:space="0" w:color="4A8958"/>
            </w:tcBorders>
            <w:shd w:val="clear" w:color="auto" w:fill="auto"/>
          </w:tcPr>
          <w:p w14:paraId="1B08F4C2" w14:textId="77777777" w:rsidR="007C1B06" w:rsidRPr="008F727E" w:rsidRDefault="007C1B06" w:rsidP="007C1B06">
            <w:pPr>
              <w:pStyle w:val="BodyText2"/>
              <w:ind w:left="113" w:right="113"/>
              <w:rPr>
                <w:rFonts w:cs="Arial"/>
                <w:b/>
                <w:sz w:val="24"/>
              </w:rPr>
            </w:pPr>
            <w:r w:rsidRPr="008F727E">
              <w:rPr>
                <w:rFonts w:cs="Arial"/>
                <w:b/>
                <w:sz w:val="24"/>
              </w:rPr>
              <w:t>Next Steps</w:t>
            </w:r>
            <w:r>
              <w:rPr>
                <w:rFonts w:cs="Arial"/>
                <w:b/>
                <w:sz w:val="24"/>
              </w:rPr>
              <w:t>:</w:t>
            </w:r>
          </w:p>
          <w:p w14:paraId="41A28693" w14:textId="77777777" w:rsidR="007C1B06" w:rsidRDefault="007C1B06" w:rsidP="007C1B06">
            <w:pPr>
              <w:pStyle w:val="BodyText3"/>
              <w:ind w:left="113" w:right="113"/>
              <w:rPr>
                <w:rFonts w:cs="Arial"/>
              </w:rPr>
            </w:pPr>
            <w:r w:rsidRPr="004572D9">
              <w:rPr>
                <w:rFonts w:cs="Arial"/>
              </w:rPr>
              <w:t>The Workgroup recommends that th</w:t>
            </w:r>
            <w:r>
              <w:rPr>
                <w:rFonts w:cs="Arial"/>
              </w:rPr>
              <w:t xml:space="preserve">is Request should be closed. </w:t>
            </w:r>
          </w:p>
          <w:p w14:paraId="0200162C" w14:textId="1A63DC17" w:rsidR="007B3995" w:rsidRPr="00EB32BB" w:rsidRDefault="007C1B06" w:rsidP="007C1B06">
            <w:pPr>
              <w:pStyle w:val="BodyText3"/>
              <w:ind w:left="113" w:right="113"/>
              <w:jc w:val="both"/>
              <w:rPr>
                <w:rFonts w:cs="Arial"/>
              </w:rPr>
            </w:pPr>
            <w:r w:rsidRPr="00E43699">
              <w:rPr>
                <w:rFonts w:cs="Arial"/>
              </w:rPr>
              <w:t xml:space="preserve">The Panel will consider this Workgroup Report on </w:t>
            </w:r>
            <w:r w:rsidR="00106F09" w:rsidRPr="003E3E07">
              <w:rPr>
                <w:rFonts w:cs="Arial"/>
              </w:rPr>
              <w:t>18 July</w:t>
            </w:r>
            <w:r w:rsidR="00AB54D1" w:rsidRPr="003E3E07">
              <w:rPr>
                <w:rFonts w:cs="Arial"/>
              </w:rPr>
              <w:t xml:space="preserve"> 2024</w:t>
            </w:r>
            <w:r w:rsidRPr="00E43699">
              <w:rPr>
                <w:rFonts w:cs="Arial"/>
              </w:rPr>
              <w:t>. The Panel will consider the recommendations and determine the appropriate next steps.</w:t>
            </w:r>
          </w:p>
        </w:tc>
      </w:tr>
      <w:tr w:rsidR="00107AA2" w:rsidRPr="00EB32BB" w14:paraId="0F8818E1" w14:textId="77777777" w:rsidTr="3780501F">
        <w:trPr>
          <w:trHeight w:val="899"/>
        </w:trPr>
        <w:tc>
          <w:tcPr>
            <w:tcW w:w="10276" w:type="dxa"/>
            <w:gridSpan w:val="2"/>
            <w:tcBorders>
              <w:top w:val="single" w:sz="4" w:space="0" w:color="4A8958"/>
              <w:left w:val="single" w:sz="4" w:space="0" w:color="4A8958"/>
              <w:bottom w:val="single" w:sz="4" w:space="0" w:color="4A8958"/>
              <w:right w:val="single" w:sz="4" w:space="0" w:color="4A8958"/>
            </w:tcBorders>
            <w:shd w:val="clear" w:color="auto" w:fill="auto"/>
          </w:tcPr>
          <w:p w14:paraId="3ADDF3BA" w14:textId="04891A8C" w:rsidR="00E83118" w:rsidRPr="00A90299" w:rsidRDefault="00E83118" w:rsidP="39D899CA">
            <w:pPr>
              <w:pStyle w:val="BodyText2"/>
              <w:ind w:left="113" w:right="113"/>
              <w:rPr>
                <w:rFonts w:cs="Arial"/>
                <w:i/>
                <w:iCs/>
                <w:color w:val="00B274"/>
                <w:sz w:val="24"/>
                <w:szCs w:val="24"/>
              </w:rPr>
            </w:pPr>
            <w:r w:rsidRPr="39D899CA">
              <w:rPr>
                <w:rFonts w:cs="Arial"/>
                <w:b/>
                <w:bCs/>
                <w:sz w:val="24"/>
                <w:szCs w:val="24"/>
              </w:rPr>
              <w:t xml:space="preserve">Impacted Parties: </w:t>
            </w:r>
          </w:p>
          <w:p w14:paraId="2413B30C" w14:textId="325AC436" w:rsidR="00E83118" w:rsidRDefault="00E83118" w:rsidP="39D899CA">
            <w:pPr>
              <w:pStyle w:val="BodyText3"/>
              <w:ind w:left="113" w:right="113"/>
            </w:pPr>
            <w:r>
              <w:t>High:</w:t>
            </w:r>
            <w:r w:rsidR="5803A99E">
              <w:t xml:space="preserve"> Suppliers, Shippers, Consumers</w:t>
            </w:r>
          </w:p>
          <w:p w14:paraId="166DDB70" w14:textId="3414CCF9" w:rsidR="00107AA2" w:rsidRPr="00EB32BB" w:rsidDel="00345533" w:rsidRDefault="00E83118" w:rsidP="00EE6E87">
            <w:pPr>
              <w:pStyle w:val="BodyText3"/>
              <w:ind w:left="113" w:right="113"/>
            </w:pPr>
            <w:r>
              <w:t>Low:</w:t>
            </w:r>
            <w:r w:rsidR="7B6E9D00">
              <w:t xml:space="preserve"> Distribution Network Operators, Independent Gas Transporters</w:t>
            </w:r>
          </w:p>
        </w:tc>
      </w:tr>
      <w:tr w:rsidR="00674147" w:rsidRPr="00EB32BB" w14:paraId="6391FD60" w14:textId="77777777" w:rsidTr="3780501F">
        <w:trPr>
          <w:trHeight w:val="899"/>
        </w:trPr>
        <w:tc>
          <w:tcPr>
            <w:tcW w:w="10276" w:type="dxa"/>
            <w:gridSpan w:val="2"/>
            <w:tcBorders>
              <w:top w:val="single" w:sz="4" w:space="0" w:color="4A8958"/>
              <w:left w:val="single" w:sz="4" w:space="0" w:color="4A8958"/>
              <w:bottom w:val="single" w:sz="4" w:space="0" w:color="4A8958"/>
              <w:right w:val="single" w:sz="4" w:space="0" w:color="4A8958"/>
            </w:tcBorders>
            <w:shd w:val="clear" w:color="auto" w:fill="auto"/>
          </w:tcPr>
          <w:p w14:paraId="51632512" w14:textId="0E85825E" w:rsidR="00674147" w:rsidRPr="0093726B" w:rsidRDefault="00EA4CF4" w:rsidP="0004155E">
            <w:pPr>
              <w:pStyle w:val="BodyText2"/>
              <w:ind w:left="113" w:right="113"/>
              <w:rPr>
                <w:rFonts w:cs="Arial"/>
                <w:b/>
                <w:bCs/>
                <w:sz w:val="24"/>
                <w:szCs w:val="24"/>
              </w:rPr>
            </w:pPr>
            <w:r w:rsidRPr="39D899CA">
              <w:rPr>
                <w:rFonts w:cs="Arial"/>
                <w:b/>
                <w:bCs/>
                <w:sz w:val="24"/>
                <w:szCs w:val="24"/>
              </w:rPr>
              <w:t xml:space="preserve">Impacted Codes: </w:t>
            </w:r>
            <w:r w:rsidR="670A0A3F" w:rsidRPr="39D899CA">
              <w:rPr>
                <w:rFonts w:cs="Arial"/>
                <w:sz w:val="24"/>
                <w:szCs w:val="24"/>
              </w:rPr>
              <w:t>IGT UNC, REC</w:t>
            </w:r>
          </w:p>
        </w:tc>
      </w:tr>
    </w:tbl>
    <w:p w14:paraId="417877ED" w14:textId="4BC2A283" w:rsidR="0055068A" w:rsidRPr="00326B80" w:rsidRDefault="0055068A" w:rsidP="0055068A">
      <w:pPr>
        <w:rPr>
          <w:rFonts w:cs="Arial"/>
        </w:rPr>
      </w:pPr>
    </w:p>
    <w:p w14:paraId="59F6D65E" w14:textId="3D481E34" w:rsidR="002024C7" w:rsidRPr="002024C7" w:rsidRDefault="00C9109D" w:rsidP="00EE6E87">
      <w:pPr>
        <w:rPr>
          <w:rFonts w:cs="Arial"/>
        </w:rPr>
      </w:pPr>
      <w:r>
        <w:rPr>
          <w:rFonts w:cs="Arial"/>
        </w:rPr>
        <w:tab/>
      </w:r>
      <w:r>
        <w:rPr>
          <w:rFonts w:cs="Arial"/>
        </w:rPr>
        <w:tab/>
      </w:r>
      <w:r>
        <w:rPr>
          <w:rFonts w:cs="Arial"/>
        </w:rPr>
        <w:tab/>
      </w:r>
      <w:r>
        <w:rPr>
          <w:rFonts w:cs="Arial"/>
        </w:rPr>
        <w:tab/>
      </w:r>
    </w:p>
    <w:tbl>
      <w:tblPr>
        <w:tblW w:w="10173" w:type="dxa"/>
        <w:tblInd w:w="-34" w:type="dxa"/>
        <w:tblLayout w:type="fixed"/>
        <w:tblLook w:val="04A0" w:firstRow="1" w:lastRow="0" w:firstColumn="1" w:lastColumn="0" w:noHBand="0" w:noVBand="1"/>
      </w:tblPr>
      <w:tblGrid>
        <w:gridCol w:w="7905"/>
        <w:gridCol w:w="2268"/>
      </w:tblGrid>
      <w:tr w:rsidR="002F1F24" w:rsidRPr="009469BE" w14:paraId="1735776B" w14:textId="77777777" w:rsidTr="3780501F">
        <w:trPr>
          <w:trHeight w:val="617"/>
        </w:trPr>
        <w:tc>
          <w:tcPr>
            <w:tcW w:w="7905"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6D8AB63A" w14:textId="491C99C6" w:rsidR="002F1F24" w:rsidRPr="009469BE" w:rsidRDefault="002F1F24" w:rsidP="0069079F">
            <w:pPr>
              <w:pStyle w:val="Contents02"/>
            </w:pPr>
            <w:r w:rsidRPr="009469BE">
              <w:lastRenderedPageBreak/>
              <w:t>Contents</w:t>
            </w:r>
          </w:p>
          <w:p w14:paraId="4DD31F02" w14:textId="2D2293E0" w:rsidR="0078013C" w:rsidRDefault="002F1F24" w:rsidP="0078013C">
            <w:pPr>
              <w:pStyle w:val="TOCContents02WGR"/>
              <w:rPr>
                <w:rFonts w:asciiTheme="minorHAnsi" w:eastAsiaTheme="minorEastAsia" w:hAnsiTheme="minorHAnsi" w:cstheme="minorBidi"/>
                <w:kern w:val="2"/>
                <w14:ligatures w14:val="standardContextual"/>
              </w:rPr>
            </w:pPr>
            <w:r w:rsidRPr="00E464E3">
              <w:fldChar w:fldCharType="begin"/>
            </w:r>
            <w:r w:rsidRPr="009469BE">
              <w:instrText xml:space="preserve"> TOC \o "1-1" </w:instrText>
            </w:r>
            <w:r w:rsidRPr="00E464E3">
              <w:fldChar w:fldCharType="separate"/>
            </w:r>
            <w:r w:rsidR="0078013C">
              <w:t>1</w:t>
            </w:r>
            <w:r w:rsidR="0078013C">
              <w:rPr>
                <w:rFonts w:asciiTheme="minorHAnsi" w:eastAsiaTheme="minorEastAsia" w:hAnsiTheme="minorHAnsi" w:cstheme="minorBidi"/>
                <w:kern w:val="2"/>
                <w14:ligatures w14:val="standardContextual"/>
              </w:rPr>
              <w:tab/>
            </w:r>
            <w:r w:rsidR="0078013C">
              <w:t>Request Summary</w:t>
            </w:r>
            <w:r w:rsidR="0078013C">
              <w:tab/>
            </w:r>
            <w:r w:rsidR="0078013C">
              <w:fldChar w:fldCharType="begin"/>
            </w:r>
            <w:r w:rsidR="0078013C">
              <w:instrText xml:space="preserve"> PAGEREF _Toc169177131 \h </w:instrText>
            </w:r>
            <w:r w:rsidR="0078013C">
              <w:fldChar w:fldCharType="separate"/>
            </w:r>
            <w:r w:rsidR="00806171">
              <w:t>3</w:t>
            </w:r>
            <w:r w:rsidR="0078013C">
              <w:fldChar w:fldCharType="end"/>
            </w:r>
          </w:p>
          <w:p w14:paraId="375962D3" w14:textId="7FA63A7F" w:rsidR="0078013C" w:rsidRDefault="0078013C" w:rsidP="0078013C">
            <w:pPr>
              <w:pStyle w:val="TOCContents02WGR"/>
              <w:rPr>
                <w:rFonts w:asciiTheme="minorHAnsi" w:eastAsiaTheme="minorEastAsia" w:hAnsiTheme="minorHAnsi" w:cstheme="minorBidi"/>
                <w:kern w:val="2"/>
                <w14:ligatures w14:val="standardContextual"/>
              </w:rPr>
            </w:pPr>
            <w:r>
              <w:t>2</w:t>
            </w:r>
            <w:r>
              <w:rPr>
                <w:rFonts w:asciiTheme="minorHAnsi" w:eastAsiaTheme="minorEastAsia" w:hAnsiTheme="minorHAnsi" w:cstheme="minorBidi"/>
                <w:kern w:val="2"/>
                <w14:ligatures w14:val="standardContextual"/>
              </w:rPr>
              <w:tab/>
            </w:r>
            <w:r>
              <w:t>Impacts and Costs</w:t>
            </w:r>
            <w:r>
              <w:tab/>
            </w:r>
            <w:r>
              <w:fldChar w:fldCharType="begin"/>
            </w:r>
            <w:r>
              <w:instrText xml:space="preserve"> PAGEREF _Toc169177132 \h </w:instrText>
            </w:r>
            <w:r>
              <w:fldChar w:fldCharType="separate"/>
            </w:r>
            <w:r w:rsidR="00806171">
              <w:t>4</w:t>
            </w:r>
            <w:r>
              <w:fldChar w:fldCharType="end"/>
            </w:r>
          </w:p>
          <w:p w14:paraId="7B30FCFC" w14:textId="70D4BB3E" w:rsidR="0078013C" w:rsidRDefault="0078013C" w:rsidP="0078013C">
            <w:pPr>
              <w:pStyle w:val="TOCContents02WGR"/>
              <w:rPr>
                <w:rFonts w:asciiTheme="minorHAnsi" w:eastAsiaTheme="minorEastAsia" w:hAnsiTheme="minorHAnsi" w:cstheme="minorBidi"/>
                <w:kern w:val="2"/>
                <w14:ligatures w14:val="standardContextual"/>
              </w:rPr>
            </w:pPr>
            <w:r>
              <w:t>3</w:t>
            </w:r>
            <w:r>
              <w:rPr>
                <w:rFonts w:asciiTheme="minorHAnsi" w:eastAsiaTheme="minorEastAsia" w:hAnsiTheme="minorHAnsi" w:cstheme="minorBidi"/>
                <w:kern w:val="2"/>
                <w14:ligatures w14:val="standardContextual"/>
              </w:rPr>
              <w:tab/>
            </w:r>
            <w:r>
              <w:t>Terms of Reference</w:t>
            </w:r>
            <w:r>
              <w:tab/>
            </w:r>
            <w:r>
              <w:fldChar w:fldCharType="begin"/>
            </w:r>
            <w:r>
              <w:instrText xml:space="preserve"> PAGEREF _Toc169177133 \h </w:instrText>
            </w:r>
            <w:r>
              <w:fldChar w:fldCharType="separate"/>
            </w:r>
            <w:r w:rsidR="00806171">
              <w:t>8</w:t>
            </w:r>
            <w:r>
              <w:fldChar w:fldCharType="end"/>
            </w:r>
          </w:p>
          <w:p w14:paraId="21664290" w14:textId="6C13FDBA" w:rsidR="0078013C" w:rsidRDefault="0078013C" w:rsidP="0078013C">
            <w:pPr>
              <w:pStyle w:val="TOCContents02WGR"/>
              <w:rPr>
                <w:rFonts w:asciiTheme="minorHAnsi" w:eastAsiaTheme="minorEastAsia" w:hAnsiTheme="minorHAnsi" w:cstheme="minorBidi"/>
                <w:kern w:val="2"/>
                <w14:ligatures w14:val="standardContextual"/>
              </w:rPr>
            </w:pPr>
            <w:r>
              <w:t>4</w:t>
            </w:r>
            <w:r>
              <w:rPr>
                <w:rFonts w:asciiTheme="minorHAnsi" w:eastAsiaTheme="minorEastAsia" w:hAnsiTheme="minorHAnsi" w:cstheme="minorBidi"/>
                <w:kern w:val="2"/>
                <w14:ligatures w14:val="standardContextual"/>
              </w:rPr>
              <w:tab/>
            </w:r>
            <w:r>
              <w:t>Modification(s)</w:t>
            </w:r>
            <w:r>
              <w:tab/>
            </w:r>
            <w:r>
              <w:fldChar w:fldCharType="begin"/>
            </w:r>
            <w:r>
              <w:instrText xml:space="preserve"> PAGEREF _Toc169177134 \h </w:instrText>
            </w:r>
            <w:r>
              <w:fldChar w:fldCharType="separate"/>
            </w:r>
            <w:r w:rsidR="00806171">
              <w:t>9</w:t>
            </w:r>
            <w:r>
              <w:fldChar w:fldCharType="end"/>
            </w:r>
          </w:p>
          <w:p w14:paraId="6B146141" w14:textId="65BB7DBF" w:rsidR="0078013C" w:rsidRDefault="0078013C" w:rsidP="0078013C">
            <w:pPr>
              <w:pStyle w:val="TOCContents02WGR"/>
              <w:rPr>
                <w:rFonts w:asciiTheme="minorHAnsi" w:eastAsiaTheme="minorEastAsia" w:hAnsiTheme="minorHAnsi" w:cstheme="minorBidi"/>
                <w:kern w:val="2"/>
                <w14:ligatures w14:val="standardContextual"/>
              </w:rPr>
            </w:pPr>
            <w:r>
              <w:t>5</w:t>
            </w:r>
            <w:r>
              <w:rPr>
                <w:rFonts w:asciiTheme="minorHAnsi" w:eastAsiaTheme="minorEastAsia" w:hAnsiTheme="minorHAnsi" w:cstheme="minorBidi"/>
                <w:kern w:val="2"/>
                <w14:ligatures w14:val="standardContextual"/>
              </w:rPr>
              <w:tab/>
            </w:r>
            <w:r>
              <w:t>Recommendations</w:t>
            </w:r>
            <w:r>
              <w:tab/>
            </w:r>
            <w:r>
              <w:fldChar w:fldCharType="begin"/>
            </w:r>
            <w:r>
              <w:instrText xml:space="preserve"> PAGEREF _Toc169177135 \h </w:instrText>
            </w:r>
            <w:r>
              <w:fldChar w:fldCharType="separate"/>
            </w:r>
            <w:r w:rsidR="00806171">
              <w:t>9</w:t>
            </w:r>
            <w:r>
              <w:fldChar w:fldCharType="end"/>
            </w:r>
          </w:p>
          <w:p w14:paraId="211F057D" w14:textId="07E3FDBE" w:rsidR="002F1F24" w:rsidRPr="009469BE" w:rsidRDefault="002F1F24" w:rsidP="0078013C">
            <w:pPr>
              <w:pStyle w:val="TOCContents02WGR"/>
            </w:pPr>
            <w:r w:rsidRPr="00E464E3">
              <w:rPr>
                <w:color w:val="993366"/>
              </w:rPr>
              <w:fldChar w:fldCharType="end"/>
            </w:r>
          </w:p>
          <w:p w14:paraId="3E224B33" w14:textId="77777777" w:rsidR="002F1F24" w:rsidRPr="009469BE" w:rsidRDefault="002F1F24" w:rsidP="0069079F">
            <w:pPr>
              <w:pStyle w:val="About02"/>
            </w:pPr>
            <w:r>
              <w:t>About this document:</w:t>
            </w:r>
          </w:p>
          <w:p w14:paraId="7F9E7CA2" w14:textId="64F6A9A5" w:rsidR="00083DC1" w:rsidRDefault="00083DC1" w:rsidP="00083DC1">
            <w:pPr>
              <w:rPr>
                <w:rFonts w:cs="Arial"/>
                <w:iCs/>
              </w:rPr>
            </w:pPr>
            <w:r w:rsidRPr="0024429E">
              <w:rPr>
                <w:rFonts w:cs="Arial"/>
                <w:iCs/>
              </w:rPr>
              <w:t xml:space="preserve">This report will be presented to the panel on </w:t>
            </w:r>
            <w:r w:rsidR="00D80A6E">
              <w:rPr>
                <w:rFonts w:cs="Arial"/>
                <w:iCs/>
              </w:rPr>
              <w:t>18 July</w:t>
            </w:r>
            <w:r w:rsidR="00796FD1">
              <w:rPr>
                <w:rFonts w:cs="Arial"/>
                <w:iCs/>
              </w:rPr>
              <w:t xml:space="preserve"> 2024</w:t>
            </w:r>
            <w:r w:rsidRPr="0024429E">
              <w:rPr>
                <w:rFonts w:cs="Arial"/>
                <w:iCs/>
              </w:rPr>
              <w:t xml:space="preserve">. </w:t>
            </w:r>
          </w:p>
          <w:p w14:paraId="7E204C75" w14:textId="4F521989" w:rsidR="00083DC1" w:rsidRPr="0024429E" w:rsidRDefault="00FB02E0" w:rsidP="00083DC1">
            <w:pPr>
              <w:rPr>
                <w:rFonts w:cs="Arial"/>
                <w:iCs/>
              </w:rPr>
            </w:pPr>
            <w:r w:rsidRPr="00E43699">
              <w:rPr>
                <w:rFonts w:cs="Arial"/>
              </w:rPr>
              <w:t>The Panel will consider the recommendations and determine the appropriate next steps.</w:t>
            </w:r>
          </w:p>
          <w:p w14:paraId="40BDD4BE" w14:textId="6735B246" w:rsidR="002F1F24" w:rsidRDefault="002F1F24" w:rsidP="00E464E3">
            <w:pPr>
              <w:spacing w:before="240"/>
              <w:rPr>
                <w:rFonts w:cs="Arial"/>
              </w:rPr>
            </w:pPr>
          </w:p>
          <w:p w14:paraId="4D974507" w14:textId="2A196FFA" w:rsidR="002F1F24" w:rsidRPr="00A81AA5" w:rsidRDefault="002F1F24" w:rsidP="00534C72">
            <w:pPr>
              <w:pStyle w:val="BodyTextFirstIndent"/>
              <w:ind w:firstLine="0"/>
              <w:rPr>
                <w:rFonts w:cs="Arial"/>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3F400CBD" w14:textId="38762A7B" w:rsidR="002F1F24" w:rsidRPr="00CA74C4" w:rsidRDefault="00BD799B" w:rsidP="003B4FE2">
            <w:pPr>
              <w:pStyle w:val="BodyText"/>
              <w:spacing w:before="60" w:after="60" w:line="240" w:lineRule="auto"/>
              <w:rPr>
                <w:rFonts w:cs="Arial"/>
              </w:rPr>
            </w:pPr>
            <w:r w:rsidRPr="00CA74C4">
              <w:rPr>
                <w:rFonts w:cs="Arial"/>
                <w:noProof/>
                <w:lang w:val="en-US" w:eastAsia="en-US"/>
              </w:rPr>
              <w:drawing>
                <wp:inline distT="0" distB="0" distL="0" distR="0" wp14:anchorId="6DD1D764" wp14:editId="7A8E1986">
                  <wp:extent cx="2857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2F1F24" w:rsidRPr="00CA74C4">
              <w:rPr>
                <w:rFonts w:cs="Arial"/>
                <w:b/>
                <w:color w:val="008576"/>
              </w:rPr>
              <w:t xml:space="preserve"> Any questions?</w:t>
            </w:r>
          </w:p>
        </w:tc>
      </w:tr>
      <w:tr w:rsidR="002F1F24" w:rsidRPr="009469BE" w14:paraId="05B74EF1" w14:textId="77777777" w:rsidTr="3780501F">
        <w:trPr>
          <w:trHeight w:val="615"/>
        </w:trPr>
        <w:tc>
          <w:tcPr>
            <w:tcW w:w="7905" w:type="dxa"/>
            <w:vMerge/>
          </w:tcPr>
          <w:p w14:paraId="793305A8" w14:textId="77777777" w:rsidR="002F1F24" w:rsidRPr="009469BE" w:rsidRDefault="002F1F24" w:rsidP="00534C72">
            <w:pPr>
              <w:pStyle w:val="Contents01"/>
              <w:rPr>
                <w:rFonts w:ascii="Arial" w:hAnsi="Arial"/>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356CEA4E" w14:textId="77777777" w:rsidR="002F1F24" w:rsidRPr="00CA74C4" w:rsidRDefault="002F1F24" w:rsidP="003B4FE2">
            <w:pPr>
              <w:spacing w:before="60" w:after="60" w:line="240" w:lineRule="auto"/>
              <w:rPr>
                <w:rFonts w:cs="Arial"/>
                <w:color w:val="008576"/>
              </w:rPr>
            </w:pPr>
            <w:r w:rsidRPr="00CA74C4">
              <w:rPr>
                <w:rFonts w:cs="Arial"/>
                <w:color w:val="008576"/>
              </w:rPr>
              <w:t>Contact:</w:t>
            </w:r>
          </w:p>
          <w:p w14:paraId="2E6577F2" w14:textId="77777777" w:rsidR="002F1F24" w:rsidRPr="00CA74C4" w:rsidRDefault="002F1F24" w:rsidP="003B4FE2">
            <w:pPr>
              <w:pStyle w:val="BodyText"/>
              <w:spacing w:before="60" w:after="60" w:line="240" w:lineRule="auto"/>
              <w:rPr>
                <w:rFonts w:cs="Arial"/>
                <w:color w:val="008576"/>
              </w:rPr>
            </w:pPr>
            <w:r>
              <w:rPr>
                <w:rFonts w:cs="Arial"/>
                <w:b/>
                <w:color w:val="008576"/>
              </w:rPr>
              <w:t>Joint Office of Gas Transporters</w:t>
            </w:r>
          </w:p>
        </w:tc>
      </w:tr>
      <w:tr w:rsidR="002F1F24" w:rsidRPr="009469BE" w14:paraId="331EB4CF" w14:textId="77777777" w:rsidTr="3780501F">
        <w:trPr>
          <w:trHeight w:val="615"/>
        </w:trPr>
        <w:tc>
          <w:tcPr>
            <w:tcW w:w="7905" w:type="dxa"/>
            <w:vMerge/>
          </w:tcPr>
          <w:p w14:paraId="645C26BA" w14:textId="77777777" w:rsidR="002F1F24" w:rsidRPr="009469BE" w:rsidRDefault="002F1F24" w:rsidP="00534C72">
            <w:pPr>
              <w:pStyle w:val="Contents01"/>
              <w:rPr>
                <w:rFonts w:ascii="Arial" w:hAnsi="Arial"/>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3E4689BC" w14:textId="7FF03416" w:rsidR="002F1F24" w:rsidRPr="00CA74C4" w:rsidRDefault="00BD799B" w:rsidP="003B4FE2">
            <w:pPr>
              <w:pStyle w:val="BodyText"/>
              <w:spacing w:before="60" w:after="60" w:line="240" w:lineRule="auto"/>
              <w:rPr>
                <w:rFonts w:cs="Arial"/>
                <w:color w:val="008576"/>
              </w:rPr>
            </w:pPr>
            <w:r w:rsidRPr="00CA74C4">
              <w:rPr>
                <w:rFonts w:cs="Arial"/>
                <w:b/>
                <w:noProof/>
                <w:color w:val="008576"/>
                <w:lang w:val="en-US" w:eastAsia="en-US"/>
              </w:rPr>
              <w:drawing>
                <wp:inline distT="0" distB="0" distL="0" distR="0" wp14:anchorId="2641027A" wp14:editId="788ACD3A">
                  <wp:extent cx="285750" cy="285750"/>
                  <wp:effectExtent l="0" t="0" r="0" b="0"/>
                  <wp:docPr id="7" name="Picture 7"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2F1F24" w:rsidRPr="002D4AED">
              <w:rPr>
                <w:rFonts w:cs="Arial"/>
                <w:b/>
                <w:color w:val="008576"/>
                <w:lang w:val="en-US"/>
              </w:rPr>
              <w:t xml:space="preserve"> </w:t>
            </w:r>
            <w:hyperlink r:id="rId19" w:history="1">
              <w:r w:rsidR="002F1F24" w:rsidRPr="002D4AED">
                <w:rPr>
                  <w:rStyle w:val="Hyperlink"/>
                  <w:rFonts w:cs="Arial"/>
                  <w:b/>
                  <w:lang w:val="en-US"/>
                </w:rPr>
                <w:t>enquiries@gasgovernance.co.uk</w:t>
              </w:r>
            </w:hyperlink>
          </w:p>
        </w:tc>
      </w:tr>
      <w:tr w:rsidR="002F1F24" w:rsidRPr="009469BE" w14:paraId="1F7E2EDD" w14:textId="77777777" w:rsidTr="3780501F">
        <w:trPr>
          <w:trHeight w:val="615"/>
        </w:trPr>
        <w:tc>
          <w:tcPr>
            <w:tcW w:w="7905" w:type="dxa"/>
            <w:vMerge/>
          </w:tcPr>
          <w:p w14:paraId="3C0B35ED" w14:textId="77777777" w:rsidR="002F1F24" w:rsidRPr="009469BE" w:rsidRDefault="002F1F24" w:rsidP="00534C72">
            <w:pPr>
              <w:pStyle w:val="Contents01"/>
              <w:rPr>
                <w:rFonts w:ascii="Arial" w:hAnsi="Arial"/>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15209EF1" w14:textId="6F855B34" w:rsidR="002F1F24" w:rsidRPr="00CA74C4" w:rsidRDefault="00BD799B" w:rsidP="003B4FE2">
            <w:pPr>
              <w:pStyle w:val="BodyText"/>
              <w:spacing w:before="60" w:after="60" w:line="240" w:lineRule="auto"/>
              <w:rPr>
                <w:rFonts w:cs="Arial"/>
                <w:color w:val="008576"/>
              </w:rPr>
            </w:pPr>
            <w:r w:rsidRPr="00CA74C4">
              <w:rPr>
                <w:rFonts w:cs="Arial"/>
                <w:b/>
                <w:noProof/>
                <w:color w:val="008576"/>
                <w:lang w:val="en-US" w:eastAsia="en-US"/>
              </w:rPr>
              <w:drawing>
                <wp:inline distT="0" distB="0" distL="0" distR="0" wp14:anchorId="2708D292" wp14:editId="17BE02FD">
                  <wp:extent cx="285750" cy="285750"/>
                  <wp:effectExtent l="0" t="0" r="0" b="0"/>
                  <wp:docPr id="8" name="Picture 8"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2F1F24" w:rsidRPr="009456EA">
              <w:rPr>
                <w:rFonts w:cs="Arial"/>
                <w:b/>
                <w:color w:val="008576"/>
              </w:rPr>
              <w:t>0121 288 2107</w:t>
            </w:r>
          </w:p>
        </w:tc>
      </w:tr>
      <w:tr w:rsidR="00E464E3" w:rsidRPr="009469BE" w14:paraId="58675944" w14:textId="77777777" w:rsidTr="3780501F">
        <w:trPr>
          <w:trHeight w:val="615"/>
        </w:trPr>
        <w:tc>
          <w:tcPr>
            <w:tcW w:w="7905" w:type="dxa"/>
            <w:vMerge/>
          </w:tcPr>
          <w:p w14:paraId="46D88750" w14:textId="77777777" w:rsidR="00E464E3" w:rsidRPr="009469BE" w:rsidRDefault="00E464E3" w:rsidP="00534C72">
            <w:pPr>
              <w:pStyle w:val="Contents01"/>
              <w:rPr>
                <w:rFonts w:ascii="Arial" w:hAnsi="Arial"/>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7BCBD649" w14:textId="77777777" w:rsidR="00E464E3" w:rsidRDefault="00E464E3" w:rsidP="00534C72">
            <w:pPr>
              <w:spacing w:before="60" w:after="60" w:line="240" w:lineRule="auto"/>
              <w:rPr>
                <w:rFonts w:cs="Arial"/>
                <w:color w:val="008576"/>
              </w:rPr>
            </w:pPr>
            <w:r w:rsidRPr="009469BE">
              <w:rPr>
                <w:rFonts w:cs="Arial"/>
                <w:color w:val="008576"/>
              </w:rPr>
              <w:t>Proposer:</w:t>
            </w:r>
          </w:p>
          <w:p w14:paraId="55E8A0A2" w14:textId="2388695A" w:rsidR="00E464E3" w:rsidRPr="00A81AA5" w:rsidRDefault="2666CC90" w:rsidP="39D899CA">
            <w:pPr>
              <w:spacing w:before="60" w:after="60" w:line="240" w:lineRule="auto"/>
              <w:rPr>
                <w:rFonts w:cs="Arial"/>
                <w:b/>
                <w:bCs/>
                <w:color w:val="008576"/>
              </w:rPr>
            </w:pPr>
            <w:r w:rsidRPr="39D899CA">
              <w:rPr>
                <w:rFonts w:cs="Arial"/>
                <w:b/>
                <w:bCs/>
                <w:color w:val="008576"/>
              </w:rPr>
              <w:t>David Morley, OVO Energy</w:t>
            </w:r>
          </w:p>
        </w:tc>
      </w:tr>
      <w:tr w:rsidR="00E464E3" w:rsidRPr="009469BE" w14:paraId="12658991" w14:textId="77777777" w:rsidTr="3780501F">
        <w:trPr>
          <w:trHeight w:val="615"/>
        </w:trPr>
        <w:tc>
          <w:tcPr>
            <w:tcW w:w="7905" w:type="dxa"/>
            <w:vMerge/>
          </w:tcPr>
          <w:p w14:paraId="0FD86D8F" w14:textId="77777777" w:rsidR="00E464E3" w:rsidRPr="009469BE" w:rsidRDefault="00E464E3" w:rsidP="00534C72">
            <w:pPr>
              <w:pStyle w:val="Contents01"/>
              <w:rPr>
                <w:rFonts w:ascii="Arial" w:hAnsi="Arial"/>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7CEFB0FB" w14:textId="302D51AA" w:rsidR="00C94334" w:rsidRPr="009469BE" w:rsidRDefault="00BD799B" w:rsidP="00C94334">
            <w:pPr>
              <w:pStyle w:val="BodyText"/>
              <w:spacing w:before="60" w:after="60" w:line="240" w:lineRule="auto"/>
              <w:rPr>
                <w:rFonts w:cs="Arial"/>
                <w:b/>
                <w:bCs/>
                <w:color w:val="008576"/>
              </w:rPr>
            </w:pPr>
            <w:r>
              <w:rPr>
                <w:noProof/>
              </w:rPr>
              <w:drawing>
                <wp:inline distT="0" distB="0" distL="0" distR="0" wp14:anchorId="1882F31F" wp14:editId="3222219B">
                  <wp:extent cx="292100" cy="292100"/>
                  <wp:effectExtent l="0" t="0" r="0" b="0"/>
                  <wp:docPr id="9" name="Picture 9" descr="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8">
                            <a:extLst>
                              <a:ext uri="{28A0092B-C50C-407E-A947-70E740481C1C}">
                                <a14:useLocalDpi xmlns:a14="http://schemas.microsoft.com/office/drawing/2010/main" val="0"/>
                              </a:ext>
                            </a:extLst>
                          </a:blip>
                          <a:stretch>
                            <a:fillRect/>
                          </a:stretch>
                        </pic:blipFill>
                        <pic:spPr>
                          <a:xfrm>
                            <a:off x="0" y="0"/>
                            <a:ext cx="292100" cy="292100"/>
                          </a:xfrm>
                          <a:prstGeom prst="rect">
                            <a:avLst/>
                          </a:prstGeom>
                        </pic:spPr>
                      </pic:pic>
                    </a:graphicData>
                  </a:graphic>
                </wp:inline>
              </w:drawing>
            </w:r>
            <w:r w:rsidR="00E464E3" w:rsidRPr="39D899CA">
              <w:rPr>
                <w:rFonts w:cs="Arial"/>
                <w:b/>
                <w:bCs/>
                <w:color w:val="008576"/>
              </w:rPr>
              <w:t xml:space="preserve"> </w:t>
            </w:r>
            <w:hyperlink r:id="rId21" w:history="1">
              <w:r w:rsidR="00C94334" w:rsidRPr="00515E40">
                <w:rPr>
                  <w:rStyle w:val="Hyperlink"/>
                  <w:rFonts w:cs="Arial"/>
                  <w:b/>
                  <w:bCs/>
                </w:rPr>
                <w:t>david.morley@ovo.com</w:t>
              </w:r>
            </w:hyperlink>
          </w:p>
        </w:tc>
      </w:tr>
      <w:tr w:rsidR="00E464E3" w:rsidRPr="009469BE" w14:paraId="0D035C32" w14:textId="77777777" w:rsidTr="3780501F">
        <w:trPr>
          <w:trHeight w:val="615"/>
        </w:trPr>
        <w:tc>
          <w:tcPr>
            <w:tcW w:w="7905" w:type="dxa"/>
            <w:vMerge/>
          </w:tcPr>
          <w:p w14:paraId="5C5B473B" w14:textId="77777777" w:rsidR="00E464E3" w:rsidRPr="009469BE" w:rsidRDefault="00E464E3" w:rsidP="00534C72">
            <w:pPr>
              <w:pStyle w:val="Contents01"/>
              <w:rPr>
                <w:rFonts w:ascii="Arial" w:hAnsi="Arial"/>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34C88E2E" w14:textId="423F3F8F" w:rsidR="00E464E3" w:rsidRPr="009469BE" w:rsidRDefault="00BD799B" w:rsidP="00534C72">
            <w:pPr>
              <w:pStyle w:val="BodyText"/>
              <w:spacing w:before="60" w:after="60" w:line="240" w:lineRule="auto"/>
              <w:rPr>
                <w:rFonts w:cs="Arial"/>
                <w:color w:val="008576"/>
              </w:rPr>
            </w:pPr>
            <w:r>
              <w:rPr>
                <w:noProof/>
              </w:rPr>
              <w:drawing>
                <wp:inline distT="0" distB="0" distL="0" distR="0" wp14:anchorId="72B5BC0F" wp14:editId="1E847FDA">
                  <wp:extent cx="292100" cy="292100"/>
                  <wp:effectExtent l="0" t="0" r="0" b="0"/>
                  <wp:docPr id="10" name="Picture 10" descr="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20">
                            <a:extLst>
                              <a:ext uri="{28A0092B-C50C-407E-A947-70E740481C1C}">
                                <a14:useLocalDpi xmlns:a14="http://schemas.microsoft.com/office/drawing/2010/main" val="0"/>
                              </a:ext>
                            </a:extLst>
                          </a:blip>
                          <a:stretch>
                            <a:fillRect/>
                          </a:stretch>
                        </pic:blipFill>
                        <pic:spPr>
                          <a:xfrm>
                            <a:off x="0" y="0"/>
                            <a:ext cx="292100" cy="292100"/>
                          </a:xfrm>
                          <a:prstGeom prst="rect">
                            <a:avLst/>
                          </a:prstGeom>
                        </pic:spPr>
                      </pic:pic>
                    </a:graphicData>
                  </a:graphic>
                </wp:inline>
              </w:drawing>
            </w:r>
            <w:r w:rsidR="06F8A503" w:rsidRPr="3780501F">
              <w:rPr>
                <w:rFonts w:cs="Arial"/>
                <w:b/>
                <w:bCs/>
                <w:color w:val="008576"/>
              </w:rPr>
              <w:t xml:space="preserve"> </w:t>
            </w:r>
            <w:r w:rsidR="3AE9B50C" w:rsidRPr="3780501F">
              <w:rPr>
                <w:rFonts w:cs="Arial"/>
                <w:b/>
                <w:bCs/>
                <w:color w:val="008576"/>
              </w:rPr>
              <w:t>0330 303 5063</w:t>
            </w:r>
          </w:p>
        </w:tc>
      </w:tr>
      <w:tr w:rsidR="00E464E3" w:rsidRPr="009469BE" w14:paraId="0662F81F" w14:textId="77777777" w:rsidTr="3780501F">
        <w:trPr>
          <w:trHeight w:val="493"/>
        </w:trPr>
        <w:tc>
          <w:tcPr>
            <w:tcW w:w="7905" w:type="dxa"/>
            <w:vMerge/>
          </w:tcPr>
          <w:p w14:paraId="6D32C0A9" w14:textId="77777777" w:rsidR="00E464E3" w:rsidRPr="009469BE" w:rsidRDefault="00E464E3" w:rsidP="00534C72">
            <w:pPr>
              <w:pStyle w:val="BodyText"/>
              <w:rPr>
                <w:rFonts w:cs="Arial"/>
                <w:b/>
                <w:bCs/>
                <w:noProof/>
                <w:color w:val="00B274"/>
                <w:szCs w:val="32"/>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4F160669" w14:textId="77777777" w:rsidR="00E464E3" w:rsidRPr="009469BE" w:rsidRDefault="00E464E3" w:rsidP="00534C72">
            <w:pPr>
              <w:spacing w:before="60" w:line="240" w:lineRule="auto"/>
              <w:rPr>
                <w:rFonts w:cs="Arial"/>
                <w:color w:val="008576"/>
              </w:rPr>
            </w:pPr>
            <w:r w:rsidRPr="009469BE">
              <w:rPr>
                <w:rFonts w:cs="Arial"/>
                <w:color w:val="008576"/>
              </w:rPr>
              <w:t>Systems Provider:</w:t>
            </w:r>
          </w:p>
          <w:p w14:paraId="1B00BD18" w14:textId="77777777" w:rsidR="00E464E3" w:rsidRPr="009469BE" w:rsidRDefault="00E464E3" w:rsidP="00534C72">
            <w:pPr>
              <w:pStyle w:val="BodyText"/>
              <w:spacing w:after="60" w:line="240" w:lineRule="auto"/>
              <w:rPr>
                <w:rFonts w:cs="Arial"/>
                <w:b/>
                <w:noProof/>
                <w:color w:val="008576"/>
                <w:lang w:val="en-US" w:eastAsia="en-US"/>
              </w:rPr>
            </w:pPr>
            <w:r w:rsidRPr="009469BE">
              <w:rPr>
                <w:rFonts w:cs="Arial"/>
                <w:b/>
                <w:color w:val="008576"/>
              </w:rPr>
              <w:t>Xoserve</w:t>
            </w:r>
          </w:p>
        </w:tc>
      </w:tr>
      <w:tr w:rsidR="00E464E3" w:rsidRPr="009469BE" w14:paraId="36814D7C" w14:textId="77777777" w:rsidTr="3780501F">
        <w:trPr>
          <w:trHeight w:val="492"/>
        </w:trPr>
        <w:tc>
          <w:tcPr>
            <w:tcW w:w="7905" w:type="dxa"/>
            <w:vMerge/>
          </w:tcPr>
          <w:p w14:paraId="1DD56BCB" w14:textId="77777777" w:rsidR="00E464E3" w:rsidRPr="009469BE" w:rsidRDefault="00E464E3" w:rsidP="00534C72">
            <w:pPr>
              <w:pStyle w:val="BodyText"/>
              <w:rPr>
                <w:rFonts w:cs="Arial"/>
                <w:b/>
                <w:bCs/>
                <w:noProof/>
                <w:color w:val="00B274"/>
                <w:szCs w:val="32"/>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1F951CDF" w14:textId="0BD25F61" w:rsidR="00E464E3" w:rsidRPr="009469BE" w:rsidRDefault="00BD799B" w:rsidP="00534C72">
            <w:pPr>
              <w:pStyle w:val="BodyText"/>
              <w:spacing w:before="60" w:after="60"/>
              <w:rPr>
                <w:rFonts w:cs="Arial"/>
                <w:b/>
                <w:color w:val="008576"/>
              </w:rPr>
            </w:pPr>
            <w:r w:rsidRPr="00D8242C">
              <w:rPr>
                <w:rFonts w:cs="Arial"/>
                <w:b/>
                <w:noProof/>
                <w:color w:val="008576"/>
                <w:lang w:eastAsia="en-US"/>
              </w:rPr>
              <w:drawing>
                <wp:inline distT="0" distB="0" distL="0" distR="0" wp14:anchorId="5BFA6EF0" wp14:editId="2B418685">
                  <wp:extent cx="279400" cy="279400"/>
                  <wp:effectExtent l="0" t="0" r="0" b="0"/>
                  <wp:docPr id="13" name="Picture 13"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D8242C" w:rsidRPr="00D8242C">
              <w:rPr>
                <w:rFonts w:cs="Arial"/>
                <w:b/>
                <w:noProof/>
                <w:color w:val="008576"/>
                <w:lang w:eastAsia="en-US"/>
              </w:rPr>
              <w:t xml:space="preserve"> </w:t>
            </w:r>
            <w:hyperlink r:id="rId22" w:history="1">
              <w:r w:rsidR="00D8242C" w:rsidRPr="00D8242C">
                <w:rPr>
                  <w:rStyle w:val="Hyperlink"/>
                  <w:rFonts w:cs="Arial"/>
                  <w:b/>
                  <w:noProof/>
                  <w:lang w:eastAsia="en-US"/>
                </w:rPr>
                <w:t>UKLink@xoserve.com</w:t>
              </w:r>
            </w:hyperlink>
          </w:p>
        </w:tc>
      </w:tr>
    </w:tbl>
    <w:p w14:paraId="32D5EF6C" w14:textId="0E3CDA22" w:rsidR="00083DC1" w:rsidRDefault="00083DC1" w:rsidP="00DD7C82">
      <w:pPr>
        <w:pStyle w:val="BodyText"/>
        <w:spacing w:line="240" w:lineRule="auto"/>
        <w:rPr>
          <w:rFonts w:cs="Arial"/>
        </w:rPr>
      </w:pPr>
    </w:p>
    <w:p w14:paraId="4F88F908" w14:textId="77777777" w:rsidR="00083DC1" w:rsidRDefault="00083DC1">
      <w:pPr>
        <w:spacing w:before="0" w:after="0" w:line="240" w:lineRule="auto"/>
        <w:rPr>
          <w:rFonts w:cs="Arial"/>
        </w:rPr>
      </w:pPr>
      <w:r>
        <w:rPr>
          <w:rFonts w:cs="Arial"/>
        </w:rPr>
        <w:br w:type="page"/>
      </w:r>
    </w:p>
    <w:p w14:paraId="44965431" w14:textId="0054EE4B" w:rsidR="005A4F5D" w:rsidRPr="00326B80" w:rsidRDefault="001B710F" w:rsidP="00083DC1">
      <w:pPr>
        <w:pStyle w:val="Heading02"/>
      </w:pPr>
      <w:bookmarkStart w:id="0" w:name="_Toc174692131"/>
      <w:bookmarkStart w:id="1" w:name="_Toc169177131"/>
      <w:r>
        <w:lastRenderedPageBreak/>
        <w:t>Request</w:t>
      </w:r>
      <w:bookmarkEnd w:id="0"/>
      <w:r w:rsidR="00083DC1">
        <w:t xml:space="preserve"> Summary</w:t>
      </w:r>
      <w:bookmarkEnd w:id="1"/>
    </w:p>
    <w:p w14:paraId="70494337" w14:textId="77777777" w:rsidR="00341CAD" w:rsidRPr="00326B80" w:rsidRDefault="002420A5" w:rsidP="39D899CA">
      <w:pPr>
        <w:pStyle w:val="Heading4"/>
        <w:keepLines w:val="0"/>
        <w:numPr>
          <w:ilvl w:val="3"/>
          <w:numId w:val="0"/>
        </w:numPr>
        <w:spacing w:before="120"/>
        <w:rPr>
          <w:rFonts w:ascii="Arial" w:eastAsia="Times New Roman" w:hAnsi="Arial" w:cs="Arial"/>
          <w:i w:val="0"/>
          <w:iCs w:val="0"/>
          <w:color w:val="008576"/>
          <w:sz w:val="24"/>
          <w:szCs w:val="24"/>
        </w:rPr>
      </w:pPr>
      <w:bookmarkStart w:id="2" w:name="_Hlk30581572"/>
      <w:bookmarkEnd w:id="2"/>
      <w:r w:rsidRPr="39D899CA">
        <w:rPr>
          <w:rFonts w:ascii="Arial" w:eastAsia="Times New Roman" w:hAnsi="Arial" w:cs="Arial"/>
          <w:i w:val="0"/>
          <w:iCs w:val="0"/>
          <w:color w:val="008576"/>
          <w:sz w:val="24"/>
          <w:szCs w:val="24"/>
        </w:rPr>
        <w:t>Why is the Request being made</w:t>
      </w:r>
      <w:r w:rsidR="00341CAD" w:rsidRPr="39D899CA">
        <w:rPr>
          <w:rFonts w:ascii="Arial" w:eastAsia="Times New Roman" w:hAnsi="Arial" w:cs="Arial"/>
          <w:i w:val="0"/>
          <w:iCs w:val="0"/>
          <w:color w:val="008576"/>
          <w:sz w:val="24"/>
          <w:szCs w:val="24"/>
        </w:rPr>
        <w:t>?</w:t>
      </w:r>
    </w:p>
    <w:p w14:paraId="2EB6C967" w14:textId="63EB83DB" w:rsidR="5E717060" w:rsidRDefault="5E717060" w:rsidP="00365356">
      <w:pPr>
        <w:ind w:left="113" w:right="113"/>
        <w:jc w:val="both"/>
        <w:rPr>
          <w:rFonts w:cs="Arial"/>
        </w:rPr>
      </w:pPr>
      <w:r w:rsidRPr="3780501F">
        <w:rPr>
          <w:rFonts w:cs="Arial"/>
        </w:rPr>
        <w:t xml:space="preserve">Under UNC TPD, M, 5.9.4, Shippers have 25 Supply Point System Business Days after the read date to submit a read for settlement. Where </w:t>
      </w:r>
      <w:r w:rsidR="007524D3" w:rsidRPr="3780501F">
        <w:rPr>
          <w:rFonts w:cs="Arial"/>
        </w:rPr>
        <w:t>there is</w:t>
      </w:r>
      <w:r w:rsidRPr="3780501F">
        <w:rPr>
          <w:rFonts w:cs="Arial"/>
        </w:rPr>
        <w:t xml:space="preserve"> an issue preventing the read from being validated, and that issue is not resolvable within the 25 Day timeframe, the read becomes unusable. This is highly problematic for meter reads that are hard to retrieve from the meter. </w:t>
      </w:r>
    </w:p>
    <w:p w14:paraId="6313C077" w14:textId="2F98246D" w:rsidR="5E717060" w:rsidRDefault="5E717060" w:rsidP="00365356">
      <w:pPr>
        <w:ind w:left="113" w:right="113"/>
        <w:jc w:val="both"/>
      </w:pPr>
      <w:r w:rsidRPr="3780501F">
        <w:rPr>
          <w:rFonts w:cs="Arial"/>
        </w:rPr>
        <w:t xml:space="preserve">Enabling valid reads to be entered into settlement would decrease settlement imbalance, unbilled, Unidentified Gas (No reads at Line in the Sand is a UIG contributor), manual AQ fixes, repeated costs for additional site visits, and time and money spent on </w:t>
      </w:r>
      <w:r w:rsidR="0091314F" w:rsidRPr="3780501F">
        <w:rPr>
          <w:rFonts w:cs="Arial"/>
        </w:rPr>
        <w:t>must-reads</w:t>
      </w:r>
      <w:r w:rsidRPr="3780501F">
        <w:rPr>
          <w:rFonts w:cs="Arial"/>
        </w:rPr>
        <w:t xml:space="preserve">. </w:t>
      </w:r>
    </w:p>
    <w:p w14:paraId="2C80DE15" w14:textId="397C9658" w:rsidR="5E717060" w:rsidRDefault="5E717060" w:rsidP="00365356">
      <w:pPr>
        <w:ind w:left="113" w:right="113"/>
        <w:jc w:val="both"/>
        <w:rPr>
          <w:rFonts w:cs="Arial"/>
        </w:rPr>
      </w:pPr>
      <w:r w:rsidRPr="39D899CA">
        <w:rPr>
          <w:rFonts w:cs="Arial"/>
        </w:rPr>
        <w:t xml:space="preserve">Options on the table are: </w:t>
      </w:r>
    </w:p>
    <w:p w14:paraId="09B1D930" w14:textId="47E4140D" w:rsidR="5E717060" w:rsidRDefault="5E717060" w:rsidP="00365356">
      <w:pPr>
        <w:pStyle w:val="ListParagraph"/>
        <w:numPr>
          <w:ilvl w:val="0"/>
          <w:numId w:val="1"/>
        </w:numPr>
        <w:ind w:right="113"/>
        <w:jc w:val="both"/>
      </w:pPr>
      <w:r w:rsidRPr="39D899CA">
        <w:rPr>
          <w:rFonts w:cs="Arial"/>
        </w:rPr>
        <w:t xml:space="preserve">Extending the PC4 read submission window from 25 SPSBDs to [60] SPSBDs. Electricity settlement, by comparison, enables 14 months for NHH read submission, moving to 4 </w:t>
      </w:r>
      <w:r w:rsidR="439A549D" w:rsidRPr="39D899CA">
        <w:rPr>
          <w:rFonts w:cs="Arial"/>
        </w:rPr>
        <w:t>months</w:t>
      </w:r>
      <w:r w:rsidRPr="39D899CA">
        <w:rPr>
          <w:rFonts w:cs="Arial"/>
        </w:rPr>
        <w:t xml:space="preserve"> with MHHS; or </w:t>
      </w:r>
    </w:p>
    <w:p w14:paraId="2642BE1E" w14:textId="1D82FC8F" w:rsidR="5E717060" w:rsidRDefault="5E717060" w:rsidP="00365356">
      <w:pPr>
        <w:pStyle w:val="ListParagraph"/>
        <w:numPr>
          <w:ilvl w:val="0"/>
          <w:numId w:val="1"/>
        </w:numPr>
        <w:ind w:right="113"/>
        <w:jc w:val="both"/>
      </w:pPr>
      <w:r>
        <w:t xml:space="preserve">Creating a mechanism via which failed valid reads can be resubmitted and </w:t>
      </w:r>
      <w:proofErr w:type="gramStart"/>
      <w:r>
        <w:t>entered into</w:t>
      </w:r>
      <w:proofErr w:type="gramEnd"/>
      <w:r>
        <w:t xml:space="preserve"> </w:t>
      </w:r>
      <w:r w:rsidR="008C5E7C">
        <w:t>S</w:t>
      </w:r>
      <w:r>
        <w:t>ettlement; or</w:t>
      </w:r>
    </w:p>
    <w:p w14:paraId="2B36F94F" w14:textId="44B12C7B" w:rsidR="5E717060" w:rsidRDefault="5E717060" w:rsidP="00365356">
      <w:pPr>
        <w:pStyle w:val="ListParagraph"/>
        <w:numPr>
          <w:ilvl w:val="0"/>
          <w:numId w:val="1"/>
        </w:numPr>
        <w:ind w:right="113"/>
        <w:jc w:val="both"/>
      </w:pPr>
      <w:r>
        <w:t xml:space="preserve">A combination of A) and B): extending the window to [60] SPSBDs and </w:t>
      </w:r>
      <w:r w:rsidR="00B63788">
        <w:t xml:space="preserve">creating </w:t>
      </w:r>
      <w:r>
        <w:t xml:space="preserve">a mechanism for failed valid reads to be re-entered into </w:t>
      </w:r>
      <w:r w:rsidR="008C5E7C">
        <w:t>S</w:t>
      </w:r>
      <w:r>
        <w:t>ettlement.</w:t>
      </w:r>
    </w:p>
    <w:p w14:paraId="6A411852" w14:textId="77777777" w:rsidR="00341CAD" w:rsidRPr="00326B80" w:rsidRDefault="00341CAD" w:rsidP="00365356">
      <w:pPr>
        <w:pStyle w:val="Heading4"/>
        <w:keepLines w:val="0"/>
        <w:numPr>
          <w:ilvl w:val="3"/>
          <w:numId w:val="0"/>
        </w:numPr>
        <w:spacing w:before="120"/>
        <w:jc w:val="both"/>
        <w:rPr>
          <w:rFonts w:ascii="Arial" w:eastAsia="Times New Roman" w:hAnsi="Arial" w:cs="Arial"/>
          <w:i w:val="0"/>
          <w:iCs w:val="0"/>
          <w:color w:val="008576"/>
          <w:sz w:val="24"/>
          <w:szCs w:val="28"/>
        </w:rPr>
      </w:pPr>
      <w:r w:rsidRPr="39D899CA">
        <w:rPr>
          <w:rFonts w:ascii="Arial" w:eastAsia="Times New Roman" w:hAnsi="Arial" w:cs="Arial"/>
          <w:i w:val="0"/>
          <w:iCs w:val="0"/>
          <w:color w:val="008576"/>
          <w:sz w:val="24"/>
          <w:szCs w:val="24"/>
        </w:rPr>
        <w:t>Impacts &amp; Costs</w:t>
      </w:r>
    </w:p>
    <w:p w14:paraId="05ADA504" w14:textId="560739BC" w:rsidR="14768B55" w:rsidRDefault="00A40F3F" w:rsidP="00365356">
      <w:pPr>
        <w:jc w:val="both"/>
      </w:pPr>
      <w:r>
        <w:t>This request would aim to address s</w:t>
      </w:r>
      <w:r w:rsidR="14768B55">
        <w:t xml:space="preserve">ettlement imbalance, unbilled, Unidentified Gas (No reads at Line in the Sand is a UIG contributor), manual AQ fixes, repeated costs for additional site visits, and time and money spent on </w:t>
      </w:r>
      <w:r w:rsidR="008C5E7C">
        <w:t>must-reads.</w:t>
      </w:r>
    </w:p>
    <w:p w14:paraId="71E31A04" w14:textId="77777777" w:rsidR="00341CAD" w:rsidRPr="00326B80" w:rsidRDefault="00341CAD" w:rsidP="00365356">
      <w:pPr>
        <w:pStyle w:val="Heading4"/>
        <w:keepNext w:val="0"/>
        <w:keepLines w:val="0"/>
        <w:numPr>
          <w:ilvl w:val="3"/>
          <w:numId w:val="0"/>
        </w:numPr>
        <w:spacing w:before="120"/>
        <w:jc w:val="both"/>
        <w:rPr>
          <w:rFonts w:ascii="Arial" w:eastAsia="Times New Roman" w:hAnsi="Arial" w:cs="Arial"/>
          <w:i w:val="0"/>
          <w:iCs w:val="0"/>
          <w:color w:val="008576"/>
          <w:sz w:val="24"/>
          <w:szCs w:val="28"/>
        </w:rPr>
      </w:pPr>
      <w:r w:rsidRPr="39D899CA">
        <w:rPr>
          <w:rFonts w:ascii="Arial" w:eastAsia="Times New Roman" w:hAnsi="Arial" w:cs="Arial"/>
          <w:i w:val="0"/>
          <w:iCs w:val="0"/>
          <w:color w:val="008576"/>
          <w:sz w:val="24"/>
          <w:szCs w:val="24"/>
        </w:rPr>
        <w:t>Recommendations</w:t>
      </w:r>
    </w:p>
    <w:p w14:paraId="53661A74" w14:textId="554C4247" w:rsidR="2E408094" w:rsidRDefault="2E408094" w:rsidP="00365356">
      <w:pPr>
        <w:jc w:val="both"/>
      </w:pPr>
      <w:r>
        <w:t xml:space="preserve">Analysis of the above options to agree </w:t>
      </w:r>
      <w:r w:rsidR="008C5E7C">
        <w:t xml:space="preserve">on the </w:t>
      </w:r>
      <w:r>
        <w:t>best solution to carry forward as a substantive change</w:t>
      </w:r>
      <w:r w:rsidR="001F0C80">
        <w:t xml:space="preserve"> in the form </w:t>
      </w:r>
      <w:r w:rsidR="009F3839">
        <w:t>of a Modification as required</w:t>
      </w:r>
      <w:r>
        <w:t>.</w:t>
      </w:r>
    </w:p>
    <w:p w14:paraId="19A5D038" w14:textId="77777777" w:rsidR="00646EF2" w:rsidRPr="008D54E0" w:rsidRDefault="00646EF2" w:rsidP="00646EF2">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Workgroup’s Assessment</w:t>
      </w:r>
    </w:p>
    <w:p w14:paraId="5EE53BFF" w14:textId="430C35D3" w:rsidR="002E28C4" w:rsidRDefault="002E28C4" w:rsidP="00E1721E">
      <w:pPr>
        <w:jc w:val="both"/>
      </w:pPr>
      <w:r>
        <w:rPr>
          <w:szCs w:val="16"/>
        </w:rPr>
        <w:t>The Workgroup considered</w:t>
      </w:r>
      <w:r w:rsidR="006B7093">
        <w:rPr>
          <w:szCs w:val="16"/>
        </w:rPr>
        <w:t xml:space="preserve"> </w:t>
      </w:r>
      <w:r w:rsidR="00C733C3">
        <w:rPr>
          <w:szCs w:val="16"/>
        </w:rPr>
        <w:t xml:space="preserve">the Review Group request </w:t>
      </w:r>
      <w:r w:rsidR="00763BE3">
        <w:rPr>
          <w:szCs w:val="16"/>
        </w:rPr>
        <w:t xml:space="preserve">and the </w:t>
      </w:r>
      <w:r w:rsidR="0022162F">
        <w:rPr>
          <w:szCs w:val="16"/>
        </w:rPr>
        <w:t>proposal</w:t>
      </w:r>
      <w:r w:rsidR="00763BE3">
        <w:rPr>
          <w:szCs w:val="16"/>
        </w:rPr>
        <w:t xml:space="preserve"> to </w:t>
      </w:r>
      <w:r w:rsidR="001D27E7">
        <w:t xml:space="preserve">extend the current read submission window for Class </w:t>
      </w:r>
      <w:proofErr w:type="gramStart"/>
      <w:r w:rsidR="001D27E7">
        <w:t>4 meter</w:t>
      </w:r>
      <w:proofErr w:type="gramEnd"/>
      <w:r w:rsidR="001D27E7">
        <w:t xml:space="preserve"> points from 25 Supply Point Systems Business Days to a higher number</w:t>
      </w:r>
      <w:r w:rsidR="00A153B6">
        <w:t xml:space="preserve">. </w:t>
      </w:r>
      <w:r w:rsidR="00A86E01">
        <w:t>The review considered:</w:t>
      </w:r>
    </w:p>
    <w:p w14:paraId="1599A6CF" w14:textId="296D253F" w:rsidR="00A86E01" w:rsidRDefault="00A86E01" w:rsidP="00A86E01">
      <w:pPr>
        <w:pStyle w:val="ListParagraph"/>
        <w:numPr>
          <w:ilvl w:val="0"/>
          <w:numId w:val="34"/>
        </w:numPr>
        <w:jc w:val="both"/>
      </w:pPr>
      <w:r>
        <w:t xml:space="preserve">The </w:t>
      </w:r>
      <w:r w:rsidR="00F13B40">
        <w:t xml:space="preserve">potential process impacts of extending the </w:t>
      </w:r>
      <w:proofErr w:type="spellStart"/>
      <w:r w:rsidR="00F13B40">
        <w:t>read</w:t>
      </w:r>
      <w:proofErr w:type="spellEnd"/>
      <w:r w:rsidR="00F13B40">
        <w:t xml:space="preserve"> window.</w:t>
      </w:r>
    </w:p>
    <w:p w14:paraId="27D1E7DF" w14:textId="340AE386" w:rsidR="00F13B40" w:rsidRDefault="004465F6" w:rsidP="00A86E01">
      <w:pPr>
        <w:pStyle w:val="ListParagraph"/>
        <w:numPr>
          <w:ilvl w:val="0"/>
          <w:numId w:val="34"/>
        </w:numPr>
        <w:jc w:val="both"/>
      </w:pPr>
      <w:r>
        <w:t xml:space="preserve">What the optimal </w:t>
      </w:r>
      <w:r w:rsidR="00F02C82">
        <w:t xml:space="preserve">number of </w:t>
      </w:r>
      <w:r>
        <w:t>supply point business day</w:t>
      </w:r>
      <w:r w:rsidR="00F02C82">
        <w:t>s might be f</w:t>
      </w:r>
      <w:r w:rsidR="00384447">
        <w:t xml:space="preserve">or extending the </w:t>
      </w:r>
      <w:proofErr w:type="spellStart"/>
      <w:r w:rsidR="00384447">
        <w:t>read</w:t>
      </w:r>
      <w:proofErr w:type="spellEnd"/>
      <w:r w:rsidR="00384447">
        <w:t xml:space="preserve"> window</w:t>
      </w:r>
      <w:r w:rsidR="006F41FC">
        <w:t>.</w:t>
      </w:r>
    </w:p>
    <w:p w14:paraId="18355BE9" w14:textId="4DB7DE04" w:rsidR="006F41FC" w:rsidRDefault="00280E08" w:rsidP="00A86E01">
      <w:pPr>
        <w:pStyle w:val="ListParagraph"/>
        <w:numPr>
          <w:ilvl w:val="0"/>
          <w:numId w:val="34"/>
        </w:numPr>
        <w:jc w:val="both"/>
      </w:pPr>
      <w:r>
        <w:t xml:space="preserve">The views of PAC </w:t>
      </w:r>
      <w:r w:rsidR="004D3FEC">
        <w:t>on the potential impact of valid readings not getting into settlement and the effect this would have on overall accuracy</w:t>
      </w:r>
      <w:r w:rsidR="00E402C5">
        <w:t>.</w:t>
      </w:r>
    </w:p>
    <w:p w14:paraId="4789F4FB" w14:textId="316F49F9" w:rsidR="00EB5B02" w:rsidRDefault="00EB5B02" w:rsidP="00A86E01">
      <w:pPr>
        <w:pStyle w:val="ListParagraph"/>
        <w:numPr>
          <w:ilvl w:val="0"/>
          <w:numId w:val="34"/>
        </w:numPr>
        <w:jc w:val="both"/>
      </w:pPr>
      <w:r>
        <w:t xml:space="preserve">The use of </w:t>
      </w:r>
      <w:r w:rsidR="003F3061">
        <w:t xml:space="preserve">‘staggered benchmarks’ for read submission and what these benchmarks should be set at. </w:t>
      </w:r>
    </w:p>
    <w:p w14:paraId="1FDB2A1E" w14:textId="57B7448C" w:rsidR="00E402C5" w:rsidRDefault="006E4AC5" w:rsidP="00A86E01">
      <w:pPr>
        <w:pStyle w:val="ListParagraph"/>
        <w:numPr>
          <w:ilvl w:val="0"/>
          <w:numId w:val="34"/>
        </w:numPr>
        <w:jc w:val="both"/>
      </w:pPr>
      <w:r>
        <w:t xml:space="preserve">The content and questions </w:t>
      </w:r>
      <w:r w:rsidR="00564A36">
        <w:t>to be included within</w:t>
      </w:r>
      <w:r w:rsidR="00B32E93">
        <w:t xml:space="preserve"> a PAC RFI </w:t>
      </w:r>
      <w:r w:rsidR="00BE377D">
        <w:t xml:space="preserve">that was subsequently </w:t>
      </w:r>
      <w:r w:rsidR="00B32E93">
        <w:t>issue</w:t>
      </w:r>
      <w:r w:rsidR="00E6426E">
        <w:t>d</w:t>
      </w:r>
      <w:r w:rsidR="00B32E93">
        <w:t xml:space="preserve"> to Parties</w:t>
      </w:r>
      <w:r w:rsidR="00E6426E">
        <w:t xml:space="preserve"> to inform the Review</w:t>
      </w:r>
      <w:r w:rsidR="00B32E93">
        <w:t>.</w:t>
      </w:r>
    </w:p>
    <w:p w14:paraId="412C8E35" w14:textId="776C73C5" w:rsidR="00B32E93" w:rsidRDefault="00470086" w:rsidP="00A86E01">
      <w:pPr>
        <w:pStyle w:val="ListParagraph"/>
        <w:numPr>
          <w:ilvl w:val="0"/>
          <w:numId w:val="34"/>
        </w:numPr>
        <w:jc w:val="both"/>
      </w:pPr>
      <w:r>
        <w:t>The results of the PAC RFI</w:t>
      </w:r>
      <w:r w:rsidR="00D86034">
        <w:t>.</w:t>
      </w:r>
    </w:p>
    <w:p w14:paraId="28742668" w14:textId="78F02087" w:rsidR="00470086" w:rsidRDefault="007E1BCC" w:rsidP="00470086">
      <w:pPr>
        <w:pStyle w:val="ListParagraph"/>
        <w:numPr>
          <w:ilvl w:val="0"/>
          <w:numId w:val="34"/>
        </w:numPr>
        <w:jc w:val="both"/>
      </w:pPr>
      <w:r>
        <w:t xml:space="preserve">Whether </w:t>
      </w:r>
      <w:r w:rsidR="00906A52">
        <w:t xml:space="preserve">the interaction between </w:t>
      </w:r>
      <w:r w:rsidR="00FF083D">
        <w:t xml:space="preserve">read performance obligations in TPD M5.9.4 </w:t>
      </w:r>
      <w:r w:rsidR="001E2E94">
        <w:t>is</w:t>
      </w:r>
      <w:r w:rsidR="00FF083D">
        <w:t xml:space="preserve"> sufficiently clear</w:t>
      </w:r>
      <w:r w:rsidR="00470086">
        <w:t xml:space="preserve">. </w:t>
      </w:r>
    </w:p>
    <w:p w14:paraId="79D5E934" w14:textId="37FE59F4" w:rsidR="00E1721E" w:rsidRPr="00326B80" w:rsidRDefault="00E1721E" w:rsidP="00E1721E">
      <w:pPr>
        <w:jc w:val="both"/>
        <w:rPr>
          <w:rFonts w:cs="Arial"/>
        </w:rPr>
      </w:pPr>
      <w:r>
        <w:rPr>
          <w:szCs w:val="16"/>
        </w:rPr>
        <w:t xml:space="preserve">Please refer to the Workgroup meeting minutes and Workgroup material for further information on the </w:t>
      </w:r>
      <w:r w:rsidR="00A85D94">
        <w:rPr>
          <w:szCs w:val="16"/>
        </w:rPr>
        <w:t>discussion</w:t>
      </w:r>
      <w:r w:rsidR="00BE377D">
        <w:rPr>
          <w:szCs w:val="16"/>
        </w:rPr>
        <w:t>s</w:t>
      </w:r>
      <w:r w:rsidR="00A85D94">
        <w:rPr>
          <w:szCs w:val="16"/>
        </w:rPr>
        <w:t xml:space="preserve"> held for this Request: </w:t>
      </w:r>
    </w:p>
    <w:p w14:paraId="1E605C8A" w14:textId="77777777" w:rsidR="00E1721E" w:rsidRDefault="00586A41" w:rsidP="00E1721E">
      <w:pPr>
        <w:jc w:val="both"/>
        <w:rPr>
          <w:rFonts w:cs="Arial"/>
        </w:rPr>
      </w:pPr>
      <w:hyperlink r:id="rId23" w:history="1">
        <w:r w:rsidR="00E1721E">
          <w:rPr>
            <w:rStyle w:val="Hyperlink"/>
            <w:rFonts w:cs="Arial"/>
          </w:rPr>
          <w:t>Workgroup Meeting 23 November 2023</w:t>
        </w:r>
      </w:hyperlink>
    </w:p>
    <w:p w14:paraId="71CADC4B" w14:textId="77777777" w:rsidR="00E1721E" w:rsidRDefault="00586A41" w:rsidP="00E1721E">
      <w:pPr>
        <w:jc w:val="both"/>
        <w:rPr>
          <w:rFonts w:cs="Arial"/>
        </w:rPr>
      </w:pPr>
      <w:hyperlink r:id="rId24" w:history="1">
        <w:r w:rsidR="00E1721E">
          <w:rPr>
            <w:rStyle w:val="Hyperlink"/>
            <w:rFonts w:cs="Arial"/>
          </w:rPr>
          <w:t>Workgroup Meeting 11 December 2023</w:t>
        </w:r>
      </w:hyperlink>
    </w:p>
    <w:p w14:paraId="0E721200" w14:textId="77777777" w:rsidR="00E1721E" w:rsidRDefault="00586A41" w:rsidP="00E1721E">
      <w:pPr>
        <w:jc w:val="both"/>
        <w:rPr>
          <w:rFonts w:cs="Arial"/>
        </w:rPr>
      </w:pPr>
      <w:hyperlink r:id="rId25" w:history="1">
        <w:r w:rsidR="00E1721E">
          <w:rPr>
            <w:rStyle w:val="Hyperlink"/>
            <w:rFonts w:cs="Arial"/>
          </w:rPr>
          <w:t>Workgroup Meeting 25 January 2024</w:t>
        </w:r>
      </w:hyperlink>
    </w:p>
    <w:p w14:paraId="49293B14" w14:textId="77777777" w:rsidR="00E1721E" w:rsidRDefault="00586A41" w:rsidP="00E1721E">
      <w:pPr>
        <w:jc w:val="both"/>
        <w:rPr>
          <w:rFonts w:cs="Arial"/>
        </w:rPr>
      </w:pPr>
      <w:hyperlink r:id="rId26" w:history="1">
        <w:r w:rsidR="00E1721E">
          <w:rPr>
            <w:rStyle w:val="Hyperlink"/>
            <w:rFonts w:cs="Arial"/>
          </w:rPr>
          <w:t>Workgroup Meeting 22 February 2024</w:t>
        </w:r>
      </w:hyperlink>
    </w:p>
    <w:p w14:paraId="4DCC4721" w14:textId="77777777" w:rsidR="00E1721E" w:rsidRDefault="00586A41" w:rsidP="00E1721E">
      <w:pPr>
        <w:jc w:val="both"/>
        <w:rPr>
          <w:rFonts w:cs="Arial"/>
        </w:rPr>
      </w:pPr>
      <w:hyperlink r:id="rId27" w:history="1">
        <w:r w:rsidR="00E1721E">
          <w:rPr>
            <w:rStyle w:val="Hyperlink"/>
            <w:rFonts w:cs="Arial"/>
          </w:rPr>
          <w:t>Workgroup Meeting 28 March 2024</w:t>
        </w:r>
      </w:hyperlink>
    </w:p>
    <w:p w14:paraId="38300743" w14:textId="15B6A904" w:rsidR="00646EF2" w:rsidRPr="00CF3614" w:rsidRDefault="00586A41" w:rsidP="0078013C">
      <w:pPr>
        <w:jc w:val="both"/>
        <w:rPr>
          <w:rFonts w:cs="Arial"/>
        </w:rPr>
      </w:pPr>
      <w:hyperlink r:id="rId28" w:history="1">
        <w:r w:rsidR="00E1721E">
          <w:rPr>
            <w:rStyle w:val="Hyperlink"/>
            <w:rFonts w:cs="Arial"/>
          </w:rPr>
          <w:t>Workgroup Meeting 23 May 2024</w:t>
        </w:r>
      </w:hyperlink>
    </w:p>
    <w:p w14:paraId="238BFD68" w14:textId="77777777" w:rsidR="00BE1658" w:rsidRPr="00BE1658" w:rsidRDefault="00C31A20" w:rsidP="0078013C">
      <w:pPr>
        <w:pStyle w:val="Heading02"/>
        <w:spacing w:before="360"/>
      </w:pPr>
      <w:bookmarkStart w:id="3" w:name="_Toc174692132"/>
      <w:bookmarkStart w:id="4" w:name="_Toc169177132"/>
      <w:r w:rsidRPr="00326B80">
        <w:t>Impacts and Costs</w:t>
      </w:r>
      <w:bookmarkEnd w:id="3"/>
      <w:bookmarkEnd w:id="4"/>
    </w:p>
    <w:p w14:paraId="6D2F0BD7" w14:textId="61075721" w:rsidR="1813F0C2" w:rsidRDefault="1813F0C2" w:rsidP="00365356">
      <w:pPr>
        <w:pStyle w:val="Heading4"/>
        <w:keepLines w:val="0"/>
        <w:numPr>
          <w:ilvl w:val="3"/>
          <w:numId w:val="0"/>
        </w:numPr>
        <w:spacing w:before="120"/>
        <w:jc w:val="both"/>
      </w:pPr>
      <w:r w:rsidRPr="39D899CA">
        <w:rPr>
          <w:rFonts w:ascii="Arial" w:eastAsia="Times New Roman" w:hAnsi="Arial" w:cs="Arial"/>
          <w:i w:val="0"/>
          <w:iCs w:val="0"/>
          <w:color w:val="008576"/>
          <w:sz w:val="24"/>
          <w:szCs w:val="24"/>
        </w:rPr>
        <w:t xml:space="preserve">CDSP </w:t>
      </w:r>
      <w:r w:rsidR="4D390C44" w:rsidRPr="39D899CA">
        <w:rPr>
          <w:rFonts w:ascii="Arial" w:eastAsia="Times New Roman" w:hAnsi="Arial" w:cs="Arial"/>
          <w:i w:val="0"/>
          <w:iCs w:val="0"/>
          <w:color w:val="008576"/>
          <w:sz w:val="24"/>
          <w:szCs w:val="24"/>
        </w:rPr>
        <w:t>Settlement Systems</w:t>
      </w:r>
    </w:p>
    <w:p w14:paraId="7F703BF1" w14:textId="2C2E85F3" w:rsidR="4D390C44" w:rsidRDefault="4D390C44" w:rsidP="00365356">
      <w:pPr>
        <w:jc w:val="both"/>
      </w:pPr>
      <w:r>
        <w:t xml:space="preserve">Impacts </w:t>
      </w:r>
      <w:r w:rsidR="00995052">
        <w:t>on</w:t>
      </w:r>
      <w:r>
        <w:t xml:space="preserve"> </w:t>
      </w:r>
      <w:r w:rsidR="0D2FB7D3">
        <w:t xml:space="preserve">CDSP’s </w:t>
      </w:r>
      <w:r>
        <w:t>settlement systems will need to be understood</w:t>
      </w:r>
      <w:r w:rsidR="008C5E7C">
        <w:t>.</w:t>
      </w:r>
    </w:p>
    <w:p w14:paraId="1956A710" w14:textId="0048BAC9" w:rsidR="4D390C44" w:rsidRDefault="4D390C44" w:rsidP="00365356">
      <w:pPr>
        <w:pStyle w:val="Heading4"/>
        <w:keepLines w:val="0"/>
        <w:numPr>
          <w:ilvl w:val="3"/>
          <w:numId w:val="0"/>
        </w:numPr>
        <w:spacing w:before="120"/>
        <w:jc w:val="both"/>
      </w:pPr>
      <w:r w:rsidRPr="39D899CA">
        <w:rPr>
          <w:rFonts w:ascii="Arial" w:eastAsia="Times New Roman" w:hAnsi="Arial" w:cs="Arial"/>
          <w:i w:val="0"/>
          <w:iCs w:val="0"/>
          <w:color w:val="008576"/>
          <w:sz w:val="24"/>
          <w:szCs w:val="24"/>
        </w:rPr>
        <w:t>PAC’s Performance Regime</w:t>
      </w:r>
    </w:p>
    <w:p w14:paraId="3753B038" w14:textId="3C5D6255" w:rsidR="4D390C44" w:rsidRDefault="4D390C44" w:rsidP="00365356">
      <w:pPr>
        <w:jc w:val="both"/>
      </w:pPr>
      <w:r>
        <w:t xml:space="preserve">Impacts </w:t>
      </w:r>
      <w:r w:rsidR="00995052">
        <w:t>on</w:t>
      </w:r>
      <w:r>
        <w:t xml:space="preserve"> PAC’s </w:t>
      </w:r>
      <w:r w:rsidR="082FD72B">
        <w:t>performance regime will</w:t>
      </w:r>
      <w:r>
        <w:t xml:space="preserve"> need to be understood</w:t>
      </w:r>
      <w:r w:rsidR="43245B95">
        <w:t xml:space="preserve">. Increased </w:t>
      </w:r>
      <w:r w:rsidR="0E123B6D">
        <w:t>submissions</w:t>
      </w:r>
      <w:r w:rsidR="43245B95">
        <w:t xml:space="preserve"> of </w:t>
      </w:r>
      <w:r w:rsidR="13CFA3D8">
        <w:t>valid</w:t>
      </w:r>
      <w:r w:rsidR="43245B95">
        <w:t xml:space="preserve"> reads </w:t>
      </w:r>
      <w:r w:rsidR="00995052">
        <w:t>are</w:t>
      </w:r>
      <w:r w:rsidR="43245B95">
        <w:t xml:space="preserve"> the goal here. We need to ensure that </w:t>
      </w:r>
      <w:r w:rsidR="001F1765">
        <w:t>poor-performing</w:t>
      </w:r>
      <w:r w:rsidR="43245B95">
        <w:t xml:space="preserve"> parties do not </w:t>
      </w:r>
      <w:r w:rsidR="00161072">
        <w:t xml:space="preserve">use </w:t>
      </w:r>
      <w:r w:rsidR="43245B95">
        <w:t>an</w:t>
      </w:r>
      <w:r w:rsidR="498AF1F9">
        <w:t xml:space="preserve">y amendments to the windows and/or a failed valid read </w:t>
      </w:r>
      <w:r w:rsidR="3F89317E">
        <w:t>submission</w:t>
      </w:r>
      <w:r w:rsidR="498AF1F9">
        <w:t xml:space="preserve"> route</w:t>
      </w:r>
      <w:r w:rsidR="00161072">
        <w:t xml:space="preserve"> as an opportunity for gaming</w:t>
      </w:r>
      <w:r w:rsidR="498AF1F9">
        <w:t>.</w:t>
      </w:r>
    </w:p>
    <w:p w14:paraId="43F9E246" w14:textId="77777777" w:rsidR="00065BE4" w:rsidRPr="00326B80" w:rsidRDefault="00065BE4" w:rsidP="00B40321">
      <w:pPr>
        <w:pStyle w:val="Heading4"/>
        <w:keepLines w:val="0"/>
        <w:numPr>
          <w:ilvl w:val="0"/>
          <w:numId w:val="0"/>
        </w:numPr>
        <w:spacing w:before="120"/>
        <w:ind w:left="864" w:hanging="864"/>
        <w:jc w:val="both"/>
        <w:rPr>
          <w:rFonts w:ascii="Arial" w:eastAsia="Times New Roman" w:hAnsi="Arial" w:cs="Arial"/>
          <w:i w:val="0"/>
          <w:iCs w:val="0"/>
          <w:color w:val="008576"/>
          <w:sz w:val="24"/>
          <w:szCs w:val="28"/>
        </w:rPr>
      </w:pPr>
      <w:r w:rsidRPr="00326B80">
        <w:rPr>
          <w:rFonts w:ascii="Arial" w:eastAsia="Times New Roman" w:hAnsi="Arial" w:cs="Arial"/>
          <w:i w:val="0"/>
          <w:iCs w:val="0"/>
          <w:color w:val="008576"/>
          <w:sz w:val="24"/>
          <w:szCs w:val="28"/>
        </w:rPr>
        <w:t>Consideration of Wider Industry Impacts</w:t>
      </w:r>
    </w:p>
    <w:p w14:paraId="646A62CE" w14:textId="77777777" w:rsidR="00065BE4" w:rsidRPr="000B2E3D" w:rsidRDefault="00065BE4" w:rsidP="00B40321">
      <w:pPr>
        <w:jc w:val="both"/>
      </w:pPr>
      <w:r>
        <w:t>Possible wider industry impacts and costs of the output of the Request are highlighted below. However, until more detail is worked through, specific impacts cannot be identified.</w:t>
      </w:r>
    </w:p>
    <w:p w14:paraId="605D6EB2" w14:textId="77777777" w:rsidR="00065BE4" w:rsidRPr="00326B80" w:rsidRDefault="00065BE4" w:rsidP="00065BE4">
      <w:pPr>
        <w:pStyle w:val="Heading4"/>
        <w:numPr>
          <w:ilvl w:val="0"/>
          <w:numId w:val="0"/>
        </w:numPr>
        <w:ind w:left="864" w:hanging="864"/>
        <w:jc w:val="both"/>
        <w:rPr>
          <w:rFonts w:ascii="Arial" w:hAnsi="Arial" w:cs="Arial"/>
          <w:i w:val="0"/>
          <w:iCs w:val="0"/>
          <w:color w:val="008576"/>
          <w:sz w:val="24"/>
        </w:rPr>
      </w:pPr>
      <w:r w:rsidRPr="00326B80">
        <w:rPr>
          <w:rFonts w:ascii="Arial" w:hAnsi="Arial" w:cs="Arial"/>
          <w:i w:val="0"/>
          <w:iCs w:val="0"/>
          <w:color w:val="008576"/>
          <w:sz w:val="24"/>
        </w:rPr>
        <w:t>Impacts</w:t>
      </w:r>
    </w:p>
    <w:tbl>
      <w:tblPr>
        <w:tblW w:w="949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4219"/>
        <w:gridCol w:w="5275"/>
      </w:tblGrid>
      <w:tr w:rsidR="005B378E" w:rsidRPr="00326B80" w14:paraId="0820F0E0" w14:textId="77777777" w:rsidTr="00365356">
        <w:trPr>
          <w:trHeight w:hRule="exact" w:val="397"/>
        </w:trPr>
        <w:tc>
          <w:tcPr>
            <w:tcW w:w="9494" w:type="dxa"/>
            <w:gridSpan w:val="2"/>
            <w:tcBorders>
              <w:bottom w:val="single" w:sz="8" w:space="0" w:color="CCE0DA"/>
            </w:tcBorders>
            <w:shd w:val="clear" w:color="auto" w:fill="CCE0DA"/>
            <w:vAlign w:val="center"/>
          </w:tcPr>
          <w:p w14:paraId="013C7A00" w14:textId="77777777" w:rsidR="005B378E" w:rsidRPr="00326B80" w:rsidRDefault="00787583" w:rsidP="005B378E">
            <w:pPr>
              <w:pStyle w:val="TableHeading"/>
              <w:rPr>
                <w:rFonts w:cs="Arial"/>
              </w:rPr>
            </w:pPr>
            <w:r>
              <w:rPr>
                <w:rFonts w:cs="Arial"/>
              </w:rPr>
              <w:t xml:space="preserve">Impact on Central </w:t>
            </w:r>
            <w:r w:rsidR="005B378E" w:rsidRPr="00326B80">
              <w:rPr>
                <w:rFonts w:cs="Arial"/>
              </w:rPr>
              <w:t>Systems and Process</w:t>
            </w:r>
          </w:p>
        </w:tc>
      </w:tr>
      <w:tr w:rsidR="005B378E" w:rsidRPr="00326B80" w14:paraId="7D66BB68" w14:textId="77777777" w:rsidTr="00973A36">
        <w:trPr>
          <w:trHeight w:val="397"/>
        </w:trPr>
        <w:tc>
          <w:tcPr>
            <w:tcW w:w="4219" w:type="dxa"/>
            <w:tcBorders>
              <w:top w:val="single" w:sz="8" w:space="0" w:color="CCE0DA"/>
            </w:tcBorders>
            <w:vAlign w:val="center"/>
          </w:tcPr>
          <w:p w14:paraId="72C56E8E" w14:textId="77777777" w:rsidR="005B378E" w:rsidRPr="00326B80" w:rsidRDefault="00787583" w:rsidP="005B378E">
            <w:pPr>
              <w:pStyle w:val="Tablesubheading"/>
              <w:rPr>
                <w:rFonts w:cs="Arial"/>
              </w:rPr>
            </w:pPr>
            <w:r>
              <w:rPr>
                <w:rFonts w:cs="Arial"/>
              </w:rPr>
              <w:t xml:space="preserve">Central </w:t>
            </w:r>
            <w:r w:rsidR="005B378E" w:rsidRPr="00326B80">
              <w:rPr>
                <w:rFonts w:cs="Arial"/>
              </w:rPr>
              <w:t>System/Process</w:t>
            </w:r>
          </w:p>
        </w:tc>
        <w:tc>
          <w:tcPr>
            <w:tcW w:w="5275" w:type="dxa"/>
            <w:tcBorders>
              <w:top w:val="single" w:sz="8" w:space="0" w:color="CCE0DA"/>
            </w:tcBorders>
            <w:vAlign w:val="center"/>
          </w:tcPr>
          <w:p w14:paraId="1B2F373C" w14:textId="77777777" w:rsidR="005B378E" w:rsidRPr="00326B80" w:rsidRDefault="005B378E" w:rsidP="005B378E">
            <w:pPr>
              <w:pStyle w:val="Tablesubheading"/>
              <w:rPr>
                <w:rFonts w:cs="Arial"/>
              </w:rPr>
            </w:pPr>
            <w:r w:rsidRPr="00326B80">
              <w:rPr>
                <w:rFonts w:cs="Arial"/>
              </w:rPr>
              <w:t>Potential impact</w:t>
            </w:r>
          </w:p>
        </w:tc>
      </w:tr>
      <w:tr w:rsidR="005B378E" w:rsidRPr="00326B80" w14:paraId="5FAE91ED" w14:textId="77777777" w:rsidTr="00973A36">
        <w:trPr>
          <w:trHeight w:val="475"/>
        </w:trPr>
        <w:tc>
          <w:tcPr>
            <w:tcW w:w="4219" w:type="dxa"/>
            <w:vAlign w:val="center"/>
          </w:tcPr>
          <w:p w14:paraId="693070FA" w14:textId="77777777" w:rsidR="005B378E" w:rsidRPr="00326B80" w:rsidRDefault="005B378E" w:rsidP="005B378E">
            <w:pPr>
              <w:pStyle w:val="Tablebodycopy"/>
              <w:rPr>
                <w:rFonts w:cs="Arial"/>
              </w:rPr>
            </w:pPr>
            <w:r w:rsidRPr="00326B80">
              <w:rPr>
                <w:rFonts w:cs="Arial"/>
              </w:rPr>
              <w:t>UK Link</w:t>
            </w:r>
          </w:p>
        </w:tc>
        <w:tc>
          <w:tcPr>
            <w:tcW w:w="5275" w:type="dxa"/>
            <w:vAlign w:val="center"/>
          </w:tcPr>
          <w:p w14:paraId="026B0BC1" w14:textId="77777777" w:rsidR="005B378E" w:rsidRPr="00FA5E04" w:rsidRDefault="678249C3" w:rsidP="00164E30">
            <w:pPr>
              <w:pStyle w:val="TableList"/>
              <w:tabs>
                <w:tab w:val="clear" w:pos="360"/>
                <w:tab w:val="num" w:pos="454"/>
              </w:tabs>
              <w:spacing w:before="40" w:after="40"/>
              <w:rPr>
                <w:rFonts w:cs="Arial"/>
                <w:color w:val="auto"/>
              </w:rPr>
            </w:pPr>
            <w:r w:rsidRPr="00FA5E04">
              <w:rPr>
                <w:rFonts w:cs="Arial"/>
                <w:color w:val="auto"/>
              </w:rPr>
              <w:t>Settlement systems, read performance reports</w:t>
            </w:r>
          </w:p>
        </w:tc>
      </w:tr>
      <w:tr w:rsidR="005B378E" w:rsidRPr="00326B80" w14:paraId="4102D294" w14:textId="77777777" w:rsidTr="00973A36">
        <w:trPr>
          <w:trHeight w:val="397"/>
        </w:trPr>
        <w:tc>
          <w:tcPr>
            <w:tcW w:w="4219" w:type="dxa"/>
            <w:vAlign w:val="center"/>
          </w:tcPr>
          <w:p w14:paraId="47210E63" w14:textId="77777777" w:rsidR="005B378E" w:rsidRPr="00326B80" w:rsidRDefault="005B378E" w:rsidP="005B378E">
            <w:pPr>
              <w:pStyle w:val="Tablebodycopy"/>
              <w:rPr>
                <w:rFonts w:cs="Arial"/>
              </w:rPr>
            </w:pPr>
            <w:r w:rsidRPr="00326B80">
              <w:rPr>
                <w:rFonts w:cs="Arial"/>
              </w:rPr>
              <w:t>Operational Processes</w:t>
            </w:r>
          </w:p>
        </w:tc>
        <w:tc>
          <w:tcPr>
            <w:tcW w:w="5275" w:type="dxa"/>
            <w:vAlign w:val="center"/>
          </w:tcPr>
          <w:p w14:paraId="5A31BBE9" w14:textId="4811978A" w:rsidR="005B378E" w:rsidRPr="00FA5E04" w:rsidRDefault="565284CF" w:rsidP="00164E30">
            <w:pPr>
              <w:pStyle w:val="TableList"/>
              <w:tabs>
                <w:tab w:val="clear" w:pos="360"/>
                <w:tab w:val="num" w:pos="454"/>
              </w:tabs>
              <w:spacing w:before="40" w:after="40"/>
              <w:rPr>
                <w:rFonts w:cs="Arial"/>
                <w:color w:val="auto"/>
              </w:rPr>
            </w:pPr>
            <w:r w:rsidRPr="00FA5E04">
              <w:rPr>
                <w:rFonts w:cs="Arial"/>
                <w:color w:val="auto"/>
              </w:rPr>
              <w:t xml:space="preserve">Read submission, AQ correction, </w:t>
            </w:r>
            <w:r w:rsidR="316EF5B5" w:rsidRPr="00FA5E04">
              <w:rPr>
                <w:rFonts w:cs="Arial"/>
                <w:color w:val="auto"/>
              </w:rPr>
              <w:t>M</w:t>
            </w:r>
            <w:r w:rsidRPr="00FA5E04">
              <w:rPr>
                <w:rFonts w:cs="Arial"/>
                <w:color w:val="auto"/>
              </w:rPr>
              <w:t xml:space="preserve">ust </w:t>
            </w:r>
            <w:r w:rsidR="224F74F2" w:rsidRPr="00FA5E04">
              <w:rPr>
                <w:rFonts w:cs="Arial"/>
                <w:color w:val="auto"/>
              </w:rPr>
              <w:t>R</w:t>
            </w:r>
            <w:r w:rsidRPr="00FA5E04">
              <w:rPr>
                <w:rFonts w:cs="Arial"/>
                <w:color w:val="auto"/>
              </w:rPr>
              <w:t xml:space="preserve">eads, </w:t>
            </w:r>
            <w:r w:rsidR="227EC763" w:rsidRPr="00FA5E04">
              <w:rPr>
                <w:rFonts w:cs="Arial"/>
                <w:color w:val="auto"/>
              </w:rPr>
              <w:t>UIG allocation</w:t>
            </w:r>
          </w:p>
        </w:tc>
      </w:tr>
    </w:tbl>
    <w:p w14:paraId="2455580D" w14:textId="77777777" w:rsidR="005B378E" w:rsidRPr="00326B80" w:rsidRDefault="005B378E" w:rsidP="002205EE">
      <w:pPr>
        <w:spacing w:before="0" w:after="0"/>
        <w:rPr>
          <w:rFonts w:cs="Arial"/>
        </w:rPr>
      </w:pPr>
    </w:p>
    <w:tbl>
      <w:tblPr>
        <w:tblW w:w="949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4219"/>
        <w:gridCol w:w="5275"/>
      </w:tblGrid>
      <w:tr w:rsidR="005B378E" w:rsidRPr="00326B80" w14:paraId="4F5DA12B" w14:textId="77777777" w:rsidTr="00365356">
        <w:trPr>
          <w:trHeight w:hRule="exact" w:val="397"/>
          <w:tblHeader/>
        </w:trPr>
        <w:tc>
          <w:tcPr>
            <w:tcW w:w="9494" w:type="dxa"/>
            <w:gridSpan w:val="2"/>
            <w:tcBorders>
              <w:bottom w:val="single" w:sz="8" w:space="0" w:color="CCE0DA"/>
            </w:tcBorders>
            <w:shd w:val="clear" w:color="auto" w:fill="CCE0DA"/>
            <w:vAlign w:val="center"/>
          </w:tcPr>
          <w:p w14:paraId="791FADDB" w14:textId="77777777" w:rsidR="005B378E" w:rsidRPr="00326B80" w:rsidRDefault="005B378E" w:rsidP="005B378E">
            <w:pPr>
              <w:pStyle w:val="TableHeading"/>
              <w:rPr>
                <w:rFonts w:cs="Arial"/>
              </w:rPr>
            </w:pPr>
            <w:r w:rsidRPr="00326B80">
              <w:rPr>
                <w:rFonts w:cs="Arial"/>
              </w:rPr>
              <w:t>Impact on Users</w:t>
            </w:r>
          </w:p>
        </w:tc>
      </w:tr>
      <w:tr w:rsidR="005B378E" w:rsidRPr="00326B80" w14:paraId="3B413959" w14:textId="77777777" w:rsidTr="00973A36">
        <w:trPr>
          <w:trHeight w:val="397"/>
        </w:trPr>
        <w:tc>
          <w:tcPr>
            <w:tcW w:w="4219" w:type="dxa"/>
            <w:tcBorders>
              <w:top w:val="single" w:sz="8" w:space="0" w:color="CCE0DA"/>
            </w:tcBorders>
            <w:vAlign w:val="center"/>
          </w:tcPr>
          <w:p w14:paraId="55FCDD24" w14:textId="77777777" w:rsidR="005B378E" w:rsidRPr="00326B80" w:rsidRDefault="005B378E" w:rsidP="005B378E">
            <w:pPr>
              <w:pStyle w:val="Tablesubheading"/>
              <w:rPr>
                <w:rFonts w:cs="Arial"/>
              </w:rPr>
            </w:pPr>
            <w:r w:rsidRPr="00326B80">
              <w:rPr>
                <w:rFonts w:cs="Arial"/>
              </w:rPr>
              <w:t>Area of Users’ business</w:t>
            </w:r>
          </w:p>
        </w:tc>
        <w:tc>
          <w:tcPr>
            <w:tcW w:w="5275" w:type="dxa"/>
            <w:tcBorders>
              <w:top w:val="single" w:sz="8" w:space="0" w:color="CCE0DA"/>
            </w:tcBorders>
            <w:vAlign w:val="center"/>
          </w:tcPr>
          <w:p w14:paraId="60BC84D8" w14:textId="77777777" w:rsidR="005B378E" w:rsidRPr="00326B80" w:rsidRDefault="005B378E" w:rsidP="005B378E">
            <w:pPr>
              <w:pStyle w:val="Tablesubheading"/>
              <w:rPr>
                <w:rFonts w:cs="Arial"/>
              </w:rPr>
            </w:pPr>
            <w:r w:rsidRPr="00326B80">
              <w:rPr>
                <w:rFonts w:cs="Arial"/>
              </w:rPr>
              <w:t>Potential impact</w:t>
            </w:r>
          </w:p>
        </w:tc>
      </w:tr>
      <w:tr w:rsidR="00164E30" w:rsidRPr="00326B80" w14:paraId="600C546C" w14:textId="77777777" w:rsidTr="00973A36">
        <w:trPr>
          <w:trHeight w:val="397"/>
        </w:trPr>
        <w:tc>
          <w:tcPr>
            <w:tcW w:w="4219" w:type="dxa"/>
            <w:vAlign w:val="center"/>
          </w:tcPr>
          <w:p w14:paraId="5041CDDE" w14:textId="77777777" w:rsidR="00164E30" w:rsidRPr="00326B80" w:rsidRDefault="00164E30" w:rsidP="005B378E">
            <w:pPr>
              <w:pStyle w:val="Tablebodycopy"/>
              <w:rPr>
                <w:rFonts w:cs="Arial"/>
              </w:rPr>
            </w:pPr>
            <w:r w:rsidRPr="00326B80">
              <w:rPr>
                <w:rFonts w:cs="Arial"/>
              </w:rPr>
              <w:t>Administrative and operational</w:t>
            </w:r>
          </w:p>
        </w:tc>
        <w:tc>
          <w:tcPr>
            <w:tcW w:w="5275" w:type="dxa"/>
            <w:vAlign w:val="center"/>
          </w:tcPr>
          <w:p w14:paraId="0783A2E1" w14:textId="7D305E6C" w:rsidR="00164E30" w:rsidRPr="00FA5E04" w:rsidRDefault="70BF9BDE" w:rsidP="00B53C15">
            <w:pPr>
              <w:pStyle w:val="TableList"/>
              <w:tabs>
                <w:tab w:val="clear" w:pos="360"/>
                <w:tab w:val="num" w:pos="454"/>
              </w:tabs>
              <w:spacing w:before="40" w:after="40"/>
              <w:rPr>
                <w:rFonts w:cs="Arial"/>
                <w:color w:val="auto"/>
              </w:rPr>
            </w:pPr>
            <w:r w:rsidRPr="00FA5E04">
              <w:rPr>
                <w:rFonts w:cs="Arial"/>
                <w:color w:val="auto"/>
              </w:rPr>
              <w:t>Read submission, AQ correction, Must Reads, UIG allocation</w:t>
            </w:r>
          </w:p>
        </w:tc>
      </w:tr>
      <w:tr w:rsidR="00164E30" w:rsidRPr="00326B80" w14:paraId="0A5626D7" w14:textId="77777777" w:rsidTr="00973A36">
        <w:trPr>
          <w:trHeight w:val="397"/>
        </w:trPr>
        <w:tc>
          <w:tcPr>
            <w:tcW w:w="4219" w:type="dxa"/>
            <w:vAlign w:val="center"/>
          </w:tcPr>
          <w:p w14:paraId="540FA666" w14:textId="77777777" w:rsidR="00164E30" w:rsidRPr="00326B80" w:rsidRDefault="00164E30" w:rsidP="005B378E">
            <w:pPr>
              <w:pStyle w:val="Tablebodycopy"/>
              <w:rPr>
                <w:rFonts w:cs="Arial"/>
              </w:rPr>
            </w:pPr>
            <w:r w:rsidRPr="00326B80">
              <w:rPr>
                <w:rFonts w:cs="Arial"/>
              </w:rPr>
              <w:t>Development, capital and operating costs</w:t>
            </w:r>
          </w:p>
        </w:tc>
        <w:tc>
          <w:tcPr>
            <w:tcW w:w="5275" w:type="dxa"/>
            <w:vAlign w:val="center"/>
          </w:tcPr>
          <w:p w14:paraId="776F77DC" w14:textId="09F9F325" w:rsidR="00164E30" w:rsidRPr="00FA5E04" w:rsidRDefault="1D0A62F4" w:rsidP="00B53C15">
            <w:pPr>
              <w:pStyle w:val="TableList"/>
              <w:tabs>
                <w:tab w:val="clear" w:pos="360"/>
                <w:tab w:val="num" w:pos="454"/>
              </w:tabs>
              <w:spacing w:before="40" w:after="40"/>
              <w:rPr>
                <w:rFonts w:cs="Arial"/>
                <w:color w:val="auto"/>
              </w:rPr>
            </w:pPr>
            <w:r w:rsidRPr="00FA5E04">
              <w:rPr>
                <w:rFonts w:cs="Arial"/>
                <w:color w:val="auto"/>
              </w:rPr>
              <w:t>Cost to amend read submission processes</w:t>
            </w:r>
          </w:p>
        </w:tc>
      </w:tr>
      <w:tr w:rsidR="00164E30" w:rsidRPr="00326B80" w14:paraId="569043DC" w14:textId="77777777" w:rsidTr="00973A36">
        <w:trPr>
          <w:trHeight w:val="397"/>
        </w:trPr>
        <w:tc>
          <w:tcPr>
            <w:tcW w:w="4219" w:type="dxa"/>
            <w:vAlign w:val="center"/>
          </w:tcPr>
          <w:p w14:paraId="261CB995" w14:textId="77777777" w:rsidR="00164E30" w:rsidRPr="00326B80" w:rsidRDefault="00164E30" w:rsidP="005B378E">
            <w:pPr>
              <w:pStyle w:val="Tablebodycopy"/>
              <w:rPr>
                <w:rFonts w:cs="Arial"/>
              </w:rPr>
            </w:pPr>
            <w:r w:rsidRPr="00326B80">
              <w:rPr>
                <w:rFonts w:cs="Arial"/>
              </w:rPr>
              <w:t>Contractual risks</w:t>
            </w:r>
          </w:p>
        </w:tc>
        <w:tc>
          <w:tcPr>
            <w:tcW w:w="5275" w:type="dxa"/>
            <w:vAlign w:val="center"/>
          </w:tcPr>
          <w:p w14:paraId="37085ACD" w14:textId="671BC9A9" w:rsidR="00164E30" w:rsidRPr="00FA5E04" w:rsidRDefault="2370F958" w:rsidP="00B53C15">
            <w:pPr>
              <w:pStyle w:val="TableList"/>
              <w:tabs>
                <w:tab w:val="clear" w:pos="360"/>
                <w:tab w:val="num" w:pos="454"/>
              </w:tabs>
              <w:spacing w:before="40" w:after="40"/>
              <w:rPr>
                <w:rFonts w:cs="Arial"/>
                <w:color w:val="auto"/>
              </w:rPr>
            </w:pPr>
            <w:r w:rsidRPr="00FA5E04">
              <w:rPr>
                <w:rFonts w:cs="Arial"/>
                <w:color w:val="auto"/>
              </w:rPr>
              <w:t>N/a</w:t>
            </w:r>
          </w:p>
        </w:tc>
      </w:tr>
      <w:tr w:rsidR="00164E30" w:rsidRPr="00326B80" w14:paraId="36833006" w14:textId="77777777" w:rsidTr="00973A36">
        <w:trPr>
          <w:trHeight w:val="397"/>
        </w:trPr>
        <w:tc>
          <w:tcPr>
            <w:tcW w:w="4219" w:type="dxa"/>
            <w:vAlign w:val="center"/>
          </w:tcPr>
          <w:p w14:paraId="77884382" w14:textId="77777777" w:rsidR="00164E30" w:rsidRPr="00326B80" w:rsidRDefault="00164E30" w:rsidP="005B378E">
            <w:pPr>
              <w:pStyle w:val="Tablebodycopy"/>
              <w:rPr>
                <w:rFonts w:cs="Arial"/>
              </w:rPr>
            </w:pPr>
            <w:r w:rsidRPr="00326B80">
              <w:rPr>
                <w:rFonts w:cs="Arial"/>
              </w:rPr>
              <w:t>Legislative, regulatory and contractual obligations and relationships</w:t>
            </w:r>
          </w:p>
        </w:tc>
        <w:tc>
          <w:tcPr>
            <w:tcW w:w="5275" w:type="dxa"/>
            <w:vAlign w:val="center"/>
          </w:tcPr>
          <w:p w14:paraId="4192C458" w14:textId="6A2F88BE" w:rsidR="00164E30" w:rsidRPr="00FA5E04" w:rsidRDefault="6563CA9C" w:rsidP="00B53C15">
            <w:pPr>
              <w:pStyle w:val="TableList"/>
              <w:tabs>
                <w:tab w:val="clear" w:pos="360"/>
                <w:tab w:val="num" w:pos="454"/>
              </w:tabs>
              <w:spacing w:before="40" w:after="40"/>
              <w:rPr>
                <w:rFonts w:cs="Arial"/>
                <w:color w:val="auto"/>
              </w:rPr>
            </w:pPr>
            <w:r w:rsidRPr="00FA5E04">
              <w:rPr>
                <w:rFonts w:cs="Arial"/>
                <w:color w:val="auto"/>
              </w:rPr>
              <w:t>Must Reads, Read performance</w:t>
            </w:r>
          </w:p>
        </w:tc>
      </w:tr>
    </w:tbl>
    <w:p w14:paraId="61D617AA" w14:textId="77777777" w:rsidR="004A3386" w:rsidRPr="00326B80" w:rsidRDefault="004A3386" w:rsidP="002205EE">
      <w:pPr>
        <w:spacing w:before="0" w:after="0"/>
        <w:rPr>
          <w:rFonts w:cs="Arial"/>
          <w:vanish/>
        </w:rPr>
      </w:pPr>
    </w:p>
    <w:p w14:paraId="6D56CB84" w14:textId="77777777" w:rsidR="005B378E" w:rsidRPr="00326B80" w:rsidRDefault="005B378E" w:rsidP="00063FB4">
      <w:pPr>
        <w:spacing w:before="0" w:after="0"/>
        <w:rPr>
          <w:rFonts w:cs="Arial"/>
        </w:rPr>
      </w:pPr>
    </w:p>
    <w:tbl>
      <w:tblPr>
        <w:tblW w:w="949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4219"/>
        <w:gridCol w:w="5275"/>
      </w:tblGrid>
      <w:tr w:rsidR="005B378E" w:rsidRPr="00326B80" w14:paraId="351D41CD" w14:textId="77777777" w:rsidTr="3780501F">
        <w:trPr>
          <w:trHeight w:hRule="exact" w:val="397"/>
          <w:tblHeader/>
        </w:trPr>
        <w:tc>
          <w:tcPr>
            <w:tcW w:w="9494" w:type="dxa"/>
            <w:gridSpan w:val="2"/>
            <w:tcBorders>
              <w:bottom w:val="single" w:sz="8" w:space="0" w:color="CCE0DA"/>
            </w:tcBorders>
            <w:shd w:val="clear" w:color="auto" w:fill="CCE0DA"/>
            <w:vAlign w:val="center"/>
          </w:tcPr>
          <w:p w14:paraId="35CA8356" w14:textId="77777777" w:rsidR="005B378E" w:rsidRPr="00326B80" w:rsidRDefault="005B378E" w:rsidP="005B378E">
            <w:pPr>
              <w:pStyle w:val="TableHeading"/>
              <w:rPr>
                <w:rFonts w:cs="Arial"/>
              </w:rPr>
            </w:pPr>
            <w:r w:rsidRPr="00326B80">
              <w:rPr>
                <w:rFonts w:cs="Arial"/>
              </w:rPr>
              <w:t>Impact on Transporters</w:t>
            </w:r>
          </w:p>
        </w:tc>
      </w:tr>
      <w:tr w:rsidR="005B378E" w:rsidRPr="00326B80" w14:paraId="6E02D688" w14:textId="77777777" w:rsidTr="00973A36">
        <w:trPr>
          <w:trHeight w:val="397"/>
        </w:trPr>
        <w:tc>
          <w:tcPr>
            <w:tcW w:w="4219" w:type="dxa"/>
            <w:tcBorders>
              <w:top w:val="single" w:sz="8" w:space="0" w:color="CCE0DA"/>
            </w:tcBorders>
            <w:vAlign w:val="center"/>
          </w:tcPr>
          <w:p w14:paraId="3E721ADB" w14:textId="77777777" w:rsidR="005B378E" w:rsidRPr="00326B80" w:rsidRDefault="005B378E" w:rsidP="005B378E">
            <w:pPr>
              <w:pStyle w:val="Tablesubheading"/>
              <w:rPr>
                <w:rFonts w:cs="Arial"/>
              </w:rPr>
            </w:pPr>
            <w:r w:rsidRPr="00326B80">
              <w:rPr>
                <w:rFonts w:cs="Arial"/>
              </w:rPr>
              <w:t>Area of Transporters’ business</w:t>
            </w:r>
          </w:p>
        </w:tc>
        <w:tc>
          <w:tcPr>
            <w:tcW w:w="5275" w:type="dxa"/>
            <w:tcBorders>
              <w:top w:val="single" w:sz="8" w:space="0" w:color="CCE0DA"/>
            </w:tcBorders>
            <w:vAlign w:val="center"/>
          </w:tcPr>
          <w:p w14:paraId="3A7D250A" w14:textId="77777777" w:rsidR="005B378E" w:rsidRPr="00326B80" w:rsidRDefault="005B378E" w:rsidP="005B378E">
            <w:pPr>
              <w:pStyle w:val="Tablesubheading"/>
              <w:rPr>
                <w:rFonts w:cs="Arial"/>
              </w:rPr>
            </w:pPr>
            <w:r w:rsidRPr="00326B80">
              <w:rPr>
                <w:rFonts w:cs="Arial"/>
              </w:rPr>
              <w:t>Potential impact</w:t>
            </w:r>
          </w:p>
        </w:tc>
      </w:tr>
      <w:tr w:rsidR="00164E30" w:rsidRPr="00326B80" w14:paraId="4B26088E" w14:textId="77777777" w:rsidTr="00973A36">
        <w:trPr>
          <w:trHeight w:val="397"/>
        </w:trPr>
        <w:tc>
          <w:tcPr>
            <w:tcW w:w="4219" w:type="dxa"/>
            <w:vAlign w:val="center"/>
          </w:tcPr>
          <w:p w14:paraId="7DED20CE" w14:textId="77777777" w:rsidR="00164E30" w:rsidRPr="00326B80" w:rsidRDefault="00164E30" w:rsidP="005B378E">
            <w:pPr>
              <w:pStyle w:val="Tablebodycopy"/>
              <w:rPr>
                <w:rFonts w:cs="Arial"/>
              </w:rPr>
            </w:pPr>
            <w:r w:rsidRPr="00326B80">
              <w:rPr>
                <w:rFonts w:cs="Arial"/>
              </w:rPr>
              <w:t>System operation</w:t>
            </w:r>
          </w:p>
        </w:tc>
        <w:tc>
          <w:tcPr>
            <w:tcW w:w="5275" w:type="dxa"/>
            <w:vAlign w:val="center"/>
          </w:tcPr>
          <w:p w14:paraId="0D10735A" w14:textId="688B1649" w:rsidR="00164E30" w:rsidRPr="00326B80" w:rsidRDefault="422B0832" w:rsidP="00B53C15">
            <w:pPr>
              <w:pStyle w:val="TableList"/>
              <w:tabs>
                <w:tab w:val="clear" w:pos="360"/>
                <w:tab w:val="num" w:pos="454"/>
              </w:tabs>
              <w:spacing w:before="40" w:after="40"/>
              <w:rPr>
                <w:rFonts w:cs="Arial"/>
                <w:color w:val="auto"/>
              </w:rPr>
            </w:pPr>
            <w:r w:rsidRPr="39D899CA">
              <w:rPr>
                <w:rFonts w:cs="Arial"/>
                <w:color w:val="auto"/>
              </w:rPr>
              <w:t>N/a</w:t>
            </w:r>
          </w:p>
        </w:tc>
      </w:tr>
      <w:tr w:rsidR="00164E30" w:rsidRPr="00326B80" w14:paraId="3D721E80" w14:textId="77777777" w:rsidTr="00973A36">
        <w:trPr>
          <w:trHeight w:val="397"/>
        </w:trPr>
        <w:tc>
          <w:tcPr>
            <w:tcW w:w="4219" w:type="dxa"/>
            <w:vAlign w:val="center"/>
          </w:tcPr>
          <w:p w14:paraId="0D2306A8" w14:textId="77777777" w:rsidR="00164E30" w:rsidRPr="00326B80" w:rsidRDefault="00164E30" w:rsidP="005B378E">
            <w:pPr>
              <w:pStyle w:val="Tablebodycopy"/>
              <w:rPr>
                <w:rFonts w:cs="Arial"/>
              </w:rPr>
            </w:pPr>
            <w:r w:rsidRPr="00326B80">
              <w:rPr>
                <w:rFonts w:cs="Arial"/>
              </w:rPr>
              <w:t>Development, capital and operating costs</w:t>
            </w:r>
          </w:p>
        </w:tc>
        <w:tc>
          <w:tcPr>
            <w:tcW w:w="5275" w:type="dxa"/>
            <w:vAlign w:val="center"/>
          </w:tcPr>
          <w:p w14:paraId="13C3110F" w14:textId="03C89281" w:rsidR="00164E30" w:rsidRPr="00326B80" w:rsidRDefault="53C34D27" w:rsidP="00B53C15">
            <w:pPr>
              <w:pStyle w:val="TableList"/>
              <w:tabs>
                <w:tab w:val="clear" w:pos="360"/>
                <w:tab w:val="num" w:pos="454"/>
              </w:tabs>
              <w:spacing w:before="40" w:after="40"/>
              <w:rPr>
                <w:rFonts w:cs="Arial"/>
                <w:color w:val="auto"/>
              </w:rPr>
            </w:pPr>
            <w:r w:rsidRPr="39D899CA">
              <w:rPr>
                <w:rFonts w:cs="Arial"/>
                <w:color w:val="auto"/>
              </w:rPr>
              <w:t>N/a</w:t>
            </w:r>
          </w:p>
        </w:tc>
      </w:tr>
      <w:tr w:rsidR="00164E30" w:rsidRPr="00326B80" w14:paraId="60060F60" w14:textId="77777777" w:rsidTr="00973A36">
        <w:trPr>
          <w:trHeight w:val="397"/>
        </w:trPr>
        <w:tc>
          <w:tcPr>
            <w:tcW w:w="4219" w:type="dxa"/>
            <w:vAlign w:val="center"/>
          </w:tcPr>
          <w:p w14:paraId="5E08FB3A" w14:textId="77777777" w:rsidR="00164E30" w:rsidRPr="00326B80" w:rsidRDefault="00164E30" w:rsidP="005B378E">
            <w:pPr>
              <w:pStyle w:val="Tablebodycopy"/>
              <w:rPr>
                <w:rFonts w:cs="Arial"/>
              </w:rPr>
            </w:pPr>
            <w:r w:rsidRPr="00326B80">
              <w:rPr>
                <w:rFonts w:cs="Arial"/>
              </w:rPr>
              <w:t>Recovery of costs</w:t>
            </w:r>
          </w:p>
        </w:tc>
        <w:tc>
          <w:tcPr>
            <w:tcW w:w="5275" w:type="dxa"/>
            <w:vAlign w:val="center"/>
          </w:tcPr>
          <w:p w14:paraId="199ABB09" w14:textId="037C3BD0" w:rsidR="00164E30" w:rsidRPr="00FA5E04" w:rsidRDefault="56D5EE50" w:rsidP="00B53C15">
            <w:pPr>
              <w:pStyle w:val="TableList"/>
              <w:tabs>
                <w:tab w:val="clear" w:pos="360"/>
                <w:tab w:val="num" w:pos="454"/>
              </w:tabs>
              <w:spacing w:before="40" w:after="40"/>
              <w:rPr>
                <w:rFonts w:cs="Arial"/>
                <w:color w:val="auto"/>
              </w:rPr>
            </w:pPr>
            <w:r w:rsidRPr="00FA5E04">
              <w:rPr>
                <w:rFonts w:cs="Arial"/>
                <w:color w:val="auto"/>
              </w:rPr>
              <w:t>F</w:t>
            </w:r>
            <w:r w:rsidR="7331BFBA" w:rsidRPr="00FA5E04">
              <w:rPr>
                <w:rFonts w:cs="Arial"/>
                <w:color w:val="auto"/>
              </w:rPr>
              <w:t xml:space="preserve">ewer </w:t>
            </w:r>
            <w:r w:rsidR="777B1BB7" w:rsidRPr="00FA5E04">
              <w:rPr>
                <w:rFonts w:cs="Arial"/>
                <w:color w:val="auto"/>
              </w:rPr>
              <w:t>must</w:t>
            </w:r>
            <w:r w:rsidRPr="00FA5E04">
              <w:rPr>
                <w:rFonts w:cs="Arial"/>
                <w:color w:val="auto"/>
              </w:rPr>
              <w:t>-</w:t>
            </w:r>
            <w:r w:rsidR="777B1BB7" w:rsidRPr="00FA5E04">
              <w:rPr>
                <w:rFonts w:cs="Arial"/>
                <w:color w:val="auto"/>
              </w:rPr>
              <w:t>reads</w:t>
            </w:r>
          </w:p>
        </w:tc>
      </w:tr>
      <w:tr w:rsidR="00164E30" w:rsidRPr="00326B80" w14:paraId="357F7375" w14:textId="77777777" w:rsidTr="00973A36">
        <w:trPr>
          <w:trHeight w:val="397"/>
        </w:trPr>
        <w:tc>
          <w:tcPr>
            <w:tcW w:w="4219" w:type="dxa"/>
            <w:vAlign w:val="center"/>
          </w:tcPr>
          <w:p w14:paraId="6388BE2C" w14:textId="77777777" w:rsidR="00164E30" w:rsidRPr="00326B80" w:rsidRDefault="00164E30" w:rsidP="005B378E">
            <w:pPr>
              <w:pStyle w:val="Tablebodycopy"/>
              <w:rPr>
                <w:rFonts w:cs="Arial"/>
              </w:rPr>
            </w:pPr>
            <w:r w:rsidRPr="00326B80">
              <w:rPr>
                <w:rFonts w:cs="Arial"/>
              </w:rPr>
              <w:lastRenderedPageBreak/>
              <w:t>Price regulation</w:t>
            </w:r>
          </w:p>
        </w:tc>
        <w:tc>
          <w:tcPr>
            <w:tcW w:w="5275" w:type="dxa"/>
            <w:vAlign w:val="center"/>
          </w:tcPr>
          <w:p w14:paraId="0FF49832" w14:textId="3B4D0810" w:rsidR="00164E30" w:rsidRPr="00FA5E04" w:rsidRDefault="4043A40A" w:rsidP="00B53C15">
            <w:pPr>
              <w:pStyle w:val="TableList"/>
              <w:tabs>
                <w:tab w:val="clear" w:pos="360"/>
                <w:tab w:val="num" w:pos="454"/>
              </w:tabs>
              <w:spacing w:before="40" w:after="40"/>
              <w:rPr>
                <w:rFonts w:cs="Arial"/>
                <w:color w:val="auto"/>
              </w:rPr>
            </w:pPr>
            <w:r w:rsidRPr="00FA5E04">
              <w:rPr>
                <w:rFonts w:cs="Arial"/>
                <w:color w:val="auto"/>
              </w:rPr>
              <w:t>N/a</w:t>
            </w:r>
          </w:p>
        </w:tc>
      </w:tr>
      <w:tr w:rsidR="00164E30" w:rsidRPr="00326B80" w14:paraId="5E6B765D" w14:textId="77777777" w:rsidTr="00973A36">
        <w:trPr>
          <w:trHeight w:val="397"/>
        </w:trPr>
        <w:tc>
          <w:tcPr>
            <w:tcW w:w="4219" w:type="dxa"/>
            <w:vAlign w:val="center"/>
          </w:tcPr>
          <w:p w14:paraId="757D194E" w14:textId="77777777" w:rsidR="00164E30" w:rsidRPr="00326B80" w:rsidRDefault="00164E30" w:rsidP="005B378E">
            <w:pPr>
              <w:pStyle w:val="Tablebodycopy"/>
              <w:rPr>
                <w:rFonts w:cs="Arial"/>
              </w:rPr>
            </w:pPr>
            <w:r w:rsidRPr="00326B80">
              <w:rPr>
                <w:rFonts w:cs="Arial"/>
              </w:rPr>
              <w:t>Contractual risks</w:t>
            </w:r>
          </w:p>
        </w:tc>
        <w:tc>
          <w:tcPr>
            <w:tcW w:w="5275" w:type="dxa"/>
            <w:vAlign w:val="center"/>
          </w:tcPr>
          <w:p w14:paraId="5B40C251" w14:textId="3BB37012" w:rsidR="00164E30" w:rsidRPr="00FA5E04" w:rsidRDefault="4974B207" w:rsidP="00B53C15">
            <w:pPr>
              <w:pStyle w:val="TableList"/>
              <w:tabs>
                <w:tab w:val="clear" w:pos="360"/>
                <w:tab w:val="num" w:pos="454"/>
              </w:tabs>
              <w:spacing w:before="40" w:after="40"/>
              <w:rPr>
                <w:rFonts w:cs="Arial"/>
                <w:color w:val="auto"/>
              </w:rPr>
            </w:pPr>
            <w:r w:rsidRPr="00FA5E04">
              <w:rPr>
                <w:rFonts w:cs="Arial"/>
                <w:color w:val="auto"/>
              </w:rPr>
              <w:t>N/a</w:t>
            </w:r>
          </w:p>
        </w:tc>
      </w:tr>
      <w:tr w:rsidR="00164E30" w:rsidRPr="00326B80" w14:paraId="78EBED7E" w14:textId="77777777" w:rsidTr="00973A36">
        <w:trPr>
          <w:trHeight w:val="397"/>
        </w:trPr>
        <w:tc>
          <w:tcPr>
            <w:tcW w:w="4219" w:type="dxa"/>
            <w:vAlign w:val="center"/>
          </w:tcPr>
          <w:p w14:paraId="5BA8BEED" w14:textId="77777777" w:rsidR="00164E30" w:rsidRPr="00326B80" w:rsidRDefault="00164E30" w:rsidP="005B378E">
            <w:pPr>
              <w:pStyle w:val="Tablebodycopy"/>
              <w:rPr>
                <w:rFonts w:cs="Arial"/>
              </w:rPr>
            </w:pPr>
            <w:r w:rsidRPr="00326B80">
              <w:rPr>
                <w:rFonts w:cs="Arial"/>
              </w:rPr>
              <w:t>Legislative, regulatory and contractual obligations and relationships</w:t>
            </w:r>
          </w:p>
        </w:tc>
        <w:tc>
          <w:tcPr>
            <w:tcW w:w="5275" w:type="dxa"/>
            <w:vAlign w:val="center"/>
          </w:tcPr>
          <w:p w14:paraId="73B16E93" w14:textId="564DD44F" w:rsidR="00164E30" w:rsidRPr="00FA5E04" w:rsidRDefault="0CDB0945" w:rsidP="00B53C15">
            <w:pPr>
              <w:pStyle w:val="TableList"/>
              <w:tabs>
                <w:tab w:val="clear" w:pos="360"/>
                <w:tab w:val="num" w:pos="454"/>
              </w:tabs>
              <w:spacing w:before="40" w:after="40"/>
              <w:rPr>
                <w:rFonts w:cs="Arial"/>
                <w:color w:val="auto"/>
              </w:rPr>
            </w:pPr>
            <w:r w:rsidRPr="00FA5E04">
              <w:rPr>
                <w:rFonts w:cs="Arial"/>
                <w:color w:val="auto"/>
              </w:rPr>
              <w:t>Less must</w:t>
            </w:r>
            <w:r w:rsidR="65836FC6" w:rsidRPr="00FA5E04">
              <w:rPr>
                <w:rFonts w:cs="Arial"/>
                <w:color w:val="auto"/>
              </w:rPr>
              <w:t>-</w:t>
            </w:r>
            <w:r w:rsidRPr="00FA5E04">
              <w:rPr>
                <w:rFonts w:cs="Arial"/>
                <w:color w:val="auto"/>
              </w:rPr>
              <w:t>reads</w:t>
            </w:r>
          </w:p>
        </w:tc>
      </w:tr>
      <w:tr w:rsidR="00164E30" w:rsidRPr="00326B80" w14:paraId="1696CBE8" w14:textId="77777777" w:rsidTr="00973A36">
        <w:trPr>
          <w:trHeight w:val="397"/>
        </w:trPr>
        <w:tc>
          <w:tcPr>
            <w:tcW w:w="4219" w:type="dxa"/>
            <w:vAlign w:val="center"/>
          </w:tcPr>
          <w:p w14:paraId="0E02F0CA" w14:textId="77777777" w:rsidR="00164E30" w:rsidRPr="00326B80" w:rsidRDefault="00164E30" w:rsidP="005B378E">
            <w:pPr>
              <w:pStyle w:val="Tablebodycopy"/>
              <w:rPr>
                <w:rFonts w:cs="Arial"/>
              </w:rPr>
            </w:pPr>
            <w:r w:rsidRPr="00326B80">
              <w:rPr>
                <w:rFonts w:cs="Arial"/>
              </w:rPr>
              <w:t>Standards of service</w:t>
            </w:r>
          </w:p>
        </w:tc>
        <w:tc>
          <w:tcPr>
            <w:tcW w:w="5275" w:type="dxa"/>
            <w:vAlign w:val="center"/>
          </w:tcPr>
          <w:p w14:paraId="21DC2C28" w14:textId="4CA3AF39" w:rsidR="00164E30" w:rsidRPr="00FA5E04" w:rsidRDefault="2A5F5433" w:rsidP="00B53C15">
            <w:pPr>
              <w:pStyle w:val="TableList"/>
              <w:tabs>
                <w:tab w:val="clear" w:pos="360"/>
                <w:tab w:val="num" w:pos="454"/>
              </w:tabs>
              <w:spacing w:before="40" w:after="40"/>
              <w:rPr>
                <w:rFonts w:cs="Arial"/>
                <w:color w:val="auto"/>
              </w:rPr>
            </w:pPr>
            <w:r w:rsidRPr="00FA5E04">
              <w:rPr>
                <w:rFonts w:cs="Arial"/>
                <w:color w:val="auto"/>
              </w:rPr>
              <w:t>Less must</w:t>
            </w:r>
            <w:r w:rsidR="65836FC6" w:rsidRPr="00FA5E04">
              <w:rPr>
                <w:rFonts w:cs="Arial"/>
                <w:color w:val="auto"/>
              </w:rPr>
              <w:t>-</w:t>
            </w:r>
            <w:r w:rsidRPr="00FA5E04">
              <w:rPr>
                <w:rFonts w:cs="Arial"/>
                <w:color w:val="auto"/>
              </w:rPr>
              <w:t>reads</w:t>
            </w:r>
          </w:p>
        </w:tc>
      </w:tr>
    </w:tbl>
    <w:p w14:paraId="321940CC" w14:textId="77777777" w:rsidR="005B378E" w:rsidRPr="00326B80" w:rsidRDefault="005B378E" w:rsidP="002205EE">
      <w:pPr>
        <w:spacing w:before="0" w:after="0"/>
        <w:rPr>
          <w:rFonts w:cs="Arial"/>
        </w:rPr>
      </w:pPr>
    </w:p>
    <w:tbl>
      <w:tblPr>
        <w:tblW w:w="949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4219"/>
        <w:gridCol w:w="5275"/>
      </w:tblGrid>
      <w:tr w:rsidR="005B378E" w:rsidRPr="00326B80" w14:paraId="26A7328B" w14:textId="77777777" w:rsidTr="39D899CA">
        <w:trPr>
          <w:trHeight w:hRule="exact" w:val="397"/>
          <w:tblHeader/>
        </w:trPr>
        <w:tc>
          <w:tcPr>
            <w:tcW w:w="9494" w:type="dxa"/>
            <w:gridSpan w:val="2"/>
            <w:tcBorders>
              <w:bottom w:val="single" w:sz="8" w:space="0" w:color="CCE0DA"/>
            </w:tcBorders>
            <w:shd w:val="clear" w:color="auto" w:fill="CCE0DA"/>
            <w:vAlign w:val="center"/>
          </w:tcPr>
          <w:p w14:paraId="0DD7B0D2" w14:textId="77777777" w:rsidR="005B378E" w:rsidRPr="00326B80" w:rsidRDefault="005B378E" w:rsidP="005B378E">
            <w:pPr>
              <w:pStyle w:val="TableHeading"/>
              <w:rPr>
                <w:rFonts w:cs="Arial"/>
              </w:rPr>
            </w:pPr>
            <w:r w:rsidRPr="00326B80">
              <w:rPr>
                <w:rFonts w:cs="Arial"/>
              </w:rPr>
              <w:t>Impact on Code Administration</w:t>
            </w:r>
          </w:p>
        </w:tc>
      </w:tr>
      <w:tr w:rsidR="005B378E" w:rsidRPr="00326B80" w14:paraId="224D2425" w14:textId="77777777" w:rsidTr="00973A36">
        <w:trPr>
          <w:trHeight w:val="397"/>
        </w:trPr>
        <w:tc>
          <w:tcPr>
            <w:tcW w:w="4219" w:type="dxa"/>
            <w:tcBorders>
              <w:top w:val="single" w:sz="8" w:space="0" w:color="CCE0DA"/>
            </w:tcBorders>
          </w:tcPr>
          <w:p w14:paraId="774AD88F" w14:textId="77777777" w:rsidR="005B378E" w:rsidRPr="00326B80" w:rsidRDefault="005B378E" w:rsidP="005B378E">
            <w:pPr>
              <w:pStyle w:val="Tablesubheading"/>
              <w:rPr>
                <w:rFonts w:cs="Arial"/>
              </w:rPr>
            </w:pPr>
            <w:r w:rsidRPr="00326B80">
              <w:rPr>
                <w:rFonts w:cs="Arial"/>
              </w:rPr>
              <w:t>Area of Code Administration</w:t>
            </w:r>
          </w:p>
        </w:tc>
        <w:tc>
          <w:tcPr>
            <w:tcW w:w="5275" w:type="dxa"/>
            <w:tcBorders>
              <w:top w:val="single" w:sz="8" w:space="0" w:color="CCE0DA"/>
            </w:tcBorders>
          </w:tcPr>
          <w:p w14:paraId="0D62CC88" w14:textId="77777777" w:rsidR="005B378E" w:rsidRPr="00326B80" w:rsidRDefault="005B378E" w:rsidP="005B378E">
            <w:pPr>
              <w:pStyle w:val="Tablesubheading"/>
              <w:rPr>
                <w:rFonts w:cs="Arial"/>
              </w:rPr>
            </w:pPr>
            <w:r w:rsidRPr="00326B80">
              <w:rPr>
                <w:rFonts w:cs="Arial"/>
              </w:rPr>
              <w:t>Potential impact</w:t>
            </w:r>
          </w:p>
        </w:tc>
      </w:tr>
      <w:tr w:rsidR="00164E30" w:rsidRPr="00326B80" w14:paraId="01787D8C" w14:textId="77777777" w:rsidTr="00973A36">
        <w:trPr>
          <w:trHeight w:val="397"/>
        </w:trPr>
        <w:tc>
          <w:tcPr>
            <w:tcW w:w="4219" w:type="dxa"/>
          </w:tcPr>
          <w:p w14:paraId="047075C3" w14:textId="77777777" w:rsidR="00164E30" w:rsidRPr="00326B80" w:rsidRDefault="00164E30" w:rsidP="005B378E">
            <w:pPr>
              <w:pStyle w:val="Tablebodycopy"/>
              <w:rPr>
                <w:rFonts w:cs="Arial"/>
              </w:rPr>
            </w:pPr>
            <w:r w:rsidRPr="00326B80">
              <w:rPr>
                <w:rFonts w:cs="Arial"/>
              </w:rPr>
              <w:t>Modification Rules</w:t>
            </w:r>
          </w:p>
        </w:tc>
        <w:tc>
          <w:tcPr>
            <w:tcW w:w="5275" w:type="dxa"/>
          </w:tcPr>
          <w:p w14:paraId="696276E7" w14:textId="370EBC68" w:rsidR="00164E30" w:rsidRPr="00326B80" w:rsidRDefault="6CEA0B9F" w:rsidP="00B53C15">
            <w:pPr>
              <w:pStyle w:val="TableList"/>
              <w:tabs>
                <w:tab w:val="clear" w:pos="360"/>
                <w:tab w:val="num" w:pos="454"/>
              </w:tabs>
              <w:spacing w:before="40" w:after="40"/>
              <w:rPr>
                <w:rFonts w:cs="Arial"/>
                <w:color w:val="auto"/>
              </w:rPr>
            </w:pPr>
            <w:r w:rsidRPr="39D899CA">
              <w:rPr>
                <w:rFonts w:cs="Arial"/>
                <w:color w:val="auto"/>
              </w:rPr>
              <w:t>N/a</w:t>
            </w:r>
          </w:p>
        </w:tc>
      </w:tr>
      <w:tr w:rsidR="00164E30" w:rsidRPr="00326B80" w14:paraId="7EB6DF8D" w14:textId="77777777" w:rsidTr="00973A36">
        <w:trPr>
          <w:trHeight w:val="397"/>
        </w:trPr>
        <w:tc>
          <w:tcPr>
            <w:tcW w:w="4219" w:type="dxa"/>
          </w:tcPr>
          <w:p w14:paraId="0675207B" w14:textId="77777777" w:rsidR="00164E30" w:rsidRPr="00FA5E04" w:rsidRDefault="00164E30" w:rsidP="005B378E">
            <w:pPr>
              <w:pStyle w:val="Tablebodycopy"/>
              <w:rPr>
                <w:rFonts w:cs="Arial"/>
              </w:rPr>
            </w:pPr>
            <w:r w:rsidRPr="00FA5E04">
              <w:rPr>
                <w:rFonts w:cs="Arial"/>
              </w:rPr>
              <w:t>UNC Committees</w:t>
            </w:r>
          </w:p>
        </w:tc>
        <w:tc>
          <w:tcPr>
            <w:tcW w:w="5275" w:type="dxa"/>
          </w:tcPr>
          <w:p w14:paraId="566BC023" w14:textId="759CA6A4" w:rsidR="00164E30" w:rsidRPr="00FA5E04" w:rsidRDefault="0A3EF3FE" w:rsidP="00B53C15">
            <w:pPr>
              <w:pStyle w:val="TableList"/>
              <w:tabs>
                <w:tab w:val="clear" w:pos="360"/>
                <w:tab w:val="num" w:pos="454"/>
              </w:tabs>
              <w:spacing w:before="40" w:after="40"/>
              <w:rPr>
                <w:rFonts w:cs="Arial"/>
                <w:color w:val="auto"/>
              </w:rPr>
            </w:pPr>
            <w:r w:rsidRPr="00FA5E04">
              <w:rPr>
                <w:rFonts w:cs="Arial"/>
                <w:color w:val="auto"/>
              </w:rPr>
              <w:t>PAC impacts</w:t>
            </w:r>
          </w:p>
        </w:tc>
      </w:tr>
      <w:tr w:rsidR="00164E30" w:rsidRPr="00326B80" w14:paraId="7C98ED68" w14:textId="77777777" w:rsidTr="00973A36">
        <w:trPr>
          <w:trHeight w:val="397"/>
        </w:trPr>
        <w:tc>
          <w:tcPr>
            <w:tcW w:w="4219" w:type="dxa"/>
          </w:tcPr>
          <w:p w14:paraId="48AB2732" w14:textId="77777777" w:rsidR="00164E30" w:rsidRPr="00326B80" w:rsidRDefault="00164E30" w:rsidP="005B378E">
            <w:pPr>
              <w:pStyle w:val="Tablebodycopy"/>
              <w:rPr>
                <w:rFonts w:cs="Arial"/>
              </w:rPr>
            </w:pPr>
            <w:r w:rsidRPr="00326B80">
              <w:rPr>
                <w:rFonts w:cs="Arial"/>
              </w:rPr>
              <w:t>General administration</w:t>
            </w:r>
          </w:p>
        </w:tc>
        <w:tc>
          <w:tcPr>
            <w:tcW w:w="5275" w:type="dxa"/>
          </w:tcPr>
          <w:p w14:paraId="690B967B" w14:textId="36777907" w:rsidR="00164E30" w:rsidRPr="00326B80" w:rsidRDefault="4217014C" w:rsidP="00B53C15">
            <w:pPr>
              <w:pStyle w:val="TableList"/>
              <w:tabs>
                <w:tab w:val="clear" w:pos="360"/>
                <w:tab w:val="num" w:pos="454"/>
              </w:tabs>
              <w:spacing w:before="40" w:after="40"/>
              <w:rPr>
                <w:rFonts w:cs="Arial"/>
                <w:color w:val="auto"/>
              </w:rPr>
            </w:pPr>
            <w:r w:rsidRPr="39D899CA">
              <w:rPr>
                <w:rFonts w:cs="Arial"/>
                <w:color w:val="auto"/>
              </w:rPr>
              <w:t>N/a</w:t>
            </w:r>
          </w:p>
        </w:tc>
      </w:tr>
      <w:tr w:rsidR="00787583" w:rsidRPr="00326B80" w14:paraId="386D4553" w14:textId="77777777" w:rsidTr="00973A36">
        <w:trPr>
          <w:trHeight w:val="448"/>
        </w:trPr>
        <w:tc>
          <w:tcPr>
            <w:tcW w:w="4219" w:type="dxa"/>
          </w:tcPr>
          <w:p w14:paraId="11D8B13C" w14:textId="77777777" w:rsidR="00787583" w:rsidRPr="00326B80" w:rsidRDefault="00787583" w:rsidP="005B378E">
            <w:pPr>
              <w:pStyle w:val="Tablebodycopy"/>
              <w:rPr>
                <w:rFonts w:cs="Arial"/>
              </w:rPr>
            </w:pPr>
            <w:r>
              <w:rPr>
                <w:rFonts w:cs="Arial"/>
              </w:rPr>
              <w:t>DSC Committees</w:t>
            </w:r>
          </w:p>
        </w:tc>
        <w:tc>
          <w:tcPr>
            <w:tcW w:w="5275" w:type="dxa"/>
          </w:tcPr>
          <w:p w14:paraId="4114076A" w14:textId="7EDAE427" w:rsidR="00787583" w:rsidRPr="00326B80" w:rsidRDefault="5471E1BB" w:rsidP="00B53C15">
            <w:pPr>
              <w:pStyle w:val="TableList"/>
              <w:tabs>
                <w:tab w:val="clear" w:pos="360"/>
                <w:tab w:val="num" w:pos="454"/>
              </w:tabs>
              <w:spacing w:before="40" w:after="40"/>
              <w:rPr>
                <w:rFonts w:cs="Arial"/>
                <w:color w:val="auto"/>
              </w:rPr>
            </w:pPr>
            <w:r w:rsidRPr="39D899CA">
              <w:rPr>
                <w:rFonts w:cs="Arial"/>
                <w:color w:val="auto"/>
              </w:rPr>
              <w:t>N/a</w:t>
            </w:r>
          </w:p>
        </w:tc>
      </w:tr>
    </w:tbl>
    <w:p w14:paraId="5309567F" w14:textId="77777777" w:rsidR="005B378E" w:rsidRPr="00326B80" w:rsidRDefault="005B378E" w:rsidP="002205EE">
      <w:pPr>
        <w:spacing w:before="0" w:after="0"/>
        <w:rPr>
          <w:rFonts w:cs="Arial"/>
        </w:rPr>
      </w:pPr>
    </w:p>
    <w:tbl>
      <w:tblPr>
        <w:tblW w:w="949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4219"/>
        <w:gridCol w:w="5275"/>
      </w:tblGrid>
      <w:tr w:rsidR="005B378E" w:rsidRPr="00326B80" w14:paraId="715BB2DC" w14:textId="77777777" w:rsidTr="39D899CA">
        <w:trPr>
          <w:trHeight w:hRule="exact" w:val="397"/>
          <w:tblHeader/>
        </w:trPr>
        <w:tc>
          <w:tcPr>
            <w:tcW w:w="9494" w:type="dxa"/>
            <w:gridSpan w:val="2"/>
            <w:tcBorders>
              <w:bottom w:val="single" w:sz="8" w:space="0" w:color="CCE0DA"/>
            </w:tcBorders>
            <w:shd w:val="clear" w:color="auto" w:fill="CCE0DA"/>
            <w:vAlign w:val="center"/>
          </w:tcPr>
          <w:p w14:paraId="28481BB5" w14:textId="77777777" w:rsidR="005B378E" w:rsidRPr="00326B80" w:rsidRDefault="005B378E" w:rsidP="005B378E">
            <w:pPr>
              <w:pStyle w:val="TableHeading"/>
              <w:rPr>
                <w:rFonts w:cs="Arial"/>
              </w:rPr>
            </w:pPr>
            <w:r w:rsidRPr="00326B80">
              <w:rPr>
                <w:rFonts w:cs="Arial"/>
              </w:rPr>
              <w:t>Impact on Code</w:t>
            </w:r>
          </w:p>
        </w:tc>
      </w:tr>
      <w:tr w:rsidR="005B378E" w:rsidRPr="00326B80" w14:paraId="7A840BC3" w14:textId="77777777" w:rsidTr="00973A36">
        <w:trPr>
          <w:trHeight w:val="397"/>
        </w:trPr>
        <w:tc>
          <w:tcPr>
            <w:tcW w:w="4219" w:type="dxa"/>
            <w:tcBorders>
              <w:top w:val="single" w:sz="8" w:space="0" w:color="CCE0DA"/>
            </w:tcBorders>
          </w:tcPr>
          <w:p w14:paraId="65E9A665" w14:textId="77777777" w:rsidR="005B378E" w:rsidRPr="00326B80" w:rsidRDefault="005B378E" w:rsidP="005B378E">
            <w:pPr>
              <w:pStyle w:val="Tablesubheading"/>
              <w:rPr>
                <w:rFonts w:cs="Arial"/>
              </w:rPr>
            </w:pPr>
            <w:r w:rsidRPr="00326B80">
              <w:rPr>
                <w:rFonts w:cs="Arial"/>
              </w:rPr>
              <w:t>Code section</w:t>
            </w:r>
          </w:p>
        </w:tc>
        <w:tc>
          <w:tcPr>
            <w:tcW w:w="5275" w:type="dxa"/>
            <w:tcBorders>
              <w:top w:val="single" w:sz="8" w:space="0" w:color="CCE0DA"/>
            </w:tcBorders>
          </w:tcPr>
          <w:p w14:paraId="4FA14FED" w14:textId="77777777" w:rsidR="005B378E" w:rsidRPr="00326B80" w:rsidRDefault="005B378E" w:rsidP="005B378E">
            <w:pPr>
              <w:pStyle w:val="Tablesubheading"/>
              <w:rPr>
                <w:rFonts w:cs="Arial"/>
              </w:rPr>
            </w:pPr>
            <w:r w:rsidRPr="00326B80">
              <w:rPr>
                <w:rFonts w:cs="Arial"/>
              </w:rPr>
              <w:t>Potential impact</w:t>
            </w:r>
          </w:p>
        </w:tc>
      </w:tr>
      <w:tr w:rsidR="00164E30" w:rsidRPr="00326B80" w14:paraId="3A3E522B" w14:textId="77777777" w:rsidTr="00973A36">
        <w:trPr>
          <w:trHeight w:val="397"/>
        </w:trPr>
        <w:tc>
          <w:tcPr>
            <w:tcW w:w="4219" w:type="dxa"/>
          </w:tcPr>
          <w:p w14:paraId="36C441C9" w14:textId="77777777" w:rsidR="00164E30" w:rsidRPr="00326B80" w:rsidRDefault="00164E30" w:rsidP="005B378E">
            <w:pPr>
              <w:pStyle w:val="Tablebodycopy"/>
              <w:rPr>
                <w:rFonts w:cs="Arial"/>
              </w:rPr>
            </w:pPr>
          </w:p>
        </w:tc>
        <w:tc>
          <w:tcPr>
            <w:tcW w:w="5275" w:type="dxa"/>
          </w:tcPr>
          <w:p w14:paraId="221C7EEF" w14:textId="411EAEFE" w:rsidR="00164E30" w:rsidRPr="00326B80" w:rsidRDefault="2C7F8C3F" w:rsidP="00B53C15">
            <w:pPr>
              <w:pStyle w:val="TableList"/>
              <w:tabs>
                <w:tab w:val="clear" w:pos="360"/>
                <w:tab w:val="num" w:pos="454"/>
              </w:tabs>
              <w:spacing w:before="40" w:after="40"/>
              <w:rPr>
                <w:rFonts w:cs="Arial"/>
                <w:color w:val="auto"/>
              </w:rPr>
            </w:pPr>
            <w:r w:rsidRPr="00FA5E04">
              <w:rPr>
                <w:rFonts w:cs="Arial"/>
                <w:color w:val="auto"/>
              </w:rPr>
              <w:t>UNC TPD, M, 5.9.4, 5.9.9</w:t>
            </w:r>
          </w:p>
        </w:tc>
      </w:tr>
    </w:tbl>
    <w:p w14:paraId="03E31012" w14:textId="77777777" w:rsidR="005B378E" w:rsidRPr="00326B80" w:rsidRDefault="005B378E" w:rsidP="002205EE">
      <w:pPr>
        <w:spacing w:before="0" w:after="0"/>
        <w:rPr>
          <w:rFonts w:cs="Arial"/>
        </w:rPr>
      </w:pPr>
    </w:p>
    <w:tbl>
      <w:tblPr>
        <w:tblW w:w="949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4219"/>
        <w:gridCol w:w="5275"/>
      </w:tblGrid>
      <w:tr w:rsidR="005B378E" w:rsidRPr="00326B80" w14:paraId="5734BC65" w14:textId="77777777" w:rsidTr="3780501F">
        <w:trPr>
          <w:trHeight w:hRule="exact" w:val="397"/>
          <w:tblHeader/>
        </w:trPr>
        <w:tc>
          <w:tcPr>
            <w:tcW w:w="9494" w:type="dxa"/>
            <w:gridSpan w:val="2"/>
            <w:tcBorders>
              <w:bottom w:val="single" w:sz="8" w:space="0" w:color="CCE0DA"/>
            </w:tcBorders>
            <w:shd w:val="clear" w:color="auto" w:fill="CCE0DA"/>
            <w:vAlign w:val="center"/>
          </w:tcPr>
          <w:p w14:paraId="38EC2ADA" w14:textId="77777777" w:rsidR="005B378E" w:rsidRPr="00326B80" w:rsidRDefault="005B378E" w:rsidP="005B378E">
            <w:pPr>
              <w:pStyle w:val="TableHeading"/>
              <w:rPr>
                <w:rFonts w:cs="Arial"/>
              </w:rPr>
            </w:pPr>
            <w:r w:rsidRPr="00326B80">
              <w:rPr>
                <w:rFonts w:cs="Arial"/>
              </w:rPr>
              <w:t xml:space="preserve">Impact on UNC Related Documents and Other Referenced Documents </w:t>
            </w:r>
          </w:p>
        </w:tc>
      </w:tr>
      <w:tr w:rsidR="005B378E" w:rsidRPr="00326B80" w14:paraId="69CAA9FB" w14:textId="77777777" w:rsidTr="00973A36">
        <w:trPr>
          <w:trHeight w:val="397"/>
        </w:trPr>
        <w:tc>
          <w:tcPr>
            <w:tcW w:w="4219" w:type="dxa"/>
            <w:tcBorders>
              <w:top w:val="single" w:sz="8" w:space="0" w:color="CCE0DA"/>
            </w:tcBorders>
            <w:vAlign w:val="center"/>
          </w:tcPr>
          <w:p w14:paraId="1D2C484F" w14:textId="77777777" w:rsidR="005B378E" w:rsidRPr="00326B80" w:rsidRDefault="005B378E" w:rsidP="005B378E">
            <w:pPr>
              <w:pStyle w:val="Tablesubheading"/>
              <w:rPr>
                <w:rFonts w:cs="Arial"/>
              </w:rPr>
            </w:pPr>
            <w:r w:rsidRPr="00326B80">
              <w:rPr>
                <w:rFonts w:cs="Arial"/>
              </w:rPr>
              <w:t>Related Document</w:t>
            </w:r>
          </w:p>
        </w:tc>
        <w:tc>
          <w:tcPr>
            <w:tcW w:w="5275" w:type="dxa"/>
            <w:tcBorders>
              <w:top w:val="single" w:sz="8" w:space="0" w:color="CCE0DA"/>
            </w:tcBorders>
            <w:vAlign w:val="center"/>
          </w:tcPr>
          <w:p w14:paraId="46DEBB77" w14:textId="77777777" w:rsidR="005B378E" w:rsidRPr="00326B80" w:rsidRDefault="005B378E" w:rsidP="005B378E">
            <w:pPr>
              <w:pStyle w:val="Tablesubheading"/>
              <w:rPr>
                <w:rFonts w:cs="Arial"/>
              </w:rPr>
            </w:pPr>
            <w:r w:rsidRPr="00326B80">
              <w:rPr>
                <w:rFonts w:cs="Arial"/>
              </w:rPr>
              <w:t>Potential impact</w:t>
            </w:r>
          </w:p>
        </w:tc>
      </w:tr>
      <w:tr w:rsidR="00164E30" w:rsidRPr="00326B80" w14:paraId="5FDC3231" w14:textId="77777777" w:rsidTr="00973A36">
        <w:trPr>
          <w:trHeight w:val="397"/>
        </w:trPr>
        <w:tc>
          <w:tcPr>
            <w:tcW w:w="4219" w:type="dxa"/>
            <w:vAlign w:val="center"/>
          </w:tcPr>
          <w:p w14:paraId="1EE7F5A7" w14:textId="77777777" w:rsidR="00164E30" w:rsidRPr="00326B80" w:rsidRDefault="00164E30" w:rsidP="005B378E">
            <w:pPr>
              <w:pStyle w:val="Tablebodycopy"/>
              <w:rPr>
                <w:rFonts w:cs="Arial"/>
              </w:rPr>
            </w:pPr>
            <w:r w:rsidRPr="00326B80">
              <w:rPr>
                <w:rFonts w:cs="Arial"/>
              </w:rPr>
              <w:t>Network Entry Agreement (TPD I1.3)</w:t>
            </w:r>
          </w:p>
        </w:tc>
        <w:tc>
          <w:tcPr>
            <w:tcW w:w="5275" w:type="dxa"/>
            <w:vAlign w:val="center"/>
          </w:tcPr>
          <w:p w14:paraId="43C7B79F" w14:textId="13A88262" w:rsidR="00164E30" w:rsidRPr="00326B80" w:rsidRDefault="44A2C3EF" w:rsidP="00B53C15">
            <w:pPr>
              <w:pStyle w:val="TableList"/>
              <w:tabs>
                <w:tab w:val="clear" w:pos="360"/>
                <w:tab w:val="num" w:pos="454"/>
              </w:tabs>
              <w:spacing w:before="40" w:after="40"/>
              <w:rPr>
                <w:rFonts w:cs="Arial"/>
                <w:color w:val="auto"/>
              </w:rPr>
            </w:pPr>
            <w:r w:rsidRPr="39D899CA">
              <w:rPr>
                <w:rFonts w:cs="Arial"/>
                <w:color w:val="auto"/>
              </w:rPr>
              <w:t>N/a</w:t>
            </w:r>
          </w:p>
        </w:tc>
      </w:tr>
      <w:tr w:rsidR="004F5135" w:rsidRPr="00326B80" w14:paraId="0A487091" w14:textId="77777777" w:rsidTr="00973A36">
        <w:trPr>
          <w:trHeight w:val="397"/>
        </w:trPr>
        <w:tc>
          <w:tcPr>
            <w:tcW w:w="4219" w:type="dxa"/>
            <w:vAlign w:val="center"/>
          </w:tcPr>
          <w:p w14:paraId="1D7E5D11" w14:textId="77777777" w:rsidR="004F5135" w:rsidRPr="007656A6" w:rsidRDefault="004F5135" w:rsidP="005B378E">
            <w:pPr>
              <w:pStyle w:val="Tablebodycopy"/>
              <w:rPr>
                <w:rFonts w:cs="Arial"/>
                <w:color w:val="000000"/>
              </w:rPr>
            </w:pPr>
            <w:r w:rsidRPr="007656A6">
              <w:rPr>
                <w:rFonts w:cs="Arial"/>
                <w:color w:val="000000"/>
              </w:rPr>
              <w:t xml:space="preserve">General </w:t>
            </w:r>
          </w:p>
        </w:tc>
        <w:tc>
          <w:tcPr>
            <w:tcW w:w="5275" w:type="dxa"/>
            <w:vAlign w:val="center"/>
          </w:tcPr>
          <w:p w14:paraId="13C511CC" w14:textId="77777777" w:rsidR="004F5135" w:rsidRPr="00326B80" w:rsidRDefault="004F5135" w:rsidP="004F5135">
            <w:pPr>
              <w:pStyle w:val="TableList"/>
              <w:numPr>
                <w:ilvl w:val="0"/>
                <w:numId w:val="0"/>
              </w:numPr>
              <w:spacing w:before="40" w:after="40"/>
              <w:ind w:left="454" w:hanging="341"/>
              <w:rPr>
                <w:rFonts w:cs="Arial"/>
                <w:color w:val="auto"/>
              </w:rPr>
            </w:pPr>
            <w:r>
              <w:rPr>
                <w:rFonts w:cs="Arial"/>
                <w:color w:val="auto"/>
              </w:rPr>
              <w:t>Potential Impact</w:t>
            </w:r>
          </w:p>
        </w:tc>
      </w:tr>
      <w:tr w:rsidR="00342233" w:rsidRPr="00326B80" w14:paraId="43B2330E" w14:textId="77777777" w:rsidTr="00973A36">
        <w:trPr>
          <w:trHeight w:val="397"/>
        </w:trPr>
        <w:tc>
          <w:tcPr>
            <w:tcW w:w="4219" w:type="dxa"/>
            <w:vAlign w:val="center"/>
          </w:tcPr>
          <w:p w14:paraId="181319A9" w14:textId="77777777" w:rsidR="00342233" w:rsidRPr="00326B80" w:rsidRDefault="00342233" w:rsidP="005B378E">
            <w:pPr>
              <w:pStyle w:val="Tablebodycopy"/>
              <w:rPr>
                <w:rFonts w:cs="Arial"/>
              </w:rPr>
            </w:pPr>
            <w:r>
              <w:rPr>
                <w:rFonts w:cs="Arial"/>
              </w:rPr>
              <w:t>Legal Text Guidance Document</w:t>
            </w:r>
          </w:p>
        </w:tc>
        <w:tc>
          <w:tcPr>
            <w:tcW w:w="5275" w:type="dxa"/>
            <w:vAlign w:val="center"/>
          </w:tcPr>
          <w:p w14:paraId="2FCC179A" w14:textId="7C1057E7" w:rsidR="00342233" w:rsidRPr="00326B80" w:rsidRDefault="01EC3174" w:rsidP="00B53C15">
            <w:pPr>
              <w:pStyle w:val="TableList"/>
              <w:tabs>
                <w:tab w:val="clear" w:pos="360"/>
                <w:tab w:val="num" w:pos="454"/>
              </w:tabs>
              <w:spacing w:before="40" w:after="40"/>
              <w:rPr>
                <w:rFonts w:cs="Arial"/>
                <w:color w:val="auto"/>
              </w:rPr>
            </w:pPr>
            <w:r w:rsidRPr="39D899CA">
              <w:rPr>
                <w:rFonts w:cs="Arial"/>
                <w:color w:val="auto"/>
              </w:rPr>
              <w:t>N/a</w:t>
            </w:r>
          </w:p>
        </w:tc>
      </w:tr>
      <w:tr w:rsidR="00342233" w:rsidRPr="00326B80" w14:paraId="1EBDD4BA" w14:textId="77777777" w:rsidTr="00973A36">
        <w:trPr>
          <w:trHeight w:val="397"/>
        </w:trPr>
        <w:tc>
          <w:tcPr>
            <w:tcW w:w="4219" w:type="dxa"/>
            <w:vAlign w:val="center"/>
          </w:tcPr>
          <w:p w14:paraId="265D7E33" w14:textId="77777777" w:rsidR="00342233" w:rsidRPr="00326B80" w:rsidRDefault="00342233" w:rsidP="005B378E">
            <w:pPr>
              <w:pStyle w:val="Tablebodycopy"/>
              <w:rPr>
                <w:rFonts w:cs="Arial"/>
              </w:rPr>
            </w:pPr>
            <w:r>
              <w:rPr>
                <w:rFonts w:cs="Arial"/>
              </w:rPr>
              <w:t>UNC Modification Proposals – Guidance for Proposers</w:t>
            </w:r>
          </w:p>
        </w:tc>
        <w:tc>
          <w:tcPr>
            <w:tcW w:w="5275" w:type="dxa"/>
            <w:vAlign w:val="center"/>
          </w:tcPr>
          <w:p w14:paraId="6BBF2365" w14:textId="338A6580" w:rsidR="00342233" w:rsidRPr="00326B80" w:rsidRDefault="7A03B742" w:rsidP="00B53C15">
            <w:pPr>
              <w:pStyle w:val="TableList"/>
              <w:tabs>
                <w:tab w:val="clear" w:pos="360"/>
                <w:tab w:val="num" w:pos="454"/>
              </w:tabs>
              <w:spacing w:before="40" w:after="40"/>
              <w:rPr>
                <w:rFonts w:cs="Arial"/>
                <w:color w:val="auto"/>
              </w:rPr>
            </w:pPr>
            <w:r w:rsidRPr="39D899CA">
              <w:rPr>
                <w:rFonts w:cs="Arial"/>
                <w:color w:val="auto"/>
              </w:rPr>
              <w:t>N/a</w:t>
            </w:r>
          </w:p>
        </w:tc>
      </w:tr>
      <w:tr w:rsidR="00342233" w:rsidRPr="00326B80" w14:paraId="0ED79B04" w14:textId="77777777" w:rsidTr="00973A36">
        <w:trPr>
          <w:trHeight w:val="397"/>
        </w:trPr>
        <w:tc>
          <w:tcPr>
            <w:tcW w:w="4219" w:type="dxa"/>
            <w:vAlign w:val="center"/>
          </w:tcPr>
          <w:p w14:paraId="7396A0EF" w14:textId="118D8398" w:rsidR="00342233" w:rsidRPr="00326B80" w:rsidRDefault="65836FC6" w:rsidP="005B378E">
            <w:pPr>
              <w:pStyle w:val="Tablebodycopy"/>
              <w:rPr>
                <w:rFonts w:cs="Arial"/>
              </w:rPr>
            </w:pPr>
            <w:r w:rsidRPr="3780501F">
              <w:rPr>
                <w:rFonts w:cs="Arial"/>
              </w:rPr>
              <w:t>Self-Governance</w:t>
            </w:r>
            <w:r w:rsidR="042CBBE9" w:rsidRPr="3780501F">
              <w:rPr>
                <w:rFonts w:cs="Arial"/>
              </w:rPr>
              <w:t xml:space="preserve"> Guidance</w:t>
            </w:r>
          </w:p>
        </w:tc>
        <w:tc>
          <w:tcPr>
            <w:tcW w:w="5275" w:type="dxa"/>
            <w:vAlign w:val="center"/>
          </w:tcPr>
          <w:p w14:paraId="74A8E7F5" w14:textId="613C6531" w:rsidR="00342233" w:rsidRPr="00326B80" w:rsidRDefault="3DF8D46E" w:rsidP="00B53C15">
            <w:pPr>
              <w:pStyle w:val="TableList"/>
              <w:tabs>
                <w:tab w:val="clear" w:pos="360"/>
                <w:tab w:val="num" w:pos="454"/>
              </w:tabs>
              <w:spacing w:before="40" w:after="40"/>
              <w:rPr>
                <w:rFonts w:cs="Arial"/>
                <w:color w:val="auto"/>
              </w:rPr>
            </w:pPr>
            <w:r w:rsidRPr="39D899CA">
              <w:rPr>
                <w:rFonts w:cs="Arial"/>
                <w:color w:val="auto"/>
              </w:rPr>
              <w:t>N/a</w:t>
            </w:r>
          </w:p>
        </w:tc>
      </w:tr>
      <w:tr w:rsidR="00D50C45" w:rsidRPr="00326B80" w14:paraId="7674250F" w14:textId="77777777" w:rsidTr="00973A36">
        <w:trPr>
          <w:trHeight w:val="397"/>
        </w:trPr>
        <w:tc>
          <w:tcPr>
            <w:tcW w:w="4219" w:type="dxa"/>
            <w:vAlign w:val="center"/>
          </w:tcPr>
          <w:p w14:paraId="0062A96C" w14:textId="77777777" w:rsidR="00D50C45" w:rsidRDefault="00D50C45" w:rsidP="005B378E">
            <w:pPr>
              <w:pStyle w:val="Tablebodycopy"/>
              <w:rPr>
                <w:rFonts w:cs="Arial"/>
              </w:rPr>
            </w:pPr>
          </w:p>
        </w:tc>
        <w:tc>
          <w:tcPr>
            <w:tcW w:w="5275" w:type="dxa"/>
            <w:vAlign w:val="center"/>
          </w:tcPr>
          <w:p w14:paraId="640A33DA" w14:textId="3A6E3343" w:rsidR="00D50C45" w:rsidRPr="00326B80" w:rsidRDefault="00D50C45" w:rsidP="39D899CA">
            <w:pPr>
              <w:pStyle w:val="TableList"/>
              <w:numPr>
                <w:ilvl w:val="1"/>
                <w:numId w:val="0"/>
              </w:numPr>
              <w:tabs>
                <w:tab w:val="num" w:pos="454"/>
              </w:tabs>
              <w:spacing w:before="40" w:after="40"/>
              <w:rPr>
                <w:rFonts w:cs="Arial"/>
                <w:color w:val="auto"/>
              </w:rPr>
            </w:pPr>
          </w:p>
        </w:tc>
      </w:tr>
      <w:tr w:rsidR="004F5135" w:rsidRPr="00326B80" w14:paraId="29A38E82" w14:textId="77777777" w:rsidTr="00973A36">
        <w:trPr>
          <w:trHeight w:val="397"/>
        </w:trPr>
        <w:tc>
          <w:tcPr>
            <w:tcW w:w="4219" w:type="dxa"/>
            <w:vAlign w:val="center"/>
          </w:tcPr>
          <w:p w14:paraId="60BEAA22" w14:textId="77777777" w:rsidR="004F5135" w:rsidRPr="007656A6" w:rsidRDefault="004F5135" w:rsidP="007656A6">
            <w:pPr>
              <w:pStyle w:val="Tablebodycopy"/>
              <w:rPr>
                <w:rFonts w:cs="Arial"/>
                <w:color w:val="000000"/>
              </w:rPr>
            </w:pPr>
            <w:r w:rsidRPr="007656A6">
              <w:rPr>
                <w:rFonts w:cs="Arial"/>
                <w:color w:val="000000"/>
              </w:rPr>
              <w:t>TPD</w:t>
            </w:r>
          </w:p>
        </w:tc>
        <w:tc>
          <w:tcPr>
            <w:tcW w:w="5275" w:type="dxa"/>
            <w:vAlign w:val="center"/>
          </w:tcPr>
          <w:p w14:paraId="0D91B398" w14:textId="77777777" w:rsidR="004F5135" w:rsidRPr="00326B80" w:rsidRDefault="004F5135" w:rsidP="007656A6">
            <w:pPr>
              <w:pStyle w:val="TableList"/>
              <w:numPr>
                <w:ilvl w:val="0"/>
                <w:numId w:val="0"/>
              </w:numPr>
              <w:spacing w:before="40" w:after="40"/>
              <w:ind w:left="454" w:hanging="341"/>
              <w:rPr>
                <w:rFonts w:cs="Arial"/>
                <w:color w:val="auto"/>
              </w:rPr>
            </w:pPr>
            <w:r>
              <w:rPr>
                <w:rFonts w:cs="Arial"/>
                <w:color w:val="auto"/>
              </w:rPr>
              <w:t>Potential Impact</w:t>
            </w:r>
          </w:p>
        </w:tc>
      </w:tr>
      <w:tr w:rsidR="004F5135" w:rsidRPr="00326B80" w14:paraId="556166C0" w14:textId="77777777" w:rsidTr="00973A36">
        <w:trPr>
          <w:trHeight w:val="397"/>
        </w:trPr>
        <w:tc>
          <w:tcPr>
            <w:tcW w:w="4219" w:type="dxa"/>
            <w:vAlign w:val="center"/>
          </w:tcPr>
          <w:p w14:paraId="029EE53A" w14:textId="77777777" w:rsidR="004F5135" w:rsidRPr="00326B80" w:rsidRDefault="004F5135" w:rsidP="005B378E">
            <w:pPr>
              <w:pStyle w:val="Tablebodycopy"/>
              <w:rPr>
                <w:rFonts w:cs="Arial"/>
              </w:rPr>
            </w:pPr>
            <w:r w:rsidRPr="00326B80">
              <w:rPr>
                <w:rFonts w:cs="Arial"/>
              </w:rPr>
              <w:t>Network Code Operations Reporting Manual (TPD V12)</w:t>
            </w:r>
          </w:p>
        </w:tc>
        <w:tc>
          <w:tcPr>
            <w:tcW w:w="5275" w:type="dxa"/>
            <w:vAlign w:val="center"/>
          </w:tcPr>
          <w:p w14:paraId="24CC86F0" w14:textId="55FDC193" w:rsidR="004F5135" w:rsidRPr="00326B80" w:rsidRDefault="269D27FD" w:rsidP="00B53C15">
            <w:pPr>
              <w:pStyle w:val="TableList"/>
              <w:tabs>
                <w:tab w:val="clear" w:pos="360"/>
                <w:tab w:val="num" w:pos="454"/>
              </w:tabs>
              <w:spacing w:before="40" w:after="40"/>
              <w:rPr>
                <w:rFonts w:cs="Arial"/>
                <w:color w:val="auto"/>
              </w:rPr>
            </w:pPr>
            <w:r w:rsidRPr="39D899CA">
              <w:rPr>
                <w:rFonts w:cs="Arial"/>
                <w:color w:val="auto"/>
              </w:rPr>
              <w:t>N/a</w:t>
            </w:r>
          </w:p>
        </w:tc>
      </w:tr>
      <w:tr w:rsidR="004F5135" w:rsidRPr="00326B80" w14:paraId="44F2A979" w14:textId="77777777" w:rsidTr="00973A36">
        <w:trPr>
          <w:trHeight w:val="397"/>
        </w:trPr>
        <w:tc>
          <w:tcPr>
            <w:tcW w:w="4219" w:type="dxa"/>
            <w:vAlign w:val="center"/>
          </w:tcPr>
          <w:p w14:paraId="14AFC21F" w14:textId="77777777" w:rsidR="004F5135" w:rsidRPr="00326B80" w:rsidRDefault="004F5135" w:rsidP="005B378E">
            <w:pPr>
              <w:pStyle w:val="Tablebodycopy"/>
              <w:rPr>
                <w:rFonts w:cs="Arial"/>
              </w:rPr>
            </w:pPr>
            <w:r>
              <w:rPr>
                <w:rFonts w:cs="Arial"/>
              </w:rPr>
              <w:t>UNC Data Dictionary</w:t>
            </w:r>
          </w:p>
        </w:tc>
        <w:tc>
          <w:tcPr>
            <w:tcW w:w="5275" w:type="dxa"/>
            <w:vAlign w:val="center"/>
          </w:tcPr>
          <w:p w14:paraId="35B6E818" w14:textId="7F2598A5" w:rsidR="004F5135" w:rsidRPr="00326B80" w:rsidRDefault="1A090935" w:rsidP="00073AF0">
            <w:pPr>
              <w:pStyle w:val="TableList"/>
              <w:tabs>
                <w:tab w:val="clear" w:pos="360"/>
                <w:tab w:val="num" w:pos="454"/>
              </w:tabs>
              <w:spacing w:before="40" w:after="40"/>
            </w:pPr>
            <w:r w:rsidRPr="39D899CA">
              <w:rPr>
                <w:rFonts w:cs="Arial"/>
                <w:color w:val="auto"/>
              </w:rPr>
              <w:t>N/a</w:t>
            </w:r>
          </w:p>
        </w:tc>
      </w:tr>
      <w:tr w:rsidR="004F5135" w:rsidRPr="00326B80" w14:paraId="58902A29" w14:textId="77777777" w:rsidTr="00973A36">
        <w:trPr>
          <w:trHeight w:val="397"/>
        </w:trPr>
        <w:tc>
          <w:tcPr>
            <w:tcW w:w="4219" w:type="dxa"/>
            <w:vAlign w:val="center"/>
          </w:tcPr>
          <w:p w14:paraId="2C5C6F1C" w14:textId="77777777" w:rsidR="004F5135" w:rsidRPr="00FA5E04" w:rsidRDefault="004F5135" w:rsidP="005B378E">
            <w:pPr>
              <w:pStyle w:val="Tablebodycopy"/>
              <w:rPr>
                <w:rFonts w:cs="Arial"/>
              </w:rPr>
            </w:pPr>
            <w:r w:rsidRPr="00FA5E04">
              <w:rPr>
                <w:rFonts w:cs="Arial"/>
              </w:rPr>
              <w:t>AQ Validation Rules (TPD V12)</w:t>
            </w:r>
          </w:p>
        </w:tc>
        <w:tc>
          <w:tcPr>
            <w:tcW w:w="5275" w:type="dxa"/>
            <w:vAlign w:val="center"/>
          </w:tcPr>
          <w:p w14:paraId="711F4B14" w14:textId="73C75DB6" w:rsidR="004F5135" w:rsidRPr="00FA5E04" w:rsidRDefault="59A79106" w:rsidP="00B53C15">
            <w:pPr>
              <w:pStyle w:val="TableList"/>
              <w:tabs>
                <w:tab w:val="clear" w:pos="360"/>
                <w:tab w:val="num" w:pos="454"/>
              </w:tabs>
              <w:spacing w:before="40" w:after="40"/>
              <w:rPr>
                <w:rFonts w:cs="Arial"/>
                <w:color w:val="auto"/>
              </w:rPr>
            </w:pPr>
            <w:r w:rsidRPr="00FA5E04">
              <w:rPr>
                <w:rFonts w:cs="Arial"/>
                <w:color w:val="auto"/>
              </w:rPr>
              <w:t>Potentially</w:t>
            </w:r>
          </w:p>
        </w:tc>
      </w:tr>
      <w:tr w:rsidR="004F5135" w:rsidRPr="00326B80" w14:paraId="60EB4CFE" w14:textId="77777777" w:rsidTr="00973A36">
        <w:trPr>
          <w:trHeight w:val="397"/>
        </w:trPr>
        <w:tc>
          <w:tcPr>
            <w:tcW w:w="4219" w:type="dxa"/>
            <w:vAlign w:val="center"/>
          </w:tcPr>
          <w:p w14:paraId="2DAE5650" w14:textId="77777777" w:rsidR="004F5135" w:rsidRPr="00FA5E04" w:rsidRDefault="004F5135" w:rsidP="005B378E">
            <w:pPr>
              <w:pStyle w:val="Tablebodycopy"/>
              <w:rPr>
                <w:rFonts w:cs="Arial"/>
              </w:rPr>
            </w:pPr>
            <w:r w:rsidRPr="00FA5E04">
              <w:rPr>
                <w:rFonts w:cs="Arial"/>
              </w:rPr>
              <w:t>AUGE Framework Document</w:t>
            </w:r>
          </w:p>
        </w:tc>
        <w:tc>
          <w:tcPr>
            <w:tcW w:w="5275" w:type="dxa"/>
            <w:vAlign w:val="center"/>
          </w:tcPr>
          <w:p w14:paraId="143218BA" w14:textId="5218ADE9" w:rsidR="004F5135" w:rsidRPr="00FA5E04" w:rsidRDefault="20BAC3BB" w:rsidP="00B53C15">
            <w:pPr>
              <w:pStyle w:val="TableList"/>
              <w:tabs>
                <w:tab w:val="clear" w:pos="360"/>
                <w:tab w:val="num" w:pos="454"/>
              </w:tabs>
              <w:spacing w:before="40" w:after="40"/>
              <w:rPr>
                <w:rFonts w:cs="Arial"/>
                <w:color w:val="auto"/>
              </w:rPr>
            </w:pPr>
            <w:r w:rsidRPr="00FA5E04">
              <w:rPr>
                <w:rFonts w:cs="Arial"/>
                <w:color w:val="auto"/>
              </w:rPr>
              <w:t>N/a</w:t>
            </w:r>
          </w:p>
        </w:tc>
      </w:tr>
      <w:tr w:rsidR="004F5135" w:rsidRPr="00326B80" w14:paraId="4E0B381B" w14:textId="77777777" w:rsidTr="00973A36">
        <w:trPr>
          <w:trHeight w:val="397"/>
        </w:trPr>
        <w:tc>
          <w:tcPr>
            <w:tcW w:w="4219" w:type="dxa"/>
            <w:vAlign w:val="center"/>
          </w:tcPr>
          <w:p w14:paraId="3DF599AB" w14:textId="77777777" w:rsidR="004F5135" w:rsidRPr="00FA5E04" w:rsidRDefault="004F5135" w:rsidP="005B378E">
            <w:pPr>
              <w:pStyle w:val="Tablebodycopy"/>
              <w:rPr>
                <w:rFonts w:cs="Arial"/>
              </w:rPr>
            </w:pPr>
            <w:r w:rsidRPr="00FA5E04">
              <w:rPr>
                <w:rFonts w:cs="Arial"/>
              </w:rPr>
              <w:lastRenderedPageBreak/>
              <w:t>Customer Settlement Error Claims Process</w:t>
            </w:r>
          </w:p>
        </w:tc>
        <w:tc>
          <w:tcPr>
            <w:tcW w:w="5275" w:type="dxa"/>
            <w:vAlign w:val="center"/>
          </w:tcPr>
          <w:p w14:paraId="12151675" w14:textId="635D12E8" w:rsidR="004F5135" w:rsidRPr="00FA5E04" w:rsidRDefault="6F6F4E7A" w:rsidP="00B53C15">
            <w:pPr>
              <w:pStyle w:val="TableList"/>
              <w:tabs>
                <w:tab w:val="clear" w:pos="360"/>
                <w:tab w:val="num" w:pos="454"/>
              </w:tabs>
              <w:spacing w:before="40" w:after="40"/>
              <w:rPr>
                <w:rFonts w:cs="Arial"/>
                <w:color w:val="auto"/>
              </w:rPr>
            </w:pPr>
            <w:r w:rsidRPr="00FA5E04">
              <w:rPr>
                <w:rFonts w:cs="Arial"/>
                <w:color w:val="auto"/>
              </w:rPr>
              <w:t>Potentially</w:t>
            </w:r>
          </w:p>
        </w:tc>
      </w:tr>
      <w:tr w:rsidR="004F5135" w:rsidRPr="00326B80" w14:paraId="5D1EA06F" w14:textId="77777777" w:rsidTr="00973A36">
        <w:trPr>
          <w:trHeight w:val="397"/>
        </w:trPr>
        <w:tc>
          <w:tcPr>
            <w:tcW w:w="4219" w:type="dxa"/>
            <w:vAlign w:val="center"/>
          </w:tcPr>
          <w:p w14:paraId="1F744717" w14:textId="77777777" w:rsidR="004F5135" w:rsidRPr="00FA5E04" w:rsidRDefault="004F5135" w:rsidP="005B378E">
            <w:pPr>
              <w:pStyle w:val="Tablebodycopy"/>
              <w:rPr>
                <w:rFonts w:cs="Arial"/>
              </w:rPr>
            </w:pPr>
            <w:r w:rsidRPr="00FA5E04">
              <w:rPr>
                <w:rFonts w:cs="Arial"/>
              </w:rPr>
              <w:t>Demand Estimation Methodology</w:t>
            </w:r>
          </w:p>
        </w:tc>
        <w:tc>
          <w:tcPr>
            <w:tcW w:w="5275" w:type="dxa"/>
            <w:vAlign w:val="center"/>
          </w:tcPr>
          <w:p w14:paraId="4AD80AAE" w14:textId="30EE1D5B" w:rsidR="004F5135" w:rsidRPr="00FA5E04" w:rsidRDefault="3162F099" w:rsidP="00B53C15">
            <w:pPr>
              <w:pStyle w:val="TableList"/>
              <w:tabs>
                <w:tab w:val="clear" w:pos="360"/>
                <w:tab w:val="num" w:pos="454"/>
              </w:tabs>
              <w:spacing w:before="40" w:after="40"/>
              <w:rPr>
                <w:rFonts w:cs="Arial"/>
                <w:color w:val="auto"/>
              </w:rPr>
            </w:pPr>
            <w:r w:rsidRPr="00FA5E04">
              <w:rPr>
                <w:rFonts w:cs="Arial"/>
                <w:color w:val="auto"/>
              </w:rPr>
              <w:t>Potentially</w:t>
            </w:r>
          </w:p>
        </w:tc>
      </w:tr>
      <w:tr w:rsidR="004F5135" w:rsidRPr="00326B80" w14:paraId="0867DDF9" w14:textId="77777777" w:rsidTr="00973A36">
        <w:trPr>
          <w:trHeight w:val="397"/>
        </w:trPr>
        <w:tc>
          <w:tcPr>
            <w:tcW w:w="4219" w:type="dxa"/>
            <w:vAlign w:val="center"/>
          </w:tcPr>
          <w:p w14:paraId="7AFD9963" w14:textId="77777777" w:rsidR="004F5135" w:rsidRPr="00FA5E04" w:rsidRDefault="004F5135" w:rsidP="005B378E">
            <w:pPr>
              <w:pStyle w:val="Tablebodycopy"/>
              <w:rPr>
                <w:rFonts w:cs="Arial"/>
              </w:rPr>
            </w:pPr>
            <w:r w:rsidRPr="00FA5E04">
              <w:rPr>
                <w:rFonts w:cs="Arial"/>
              </w:rPr>
              <w:t>Energy Balancing Credit Rules (TPD X2.1)</w:t>
            </w:r>
          </w:p>
        </w:tc>
        <w:tc>
          <w:tcPr>
            <w:tcW w:w="5275" w:type="dxa"/>
            <w:vAlign w:val="center"/>
          </w:tcPr>
          <w:p w14:paraId="6DF26DB6" w14:textId="2CB4EE81" w:rsidR="004F5135" w:rsidRPr="00FA5E04" w:rsidRDefault="2FB69A55" w:rsidP="00B53C15">
            <w:pPr>
              <w:pStyle w:val="TableList"/>
              <w:tabs>
                <w:tab w:val="clear" w:pos="360"/>
                <w:tab w:val="num" w:pos="454"/>
              </w:tabs>
              <w:spacing w:before="40" w:after="40"/>
              <w:rPr>
                <w:rFonts w:cs="Arial"/>
                <w:color w:val="auto"/>
              </w:rPr>
            </w:pPr>
            <w:r w:rsidRPr="00FA5E04">
              <w:rPr>
                <w:rFonts w:cs="Arial"/>
                <w:color w:val="auto"/>
              </w:rPr>
              <w:t>N/a</w:t>
            </w:r>
          </w:p>
        </w:tc>
      </w:tr>
      <w:tr w:rsidR="004F5135" w:rsidRPr="00326B80" w14:paraId="422B6E71" w14:textId="77777777" w:rsidTr="00973A36">
        <w:trPr>
          <w:trHeight w:val="397"/>
        </w:trPr>
        <w:tc>
          <w:tcPr>
            <w:tcW w:w="4219" w:type="dxa"/>
            <w:vAlign w:val="center"/>
          </w:tcPr>
          <w:p w14:paraId="13BB60DE" w14:textId="77777777" w:rsidR="004F5135" w:rsidRPr="00FA5E04" w:rsidRDefault="004F5135" w:rsidP="005B378E">
            <w:pPr>
              <w:pStyle w:val="Tablebodycopy"/>
              <w:rPr>
                <w:rFonts w:cs="Arial"/>
              </w:rPr>
            </w:pPr>
            <w:r w:rsidRPr="00FA5E04">
              <w:rPr>
                <w:rFonts w:cs="Arial"/>
              </w:rPr>
              <w:t>Energy Settlement Performance Assurance Regime</w:t>
            </w:r>
          </w:p>
        </w:tc>
        <w:tc>
          <w:tcPr>
            <w:tcW w:w="5275" w:type="dxa"/>
            <w:vAlign w:val="center"/>
          </w:tcPr>
          <w:p w14:paraId="167FDC19" w14:textId="289E0260" w:rsidR="004F5135" w:rsidRPr="00FA5E04" w:rsidRDefault="14C62596" w:rsidP="00B53C15">
            <w:pPr>
              <w:pStyle w:val="TableList"/>
              <w:tabs>
                <w:tab w:val="clear" w:pos="360"/>
                <w:tab w:val="num" w:pos="454"/>
              </w:tabs>
              <w:spacing w:before="40" w:after="40"/>
              <w:rPr>
                <w:rFonts w:cs="Arial"/>
                <w:color w:val="auto"/>
              </w:rPr>
            </w:pPr>
            <w:r w:rsidRPr="00FA5E04">
              <w:rPr>
                <w:rFonts w:cs="Arial"/>
                <w:color w:val="auto"/>
              </w:rPr>
              <w:t>Yes</w:t>
            </w:r>
          </w:p>
        </w:tc>
      </w:tr>
      <w:tr w:rsidR="004F5135" w:rsidRPr="00326B80" w14:paraId="61F53761" w14:textId="77777777" w:rsidTr="00973A36">
        <w:trPr>
          <w:trHeight w:val="397"/>
        </w:trPr>
        <w:tc>
          <w:tcPr>
            <w:tcW w:w="4219" w:type="dxa"/>
            <w:vAlign w:val="center"/>
          </w:tcPr>
          <w:p w14:paraId="1738CA35" w14:textId="77777777" w:rsidR="004F5135" w:rsidRPr="00FA5E04" w:rsidRDefault="004F5135" w:rsidP="00FF6ADF">
            <w:pPr>
              <w:pStyle w:val="Tablebodycopy"/>
              <w:rPr>
                <w:rFonts w:cs="Arial"/>
              </w:rPr>
            </w:pPr>
            <w:r w:rsidRPr="00FA5E04">
              <w:rPr>
                <w:rFonts w:cs="Arial"/>
                <w:bCs/>
              </w:rPr>
              <w:t xml:space="preserve">Guidelines to optimise the use of AQ amendment system capacity </w:t>
            </w:r>
          </w:p>
        </w:tc>
        <w:tc>
          <w:tcPr>
            <w:tcW w:w="5275" w:type="dxa"/>
            <w:vAlign w:val="center"/>
          </w:tcPr>
          <w:p w14:paraId="78B20EF8" w14:textId="5C68D8FB" w:rsidR="004F5135" w:rsidRPr="00FA5E04" w:rsidRDefault="58F91288" w:rsidP="00B53C15">
            <w:pPr>
              <w:pStyle w:val="TableList"/>
              <w:tabs>
                <w:tab w:val="clear" w:pos="360"/>
                <w:tab w:val="num" w:pos="454"/>
              </w:tabs>
              <w:spacing w:before="40" w:after="40"/>
              <w:rPr>
                <w:rFonts w:cs="Arial"/>
                <w:color w:val="auto"/>
              </w:rPr>
            </w:pPr>
            <w:r w:rsidRPr="00FA5E04">
              <w:rPr>
                <w:rFonts w:cs="Arial"/>
                <w:color w:val="auto"/>
              </w:rPr>
              <w:t>Potentially</w:t>
            </w:r>
          </w:p>
        </w:tc>
      </w:tr>
      <w:tr w:rsidR="004F5135" w:rsidRPr="00326B80" w14:paraId="605D94F4" w14:textId="77777777" w:rsidTr="00973A36">
        <w:trPr>
          <w:trHeight w:val="397"/>
        </w:trPr>
        <w:tc>
          <w:tcPr>
            <w:tcW w:w="4219" w:type="dxa"/>
            <w:vAlign w:val="center"/>
          </w:tcPr>
          <w:p w14:paraId="175A64AC" w14:textId="77777777" w:rsidR="004F5135" w:rsidRPr="00326B80" w:rsidRDefault="004F5135" w:rsidP="00FF6ADF">
            <w:pPr>
              <w:pStyle w:val="Tablebodycopy"/>
              <w:rPr>
                <w:rFonts w:cs="Arial"/>
              </w:rPr>
            </w:pPr>
            <w:r w:rsidRPr="00FF6ADF">
              <w:rPr>
                <w:rFonts w:cs="Arial"/>
                <w:bCs/>
              </w:rPr>
              <w:t xml:space="preserve">Guidelines for Sub-Deduct Arrangements (Prime and Sub-deduct Meter Points) </w:t>
            </w:r>
          </w:p>
        </w:tc>
        <w:tc>
          <w:tcPr>
            <w:tcW w:w="5275" w:type="dxa"/>
            <w:vAlign w:val="center"/>
          </w:tcPr>
          <w:p w14:paraId="01D4EB90" w14:textId="44E622BE" w:rsidR="004F5135" w:rsidRPr="00326B80" w:rsidRDefault="4979336D" w:rsidP="00B53C15">
            <w:pPr>
              <w:pStyle w:val="TableList"/>
              <w:tabs>
                <w:tab w:val="clear" w:pos="360"/>
                <w:tab w:val="num" w:pos="454"/>
              </w:tabs>
              <w:spacing w:before="40" w:after="40"/>
              <w:rPr>
                <w:rFonts w:cs="Arial"/>
                <w:color w:val="auto"/>
              </w:rPr>
            </w:pPr>
            <w:r w:rsidRPr="39D899CA">
              <w:rPr>
                <w:rFonts w:cs="Arial"/>
                <w:color w:val="auto"/>
              </w:rPr>
              <w:t>N/a</w:t>
            </w:r>
          </w:p>
        </w:tc>
      </w:tr>
      <w:tr w:rsidR="004F5135" w:rsidRPr="00326B80" w14:paraId="454D3596" w14:textId="77777777" w:rsidTr="00973A36">
        <w:trPr>
          <w:trHeight w:val="397"/>
        </w:trPr>
        <w:tc>
          <w:tcPr>
            <w:tcW w:w="4219" w:type="dxa"/>
            <w:vAlign w:val="center"/>
          </w:tcPr>
          <w:p w14:paraId="012843D7" w14:textId="77777777" w:rsidR="004F5135" w:rsidRDefault="004F5135" w:rsidP="005B378E">
            <w:pPr>
              <w:pStyle w:val="Tablebodycopy"/>
              <w:rPr>
                <w:rFonts w:cs="Arial"/>
              </w:rPr>
            </w:pPr>
            <w:r>
              <w:rPr>
                <w:rFonts w:cs="Arial"/>
              </w:rPr>
              <w:t>LDZ Shrinkage Adjustment Methodology</w:t>
            </w:r>
          </w:p>
        </w:tc>
        <w:tc>
          <w:tcPr>
            <w:tcW w:w="5275" w:type="dxa"/>
            <w:vAlign w:val="center"/>
          </w:tcPr>
          <w:p w14:paraId="00BF4881" w14:textId="01A618C6" w:rsidR="004F5135" w:rsidRPr="00326B80" w:rsidRDefault="42527BE6" w:rsidP="00B53C15">
            <w:pPr>
              <w:pStyle w:val="TableList"/>
              <w:tabs>
                <w:tab w:val="clear" w:pos="360"/>
                <w:tab w:val="num" w:pos="454"/>
              </w:tabs>
              <w:spacing w:before="40" w:after="40"/>
              <w:rPr>
                <w:rFonts w:cs="Arial"/>
                <w:color w:val="auto"/>
              </w:rPr>
            </w:pPr>
            <w:r w:rsidRPr="39D899CA">
              <w:rPr>
                <w:rFonts w:cs="Arial"/>
                <w:color w:val="auto"/>
              </w:rPr>
              <w:t>N/a</w:t>
            </w:r>
          </w:p>
        </w:tc>
      </w:tr>
      <w:tr w:rsidR="004F5135" w:rsidRPr="00326B80" w14:paraId="6CCD8959" w14:textId="77777777" w:rsidTr="00973A36">
        <w:trPr>
          <w:trHeight w:val="397"/>
        </w:trPr>
        <w:tc>
          <w:tcPr>
            <w:tcW w:w="4219" w:type="dxa"/>
            <w:vAlign w:val="center"/>
          </w:tcPr>
          <w:p w14:paraId="3E0D8DB9" w14:textId="77777777" w:rsidR="004F5135" w:rsidRPr="00326B80" w:rsidRDefault="004F5135" w:rsidP="005B378E">
            <w:pPr>
              <w:pStyle w:val="Tablebodycopy"/>
              <w:rPr>
                <w:rFonts w:cs="Arial"/>
              </w:rPr>
            </w:pPr>
            <w:r>
              <w:rPr>
                <w:rFonts w:cs="Arial"/>
              </w:rPr>
              <w:t>Performance Assurance Report Register</w:t>
            </w:r>
          </w:p>
        </w:tc>
        <w:tc>
          <w:tcPr>
            <w:tcW w:w="5275" w:type="dxa"/>
            <w:vAlign w:val="center"/>
          </w:tcPr>
          <w:p w14:paraId="2902D5B7" w14:textId="51F86DEA" w:rsidR="004F5135" w:rsidRPr="00326B80" w:rsidRDefault="0357FBD8" w:rsidP="00B53C15">
            <w:pPr>
              <w:pStyle w:val="TableList"/>
              <w:tabs>
                <w:tab w:val="clear" w:pos="360"/>
                <w:tab w:val="num" w:pos="454"/>
              </w:tabs>
              <w:spacing w:before="40" w:after="40"/>
              <w:rPr>
                <w:rFonts w:cs="Arial"/>
                <w:color w:val="auto"/>
              </w:rPr>
            </w:pPr>
            <w:r w:rsidRPr="00FA5E04">
              <w:rPr>
                <w:rFonts w:cs="Arial"/>
                <w:color w:val="auto"/>
              </w:rPr>
              <w:t>Yes</w:t>
            </w:r>
          </w:p>
        </w:tc>
      </w:tr>
      <w:tr w:rsidR="004F5135" w:rsidRPr="00326B80" w14:paraId="3A47FED6" w14:textId="77777777" w:rsidTr="00973A36">
        <w:trPr>
          <w:trHeight w:val="397"/>
        </w:trPr>
        <w:tc>
          <w:tcPr>
            <w:tcW w:w="4219" w:type="dxa"/>
            <w:vAlign w:val="center"/>
          </w:tcPr>
          <w:p w14:paraId="241AFA31" w14:textId="594129C9" w:rsidR="004F5135" w:rsidRPr="00326B80" w:rsidRDefault="3045228E" w:rsidP="005B378E">
            <w:pPr>
              <w:pStyle w:val="Tablebodycopy"/>
              <w:rPr>
                <w:rFonts w:cs="Arial"/>
              </w:rPr>
            </w:pPr>
            <w:r w:rsidRPr="3780501F">
              <w:rPr>
                <w:rFonts w:cs="Arial"/>
              </w:rPr>
              <w:t>Share</w:t>
            </w:r>
            <w:r w:rsidR="2AA81D13" w:rsidRPr="3780501F">
              <w:rPr>
                <w:rFonts w:cs="Arial"/>
              </w:rPr>
              <w:t>d</w:t>
            </w:r>
            <w:r w:rsidRPr="3780501F">
              <w:rPr>
                <w:rFonts w:cs="Arial"/>
              </w:rPr>
              <w:t xml:space="preserve"> Supply Meter Points Guide and Procedures</w:t>
            </w:r>
          </w:p>
        </w:tc>
        <w:tc>
          <w:tcPr>
            <w:tcW w:w="5275" w:type="dxa"/>
            <w:vAlign w:val="center"/>
          </w:tcPr>
          <w:p w14:paraId="39FD0224" w14:textId="24F9137B" w:rsidR="004F5135" w:rsidRPr="00326B80" w:rsidRDefault="07497480" w:rsidP="00B53C15">
            <w:pPr>
              <w:pStyle w:val="TableList"/>
              <w:tabs>
                <w:tab w:val="clear" w:pos="360"/>
                <w:tab w:val="num" w:pos="454"/>
              </w:tabs>
              <w:spacing w:before="40" w:after="40"/>
              <w:rPr>
                <w:rFonts w:cs="Arial"/>
                <w:color w:val="auto"/>
              </w:rPr>
            </w:pPr>
            <w:r w:rsidRPr="39D899CA">
              <w:rPr>
                <w:rFonts w:cs="Arial"/>
                <w:color w:val="auto"/>
              </w:rPr>
              <w:t>N/a</w:t>
            </w:r>
          </w:p>
        </w:tc>
      </w:tr>
      <w:tr w:rsidR="004F5135" w:rsidRPr="00326B80" w14:paraId="664A7035" w14:textId="77777777" w:rsidTr="00973A36">
        <w:trPr>
          <w:trHeight w:val="397"/>
        </w:trPr>
        <w:tc>
          <w:tcPr>
            <w:tcW w:w="4219" w:type="dxa"/>
            <w:vAlign w:val="center"/>
          </w:tcPr>
          <w:p w14:paraId="770836D3" w14:textId="77777777" w:rsidR="004F5135" w:rsidRPr="00326B80" w:rsidRDefault="004F5135" w:rsidP="00FF6ADF">
            <w:pPr>
              <w:pStyle w:val="Tablebodycopy"/>
              <w:rPr>
                <w:rFonts w:cs="Arial"/>
              </w:rPr>
            </w:pPr>
            <w:r w:rsidRPr="00FF6ADF">
              <w:rPr>
                <w:rFonts w:cs="Arial"/>
                <w:bCs/>
              </w:rPr>
              <w:t xml:space="preserve">Shipper Communications in Incidents of CO Poisoning, Gas Fire/Explosions and Local Gas Supply Emergency </w:t>
            </w:r>
          </w:p>
        </w:tc>
        <w:tc>
          <w:tcPr>
            <w:tcW w:w="5275" w:type="dxa"/>
            <w:vAlign w:val="center"/>
          </w:tcPr>
          <w:p w14:paraId="112C29C0" w14:textId="147BD291" w:rsidR="004F5135" w:rsidRPr="00326B80" w:rsidRDefault="0157B4CD" w:rsidP="00B53C15">
            <w:pPr>
              <w:pStyle w:val="TableList"/>
              <w:tabs>
                <w:tab w:val="clear" w:pos="360"/>
                <w:tab w:val="num" w:pos="454"/>
              </w:tabs>
              <w:spacing w:before="40" w:after="40"/>
              <w:rPr>
                <w:rFonts w:cs="Arial"/>
                <w:color w:val="auto"/>
              </w:rPr>
            </w:pPr>
            <w:r w:rsidRPr="39D899CA">
              <w:rPr>
                <w:rFonts w:cs="Arial"/>
                <w:color w:val="auto"/>
              </w:rPr>
              <w:t>N/a</w:t>
            </w:r>
          </w:p>
        </w:tc>
      </w:tr>
      <w:tr w:rsidR="004F5135" w:rsidRPr="00326B80" w14:paraId="68979365" w14:textId="77777777" w:rsidTr="00973A36">
        <w:trPr>
          <w:trHeight w:val="397"/>
        </w:trPr>
        <w:tc>
          <w:tcPr>
            <w:tcW w:w="4219" w:type="dxa"/>
            <w:vAlign w:val="center"/>
          </w:tcPr>
          <w:p w14:paraId="50BF89B4" w14:textId="77777777" w:rsidR="004F5135" w:rsidRPr="00326B80" w:rsidRDefault="004F5135" w:rsidP="00FF6ADF">
            <w:pPr>
              <w:pStyle w:val="Tablebodycopy"/>
              <w:tabs>
                <w:tab w:val="left" w:pos="547"/>
              </w:tabs>
              <w:rPr>
                <w:rFonts w:cs="Arial"/>
              </w:rPr>
            </w:pPr>
            <w:r w:rsidRPr="00FF6ADF">
              <w:rPr>
                <w:rFonts w:cs="Arial"/>
                <w:bCs/>
              </w:rPr>
              <w:t xml:space="preserve">Standards of Service Query Management Operational Guidelines </w:t>
            </w:r>
          </w:p>
        </w:tc>
        <w:tc>
          <w:tcPr>
            <w:tcW w:w="5275" w:type="dxa"/>
            <w:vAlign w:val="center"/>
          </w:tcPr>
          <w:p w14:paraId="5F12A02C" w14:textId="4F2C76C2" w:rsidR="004F5135" w:rsidRPr="00326B80" w:rsidRDefault="5F5FA8EC" w:rsidP="00B53C15">
            <w:pPr>
              <w:pStyle w:val="TableList"/>
              <w:tabs>
                <w:tab w:val="clear" w:pos="360"/>
                <w:tab w:val="num" w:pos="454"/>
              </w:tabs>
              <w:spacing w:before="40" w:after="40"/>
              <w:rPr>
                <w:rFonts w:cs="Arial"/>
                <w:color w:val="auto"/>
              </w:rPr>
            </w:pPr>
            <w:r w:rsidRPr="39D899CA">
              <w:rPr>
                <w:rFonts w:cs="Arial"/>
                <w:color w:val="auto"/>
              </w:rPr>
              <w:t>N/a</w:t>
            </w:r>
          </w:p>
        </w:tc>
      </w:tr>
      <w:tr w:rsidR="004F5135" w:rsidRPr="00326B80" w14:paraId="253B80FB" w14:textId="77777777" w:rsidTr="00973A36">
        <w:trPr>
          <w:trHeight w:val="397"/>
        </w:trPr>
        <w:tc>
          <w:tcPr>
            <w:tcW w:w="4219" w:type="dxa"/>
            <w:vAlign w:val="center"/>
          </w:tcPr>
          <w:p w14:paraId="19FE7A9C" w14:textId="77777777" w:rsidR="004F5135" w:rsidRPr="00326B80" w:rsidRDefault="004F5135" w:rsidP="005B378E">
            <w:pPr>
              <w:pStyle w:val="Tablebodycopy"/>
              <w:rPr>
                <w:rFonts w:cs="Arial"/>
              </w:rPr>
            </w:pPr>
            <w:r>
              <w:rPr>
                <w:rFonts w:cs="Arial"/>
              </w:rPr>
              <w:t>Network Code Validation Rules</w:t>
            </w:r>
          </w:p>
        </w:tc>
        <w:tc>
          <w:tcPr>
            <w:tcW w:w="5275" w:type="dxa"/>
            <w:vAlign w:val="center"/>
          </w:tcPr>
          <w:p w14:paraId="52B2823F" w14:textId="01A23B9A" w:rsidR="004F5135" w:rsidRPr="00326B80" w:rsidRDefault="74751069" w:rsidP="00B53C15">
            <w:pPr>
              <w:pStyle w:val="TableList"/>
              <w:tabs>
                <w:tab w:val="clear" w:pos="360"/>
                <w:tab w:val="num" w:pos="454"/>
              </w:tabs>
              <w:spacing w:before="40" w:after="40"/>
              <w:rPr>
                <w:rFonts w:cs="Arial"/>
                <w:color w:val="auto"/>
              </w:rPr>
            </w:pPr>
            <w:r w:rsidRPr="39D899CA">
              <w:rPr>
                <w:rFonts w:cs="Arial"/>
                <w:color w:val="auto"/>
              </w:rPr>
              <w:t>N/a</w:t>
            </w:r>
          </w:p>
        </w:tc>
      </w:tr>
      <w:tr w:rsidR="004F5135" w:rsidRPr="00326B80" w14:paraId="086E792C" w14:textId="77777777" w:rsidTr="00973A36">
        <w:trPr>
          <w:trHeight w:val="397"/>
        </w:trPr>
        <w:tc>
          <w:tcPr>
            <w:tcW w:w="4219" w:type="dxa"/>
            <w:vAlign w:val="center"/>
          </w:tcPr>
          <w:p w14:paraId="76CFEBB5" w14:textId="77777777" w:rsidR="004F5135" w:rsidRDefault="004F5135" w:rsidP="005B378E">
            <w:pPr>
              <w:pStyle w:val="Tablebodycopy"/>
              <w:rPr>
                <w:rFonts w:cs="Arial"/>
              </w:rPr>
            </w:pPr>
          </w:p>
        </w:tc>
        <w:tc>
          <w:tcPr>
            <w:tcW w:w="5275" w:type="dxa"/>
            <w:vAlign w:val="center"/>
          </w:tcPr>
          <w:p w14:paraId="21926662" w14:textId="47C20431" w:rsidR="004F5135" w:rsidRPr="00326B80" w:rsidRDefault="74751069" w:rsidP="00B53C15">
            <w:pPr>
              <w:pStyle w:val="TableList"/>
              <w:tabs>
                <w:tab w:val="clear" w:pos="360"/>
                <w:tab w:val="num" w:pos="454"/>
              </w:tabs>
              <w:spacing w:before="40" w:after="40"/>
              <w:rPr>
                <w:rFonts w:cs="Arial"/>
                <w:color w:val="auto"/>
              </w:rPr>
            </w:pPr>
            <w:r w:rsidRPr="39D899CA">
              <w:rPr>
                <w:rFonts w:cs="Arial"/>
                <w:color w:val="auto"/>
              </w:rPr>
              <w:t>N/a</w:t>
            </w:r>
          </w:p>
        </w:tc>
      </w:tr>
      <w:tr w:rsidR="004F5135" w:rsidRPr="00326B80" w14:paraId="505AE6E4" w14:textId="77777777" w:rsidTr="00973A36">
        <w:trPr>
          <w:trHeight w:val="397"/>
        </w:trPr>
        <w:tc>
          <w:tcPr>
            <w:tcW w:w="4219" w:type="dxa"/>
            <w:vAlign w:val="center"/>
          </w:tcPr>
          <w:p w14:paraId="112B4FF9" w14:textId="77777777" w:rsidR="004F5135" w:rsidRPr="007656A6" w:rsidRDefault="004F5135" w:rsidP="007656A6">
            <w:pPr>
              <w:pStyle w:val="Tablebodycopy"/>
              <w:rPr>
                <w:rFonts w:cs="Arial"/>
                <w:color w:val="000000"/>
              </w:rPr>
            </w:pPr>
            <w:r w:rsidRPr="007656A6">
              <w:rPr>
                <w:rFonts w:cs="Arial"/>
                <w:color w:val="000000"/>
              </w:rPr>
              <w:t>OAD</w:t>
            </w:r>
          </w:p>
        </w:tc>
        <w:tc>
          <w:tcPr>
            <w:tcW w:w="5275" w:type="dxa"/>
            <w:vAlign w:val="center"/>
          </w:tcPr>
          <w:p w14:paraId="45A7C5C5" w14:textId="77777777" w:rsidR="004F5135" w:rsidRPr="00326B80" w:rsidRDefault="004F5135" w:rsidP="007656A6">
            <w:pPr>
              <w:pStyle w:val="TableList"/>
              <w:numPr>
                <w:ilvl w:val="0"/>
                <w:numId w:val="0"/>
              </w:numPr>
              <w:spacing w:before="40" w:after="40"/>
              <w:ind w:left="454" w:hanging="341"/>
              <w:rPr>
                <w:rFonts w:cs="Arial"/>
                <w:color w:val="auto"/>
              </w:rPr>
            </w:pPr>
            <w:r>
              <w:rPr>
                <w:rFonts w:cs="Arial"/>
                <w:color w:val="auto"/>
              </w:rPr>
              <w:t>Potential Impact</w:t>
            </w:r>
          </w:p>
        </w:tc>
      </w:tr>
      <w:tr w:rsidR="004F5135" w:rsidRPr="00326B80" w14:paraId="56A163E1" w14:textId="77777777" w:rsidTr="00973A36">
        <w:trPr>
          <w:trHeight w:val="397"/>
        </w:trPr>
        <w:tc>
          <w:tcPr>
            <w:tcW w:w="4219" w:type="dxa"/>
            <w:vAlign w:val="center"/>
          </w:tcPr>
          <w:p w14:paraId="4A5887E1" w14:textId="77777777" w:rsidR="004F5135" w:rsidRPr="00326B80" w:rsidRDefault="004F5135" w:rsidP="005B378E">
            <w:pPr>
              <w:pStyle w:val="Tablebodycopy"/>
              <w:rPr>
                <w:rFonts w:cs="Arial"/>
              </w:rPr>
            </w:pPr>
            <w:r w:rsidRPr="00326B80">
              <w:rPr>
                <w:rFonts w:cs="Arial"/>
              </w:rPr>
              <w:t>Measurement Error Notification Guidelines (TPD V12)</w:t>
            </w:r>
          </w:p>
        </w:tc>
        <w:tc>
          <w:tcPr>
            <w:tcW w:w="5275" w:type="dxa"/>
            <w:vAlign w:val="center"/>
          </w:tcPr>
          <w:p w14:paraId="41618E6B" w14:textId="15FCB7EC" w:rsidR="004F5135" w:rsidRPr="00326B80" w:rsidRDefault="68FEE4CC" w:rsidP="00B53C15">
            <w:pPr>
              <w:pStyle w:val="TableList"/>
              <w:tabs>
                <w:tab w:val="clear" w:pos="360"/>
                <w:tab w:val="num" w:pos="454"/>
              </w:tabs>
              <w:spacing w:before="40" w:after="40"/>
              <w:rPr>
                <w:rFonts w:cs="Arial"/>
                <w:color w:val="auto"/>
              </w:rPr>
            </w:pPr>
            <w:r w:rsidRPr="39D899CA">
              <w:rPr>
                <w:rFonts w:cs="Arial"/>
                <w:color w:val="auto"/>
              </w:rPr>
              <w:t>N/a</w:t>
            </w:r>
          </w:p>
        </w:tc>
      </w:tr>
      <w:tr w:rsidR="004F5135" w:rsidRPr="00326B80" w14:paraId="1EC5AECA" w14:textId="77777777" w:rsidTr="00973A36">
        <w:trPr>
          <w:trHeight w:val="397"/>
        </w:trPr>
        <w:tc>
          <w:tcPr>
            <w:tcW w:w="4219" w:type="dxa"/>
            <w:vAlign w:val="center"/>
          </w:tcPr>
          <w:p w14:paraId="088193BF" w14:textId="77777777" w:rsidR="004F5135" w:rsidRPr="00326B80" w:rsidRDefault="004F5135" w:rsidP="005B378E">
            <w:pPr>
              <w:pStyle w:val="Tablebodycopy"/>
              <w:rPr>
                <w:rFonts w:cs="Arial"/>
              </w:rPr>
            </w:pPr>
          </w:p>
        </w:tc>
        <w:tc>
          <w:tcPr>
            <w:tcW w:w="5275" w:type="dxa"/>
            <w:vAlign w:val="center"/>
          </w:tcPr>
          <w:p w14:paraId="6E0DB42A" w14:textId="5DD084F0" w:rsidR="004F5135" w:rsidRPr="00326B80" w:rsidRDefault="68FEE4CC" w:rsidP="00B53C15">
            <w:pPr>
              <w:pStyle w:val="TableList"/>
              <w:tabs>
                <w:tab w:val="clear" w:pos="360"/>
                <w:tab w:val="num" w:pos="454"/>
              </w:tabs>
              <w:spacing w:before="40" w:after="40"/>
              <w:rPr>
                <w:rFonts w:cs="Arial"/>
                <w:color w:val="auto"/>
              </w:rPr>
            </w:pPr>
            <w:r w:rsidRPr="39D899CA">
              <w:rPr>
                <w:rFonts w:cs="Arial"/>
                <w:color w:val="auto"/>
              </w:rPr>
              <w:t>N/a</w:t>
            </w:r>
          </w:p>
        </w:tc>
      </w:tr>
      <w:tr w:rsidR="004F5135" w:rsidRPr="00326B80" w14:paraId="463DDADC" w14:textId="77777777" w:rsidTr="00973A36">
        <w:trPr>
          <w:trHeight w:val="397"/>
        </w:trPr>
        <w:tc>
          <w:tcPr>
            <w:tcW w:w="4219" w:type="dxa"/>
            <w:vAlign w:val="center"/>
          </w:tcPr>
          <w:p w14:paraId="20CF34DB" w14:textId="77777777" w:rsidR="004F5135" w:rsidRPr="007656A6" w:rsidRDefault="004F5135" w:rsidP="007656A6">
            <w:pPr>
              <w:pStyle w:val="Tablebodycopy"/>
              <w:rPr>
                <w:rFonts w:cs="Arial"/>
                <w:color w:val="000000"/>
              </w:rPr>
            </w:pPr>
            <w:r w:rsidRPr="007656A6">
              <w:rPr>
                <w:rFonts w:cs="Arial"/>
                <w:color w:val="000000"/>
              </w:rPr>
              <w:t>EID</w:t>
            </w:r>
          </w:p>
        </w:tc>
        <w:tc>
          <w:tcPr>
            <w:tcW w:w="5275" w:type="dxa"/>
            <w:vAlign w:val="center"/>
          </w:tcPr>
          <w:p w14:paraId="482B753F" w14:textId="77777777" w:rsidR="004F5135" w:rsidRPr="00326B80" w:rsidRDefault="004F5135" w:rsidP="007656A6">
            <w:pPr>
              <w:pStyle w:val="TableList"/>
              <w:numPr>
                <w:ilvl w:val="0"/>
                <w:numId w:val="0"/>
              </w:numPr>
              <w:spacing w:before="40" w:after="40"/>
              <w:ind w:left="454" w:hanging="341"/>
              <w:rPr>
                <w:rFonts w:cs="Arial"/>
                <w:color w:val="auto"/>
              </w:rPr>
            </w:pPr>
            <w:r>
              <w:rPr>
                <w:rFonts w:cs="Arial"/>
                <w:color w:val="auto"/>
              </w:rPr>
              <w:t>Potential Impact</w:t>
            </w:r>
          </w:p>
        </w:tc>
      </w:tr>
      <w:tr w:rsidR="004F5135" w:rsidRPr="00326B80" w14:paraId="3910CF31" w14:textId="77777777" w:rsidTr="00973A36">
        <w:trPr>
          <w:trHeight w:val="397"/>
        </w:trPr>
        <w:tc>
          <w:tcPr>
            <w:tcW w:w="4219" w:type="dxa"/>
            <w:vAlign w:val="center"/>
          </w:tcPr>
          <w:p w14:paraId="4E02161E" w14:textId="77777777" w:rsidR="004F5135" w:rsidRPr="00326B80" w:rsidRDefault="004F5135" w:rsidP="005B378E">
            <w:pPr>
              <w:pStyle w:val="Tablebodycopy"/>
              <w:rPr>
                <w:rFonts w:cs="Arial"/>
              </w:rPr>
            </w:pPr>
            <w:r>
              <w:rPr>
                <w:rFonts w:cs="Arial"/>
              </w:rPr>
              <w:t>Moffat Designated Arrangements</w:t>
            </w:r>
          </w:p>
        </w:tc>
        <w:tc>
          <w:tcPr>
            <w:tcW w:w="5275" w:type="dxa"/>
            <w:vAlign w:val="center"/>
          </w:tcPr>
          <w:p w14:paraId="411761D4" w14:textId="04E02760" w:rsidR="004F5135" w:rsidRPr="00326B80" w:rsidRDefault="1DB040EC" w:rsidP="00B53C15">
            <w:pPr>
              <w:pStyle w:val="TableList"/>
              <w:tabs>
                <w:tab w:val="clear" w:pos="360"/>
                <w:tab w:val="num" w:pos="454"/>
              </w:tabs>
              <w:spacing w:before="40" w:after="40"/>
              <w:rPr>
                <w:rFonts w:cs="Arial"/>
                <w:color w:val="auto"/>
              </w:rPr>
            </w:pPr>
            <w:r w:rsidRPr="39D899CA">
              <w:rPr>
                <w:rFonts w:cs="Arial"/>
                <w:color w:val="auto"/>
              </w:rPr>
              <w:t>N/a</w:t>
            </w:r>
          </w:p>
        </w:tc>
      </w:tr>
      <w:tr w:rsidR="004F5135" w:rsidRPr="00326B80" w14:paraId="6B64AC9C" w14:textId="77777777" w:rsidTr="00973A36">
        <w:trPr>
          <w:trHeight w:val="397"/>
        </w:trPr>
        <w:tc>
          <w:tcPr>
            <w:tcW w:w="4219" w:type="dxa"/>
            <w:vAlign w:val="center"/>
          </w:tcPr>
          <w:p w14:paraId="54E96816" w14:textId="77777777" w:rsidR="004F5135" w:rsidRPr="00326B80" w:rsidRDefault="004F5135" w:rsidP="005B378E">
            <w:pPr>
              <w:pStyle w:val="Tablebodycopy"/>
              <w:rPr>
                <w:rFonts w:cs="Arial"/>
              </w:rPr>
            </w:pPr>
          </w:p>
        </w:tc>
        <w:tc>
          <w:tcPr>
            <w:tcW w:w="5275" w:type="dxa"/>
            <w:vAlign w:val="center"/>
          </w:tcPr>
          <w:p w14:paraId="194AF34E" w14:textId="1783D742" w:rsidR="004F5135" w:rsidRPr="00326B80" w:rsidRDefault="1DB040EC" w:rsidP="00B53C15">
            <w:pPr>
              <w:pStyle w:val="TableList"/>
              <w:tabs>
                <w:tab w:val="clear" w:pos="360"/>
                <w:tab w:val="num" w:pos="454"/>
              </w:tabs>
              <w:spacing w:before="40" w:after="40"/>
              <w:rPr>
                <w:rFonts w:cs="Arial"/>
                <w:color w:val="auto"/>
              </w:rPr>
            </w:pPr>
            <w:r w:rsidRPr="39D899CA">
              <w:rPr>
                <w:rFonts w:cs="Arial"/>
                <w:color w:val="auto"/>
              </w:rPr>
              <w:t>N/a</w:t>
            </w:r>
          </w:p>
        </w:tc>
      </w:tr>
      <w:tr w:rsidR="004F5135" w:rsidRPr="00326B80" w14:paraId="6D345645" w14:textId="77777777" w:rsidTr="00973A36">
        <w:trPr>
          <w:trHeight w:val="397"/>
        </w:trPr>
        <w:tc>
          <w:tcPr>
            <w:tcW w:w="4219" w:type="dxa"/>
            <w:vAlign w:val="center"/>
          </w:tcPr>
          <w:p w14:paraId="103EBC22" w14:textId="77777777" w:rsidR="004F5135" w:rsidRPr="007656A6" w:rsidRDefault="004F5135" w:rsidP="007656A6">
            <w:pPr>
              <w:pStyle w:val="Tablebodycopy"/>
              <w:rPr>
                <w:rFonts w:cs="Arial"/>
                <w:color w:val="000000"/>
              </w:rPr>
            </w:pPr>
            <w:r w:rsidRPr="007656A6">
              <w:rPr>
                <w:rFonts w:cs="Arial"/>
                <w:color w:val="000000"/>
              </w:rPr>
              <w:t>IGTAD</w:t>
            </w:r>
          </w:p>
        </w:tc>
        <w:tc>
          <w:tcPr>
            <w:tcW w:w="5275" w:type="dxa"/>
            <w:vAlign w:val="center"/>
          </w:tcPr>
          <w:p w14:paraId="51C427B6" w14:textId="77777777" w:rsidR="004F5135" w:rsidRPr="00326B80" w:rsidRDefault="004F5135" w:rsidP="007656A6">
            <w:pPr>
              <w:pStyle w:val="TableList"/>
              <w:numPr>
                <w:ilvl w:val="0"/>
                <w:numId w:val="0"/>
              </w:numPr>
              <w:spacing w:before="40" w:after="40"/>
              <w:ind w:left="454" w:hanging="341"/>
              <w:rPr>
                <w:rFonts w:cs="Arial"/>
                <w:color w:val="auto"/>
              </w:rPr>
            </w:pPr>
            <w:r>
              <w:rPr>
                <w:rFonts w:cs="Arial"/>
                <w:color w:val="auto"/>
              </w:rPr>
              <w:t>Potential Impact</w:t>
            </w:r>
          </w:p>
        </w:tc>
      </w:tr>
      <w:tr w:rsidR="004F5135" w:rsidRPr="00326B80" w14:paraId="08B748E1" w14:textId="77777777" w:rsidTr="00973A36">
        <w:trPr>
          <w:trHeight w:val="397"/>
        </w:trPr>
        <w:tc>
          <w:tcPr>
            <w:tcW w:w="4219" w:type="dxa"/>
            <w:vAlign w:val="center"/>
          </w:tcPr>
          <w:p w14:paraId="0BDE7727" w14:textId="77777777" w:rsidR="004F5135" w:rsidRPr="00FA5E04" w:rsidRDefault="004F5135" w:rsidP="005B378E">
            <w:pPr>
              <w:pStyle w:val="Tablebodycopy"/>
              <w:rPr>
                <w:rFonts w:cs="Arial"/>
              </w:rPr>
            </w:pPr>
          </w:p>
        </w:tc>
        <w:tc>
          <w:tcPr>
            <w:tcW w:w="5275" w:type="dxa"/>
            <w:vAlign w:val="center"/>
          </w:tcPr>
          <w:p w14:paraId="708DBDCD" w14:textId="6479E801" w:rsidR="004F5135" w:rsidRPr="00FA5E04" w:rsidRDefault="7E507F2D" w:rsidP="00B53C15">
            <w:pPr>
              <w:pStyle w:val="TableList"/>
              <w:tabs>
                <w:tab w:val="clear" w:pos="360"/>
                <w:tab w:val="num" w:pos="454"/>
              </w:tabs>
              <w:spacing w:before="40" w:after="40"/>
              <w:rPr>
                <w:rFonts w:cs="Arial"/>
                <w:color w:val="auto"/>
              </w:rPr>
            </w:pPr>
            <w:r w:rsidRPr="00FA5E04">
              <w:rPr>
                <w:rFonts w:cs="Arial"/>
                <w:color w:val="auto"/>
              </w:rPr>
              <w:t>Potential</w:t>
            </w:r>
          </w:p>
        </w:tc>
      </w:tr>
      <w:tr w:rsidR="004F5135" w:rsidRPr="00326B80" w14:paraId="1FFC9904" w14:textId="77777777" w:rsidTr="00973A36">
        <w:trPr>
          <w:trHeight w:val="397"/>
        </w:trPr>
        <w:tc>
          <w:tcPr>
            <w:tcW w:w="4219" w:type="dxa"/>
            <w:vAlign w:val="center"/>
          </w:tcPr>
          <w:p w14:paraId="7A738653" w14:textId="77777777" w:rsidR="004F5135" w:rsidRPr="00FA5E04" w:rsidRDefault="004F5135" w:rsidP="007656A6">
            <w:pPr>
              <w:pStyle w:val="Tablebodycopy"/>
              <w:rPr>
                <w:rFonts w:cs="Arial"/>
                <w:color w:val="000000"/>
              </w:rPr>
            </w:pPr>
            <w:r w:rsidRPr="00FA5E04">
              <w:rPr>
                <w:rFonts w:cs="Arial"/>
                <w:color w:val="000000"/>
              </w:rPr>
              <w:t>DSC / CDSP</w:t>
            </w:r>
          </w:p>
        </w:tc>
        <w:tc>
          <w:tcPr>
            <w:tcW w:w="5275" w:type="dxa"/>
            <w:vAlign w:val="center"/>
          </w:tcPr>
          <w:p w14:paraId="3CF50CE6" w14:textId="77777777" w:rsidR="004F5135" w:rsidRPr="00FA5E04" w:rsidRDefault="004F5135" w:rsidP="007656A6">
            <w:pPr>
              <w:pStyle w:val="TableList"/>
              <w:numPr>
                <w:ilvl w:val="0"/>
                <w:numId w:val="0"/>
              </w:numPr>
              <w:spacing w:before="40" w:after="40"/>
              <w:ind w:left="454" w:hanging="341"/>
              <w:rPr>
                <w:rFonts w:cs="Arial"/>
                <w:color w:val="auto"/>
              </w:rPr>
            </w:pPr>
            <w:r w:rsidRPr="00FA5E04">
              <w:rPr>
                <w:rFonts w:cs="Arial"/>
                <w:color w:val="auto"/>
              </w:rPr>
              <w:t>Potential Impact</w:t>
            </w:r>
          </w:p>
        </w:tc>
      </w:tr>
      <w:tr w:rsidR="004F5135" w:rsidRPr="00326B80" w14:paraId="02BD4F6D" w14:textId="77777777" w:rsidTr="00973A36">
        <w:trPr>
          <w:trHeight w:val="397"/>
        </w:trPr>
        <w:tc>
          <w:tcPr>
            <w:tcW w:w="4219" w:type="dxa"/>
            <w:vAlign w:val="center"/>
          </w:tcPr>
          <w:p w14:paraId="3886F08A" w14:textId="77777777" w:rsidR="004F5135" w:rsidRPr="00FA5E04" w:rsidRDefault="004F5135" w:rsidP="005B378E">
            <w:pPr>
              <w:pStyle w:val="Tablebodycopy"/>
              <w:rPr>
                <w:rFonts w:cs="Arial"/>
              </w:rPr>
            </w:pPr>
            <w:r w:rsidRPr="00FA5E04">
              <w:rPr>
                <w:rFonts w:cs="Arial"/>
              </w:rPr>
              <w:t>Change Management Procedures</w:t>
            </w:r>
          </w:p>
        </w:tc>
        <w:tc>
          <w:tcPr>
            <w:tcW w:w="5275" w:type="dxa"/>
            <w:vAlign w:val="center"/>
          </w:tcPr>
          <w:p w14:paraId="2BC6BFEA" w14:textId="09F2D751" w:rsidR="004F5135" w:rsidRPr="00FA5E04" w:rsidRDefault="0E039E98" w:rsidP="00B53C15">
            <w:pPr>
              <w:pStyle w:val="TableList"/>
              <w:tabs>
                <w:tab w:val="clear" w:pos="360"/>
                <w:tab w:val="num" w:pos="454"/>
              </w:tabs>
              <w:spacing w:before="40" w:after="40"/>
              <w:rPr>
                <w:rFonts w:cs="Arial"/>
                <w:color w:val="auto"/>
              </w:rPr>
            </w:pPr>
            <w:r w:rsidRPr="00FA5E04">
              <w:rPr>
                <w:rFonts w:cs="Arial"/>
                <w:color w:val="auto"/>
              </w:rPr>
              <w:t>N/a</w:t>
            </w:r>
          </w:p>
        </w:tc>
      </w:tr>
      <w:tr w:rsidR="004F5135" w:rsidRPr="00326B80" w14:paraId="63CEF419" w14:textId="77777777" w:rsidTr="00973A36">
        <w:trPr>
          <w:trHeight w:val="397"/>
        </w:trPr>
        <w:tc>
          <w:tcPr>
            <w:tcW w:w="4219" w:type="dxa"/>
            <w:vAlign w:val="center"/>
          </w:tcPr>
          <w:p w14:paraId="339CACCA" w14:textId="77777777" w:rsidR="004F5135" w:rsidRPr="00FA5E04" w:rsidRDefault="004F5135" w:rsidP="005B378E">
            <w:pPr>
              <w:pStyle w:val="Tablebodycopy"/>
              <w:rPr>
                <w:rFonts w:cs="Arial"/>
              </w:rPr>
            </w:pPr>
            <w:r w:rsidRPr="00FA5E04">
              <w:rPr>
                <w:rFonts w:cs="Arial"/>
              </w:rPr>
              <w:t>Contract Management Procedures</w:t>
            </w:r>
          </w:p>
        </w:tc>
        <w:tc>
          <w:tcPr>
            <w:tcW w:w="5275" w:type="dxa"/>
            <w:vAlign w:val="center"/>
          </w:tcPr>
          <w:p w14:paraId="1C9D90F6" w14:textId="4AA0C0DA" w:rsidR="004F5135" w:rsidRPr="00FA5E04" w:rsidRDefault="6A4F70DB" w:rsidP="00B53C15">
            <w:pPr>
              <w:pStyle w:val="TableList"/>
              <w:tabs>
                <w:tab w:val="clear" w:pos="360"/>
                <w:tab w:val="num" w:pos="454"/>
              </w:tabs>
              <w:spacing w:before="40" w:after="40"/>
              <w:rPr>
                <w:rFonts w:cs="Arial"/>
                <w:color w:val="auto"/>
              </w:rPr>
            </w:pPr>
            <w:r w:rsidRPr="00FA5E04">
              <w:rPr>
                <w:rFonts w:cs="Arial"/>
                <w:color w:val="auto"/>
              </w:rPr>
              <w:t>N/a</w:t>
            </w:r>
          </w:p>
        </w:tc>
      </w:tr>
      <w:tr w:rsidR="004F5135" w:rsidRPr="00326B80" w14:paraId="2A84E3EE" w14:textId="77777777" w:rsidTr="00973A36">
        <w:trPr>
          <w:trHeight w:val="397"/>
        </w:trPr>
        <w:tc>
          <w:tcPr>
            <w:tcW w:w="4219" w:type="dxa"/>
            <w:vAlign w:val="center"/>
          </w:tcPr>
          <w:p w14:paraId="15774EE8" w14:textId="77777777" w:rsidR="004F5135" w:rsidRPr="00FA5E04" w:rsidRDefault="004F5135" w:rsidP="005B378E">
            <w:pPr>
              <w:pStyle w:val="Tablebodycopy"/>
              <w:rPr>
                <w:rFonts w:cs="Arial"/>
              </w:rPr>
            </w:pPr>
            <w:r w:rsidRPr="00FA5E04">
              <w:rPr>
                <w:rFonts w:cs="Arial"/>
              </w:rPr>
              <w:lastRenderedPageBreak/>
              <w:t>Credit Policy</w:t>
            </w:r>
          </w:p>
        </w:tc>
        <w:tc>
          <w:tcPr>
            <w:tcW w:w="5275" w:type="dxa"/>
            <w:vAlign w:val="center"/>
          </w:tcPr>
          <w:p w14:paraId="1D1ADC5F" w14:textId="75FDFF94" w:rsidR="004F5135" w:rsidRPr="00FA5E04" w:rsidRDefault="597D44AA" w:rsidP="00B53C15">
            <w:pPr>
              <w:pStyle w:val="TableList"/>
              <w:tabs>
                <w:tab w:val="clear" w:pos="360"/>
                <w:tab w:val="num" w:pos="454"/>
              </w:tabs>
              <w:spacing w:before="40" w:after="40"/>
              <w:rPr>
                <w:rFonts w:cs="Arial"/>
                <w:color w:val="auto"/>
              </w:rPr>
            </w:pPr>
            <w:r w:rsidRPr="00FA5E04">
              <w:rPr>
                <w:rFonts w:cs="Arial"/>
                <w:color w:val="auto"/>
              </w:rPr>
              <w:t>N/a</w:t>
            </w:r>
          </w:p>
        </w:tc>
      </w:tr>
      <w:tr w:rsidR="004F5135" w:rsidRPr="00326B80" w14:paraId="01C3650A" w14:textId="77777777" w:rsidTr="00973A36">
        <w:trPr>
          <w:trHeight w:val="397"/>
        </w:trPr>
        <w:tc>
          <w:tcPr>
            <w:tcW w:w="4219" w:type="dxa"/>
            <w:vAlign w:val="center"/>
          </w:tcPr>
          <w:p w14:paraId="4728FCE0" w14:textId="77777777" w:rsidR="004F5135" w:rsidRPr="00FA5E04" w:rsidRDefault="004F5135" w:rsidP="005B378E">
            <w:pPr>
              <w:pStyle w:val="Tablebodycopy"/>
              <w:rPr>
                <w:rFonts w:cs="Arial"/>
              </w:rPr>
            </w:pPr>
            <w:r w:rsidRPr="00FA5E04">
              <w:rPr>
                <w:rFonts w:cs="Arial"/>
              </w:rPr>
              <w:t>Credit Rules</w:t>
            </w:r>
          </w:p>
        </w:tc>
        <w:tc>
          <w:tcPr>
            <w:tcW w:w="5275" w:type="dxa"/>
            <w:vAlign w:val="center"/>
          </w:tcPr>
          <w:p w14:paraId="0A79E7EF" w14:textId="2F56B16B" w:rsidR="004F5135" w:rsidRPr="00FA5E04" w:rsidRDefault="49DB55AF" w:rsidP="00B53C15">
            <w:pPr>
              <w:pStyle w:val="TableList"/>
              <w:tabs>
                <w:tab w:val="clear" w:pos="360"/>
                <w:tab w:val="num" w:pos="454"/>
              </w:tabs>
              <w:spacing w:before="40" w:after="40"/>
              <w:rPr>
                <w:rFonts w:cs="Arial"/>
                <w:color w:val="auto"/>
              </w:rPr>
            </w:pPr>
            <w:r w:rsidRPr="00FA5E04">
              <w:rPr>
                <w:rFonts w:cs="Arial"/>
                <w:color w:val="auto"/>
              </w:rPr>
              <w:t>N/a</w:t>
            </w:r>
          </w:p>
        </w:tc>
      </w:tr>
      <w:tr w:rsidR="004F5135" w:rsidRPr="00326B80" w14:paraId="2292BB55" w14:textId="77777777" w:rsidTr="00973A36">
        <w:trPr>
          <w:trHeight w:val="397"/>
        </w:trPr>
        <w:tc>
          <w:tcPr>
            <w:tcW w:w="4219" w:type="dxa"/>
            <w:vAlign w:val="center"/>
          </w:tcPr>
          <w:p w14:paraId="4007E05D" w14:textId="77777777" w:rsidR="004F5135" w:rsidRPr="00FA5E04" w:rsidRDefault="004F5135" w:rsidP="005B378E">
            <w:pPr>
              <w:pStyle w:val="Tablebodycopy"/>
              <w:rPr>
                <w:rFonts w:cs="Arial"/>
              </w:rPr>
            </w:pPr>
            <w:r w:rsidRPr="00FA5E04">
              <w:rPr>
                <w:rFonts w:cs="Arial"/>
              </w:rPr>
              <w:t>UK Link Manual</w:t>
            </w:r>
          </w:p>
        </w:tc>
        <w:tc>
          <w:tcPr>
            <w:tcW w:w="5275" w:type="dxa"/>
            <w:vAlign w:val="center"/>
          </w:tcPr>
          <w:p w14:paraId="09371E51" w14:textId="0C5F2898" w:rsidR="004F5135" w:rsidRPr="00FA5E04" w:rsidRDefault="40BA445F" w:rsidP="00B53C15">
            <w:pPr>
              <w:pStyle w:val="TableList"/>
              <w:tabs>
                <w:tab w:val="clear" w:pos="360"/>
                <w:tab w:val="num" w:pos="454"/>
              </w:tabs>
              <w:spacing w:before="40" w:after="40"/>
              <w:rPr>
                <w:rFonts w:cs="Arial"/>
                <w:color w:val="auto"/>
              </w:rPr>
            </w:pPr>
            <w:r w:rsidRPr="00FA5E04">
              <w:rPr>
                <w:rFonts w:cs="Arial"/>
                <w:color w:val="auto"/>
              </w:rPr>
              <w:t>Potential</w:t>
            </w:r>
          </w:p>
        </w:tc>
      </w:tr>
    </w:tbl>
    <w:p w14:paraId="114FCD8B" w14:textId="77777777" w:rsidR="005B378E" w:rsidRPr="00326B80" w:rsidRDefault="005B378E" w:rsidP="002205EE">
      <w:pPr>
        <w:spacing w:before="0" w:after="0"/>
        <w:rPr>
          <w:rFonts w:cs="Arial"/>
        </w:rPr>
      </w:pPr>
    </w:p>
    <w:tbl>
      <w:tblPr>
        <w:tblW w:w="949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4219"/>
        <w:gridCol w:w="5275"/>
      </w:tblGrid>
      <w:tr w:rsidR="005B378E" w:rsidRPr="00326B80" w14:paraId="64F2678F" w14:textId="77777777" w:rsidTr="3780501F">
        <w:trPr>
          <w:trHeight w:hRule="exact" w:val="397"/>
          <w:tblHeader/>
        </w:trPr>
        <w:tc>
          <w:tcPr>
            <w:tcW w:w="9494" w:type="dxa"/>
            <w:gridSpan w:val="2"/>
            <w:tcBorders>
              <w:bottom w:val="single" w:sz="8" w:space="0" w:color="CCE0DA"/>
            </w:tcBorders>
            <w:shd w:val="clear" w:color="auto" w:fill="CCE0DA"/>
            <w:vAlign w:val="center"/>
          </w:tcPr>
          <w:p w14:paraId="3D8CFDD3" w14:textId="77777777" w:rsidR="005B378E" w:rsidRPr="00326B80" w:rsidRDefault="005B378E" w:rsidP="005B378E">
            <w:pPr>
              <w:pStyle w:val="TableHeading"/>
              <w:rPr>
                <w:rFonts w:cs="Arial"/>
              </w:rPr>
            </w:pPr>
            <w:r w:rsidRPr="00326B80">
              <w:rPr>
                <w:rFonts w:cs="Arial"/>
              </w:rPr>
              <w:t>Impact on Core Industry Documents and other documents</w:t>
            </w:r>
          </w:p>
        </w:tc>
      </w:tr>
      <w:tr w:rsidR="005B378E" w:rsidRPr="00326B80" w14:paraId="7912F37B" w14:textId="77777777" w:rsidTr="00973A36">
        <w:trPr>
          <w:trHeight w:val="397"/>
        </w:trPr>
        <w:tc>
          <w:tcPr>
            <w:tcW w:w="4219" w:type="dxa"/>
            <w:tcBorders>
              <w:top w:val="single" w:sz="8" w:space="0" w:color="CCE0DA"/>
            </w:tcBorders>
            <w:vAlign w:val="center"/>
          </w:tcPr>
          <w:p w14:paraId="427BC5F8" w14:textId="77777777" w:rsidR="005B378E" w:rsidRPr="00326B80" w:rsidRDefault="005B378E" w:rsidP="005B378E">
            <w:pPr>
              <w:pStyle w:val="Tablesubheading"/>
              <w:rPr>
                <w:rFonts w:cs="Arial"/>
              </w:rPr>
            </w:pPr>
            <w:r w:rsidRPr="00326B80">
              <w:rPr>
                <w:rFonts w:cs="Arial"/>
              </w:rPr>
              <w:t>Document</w:t>
            </w:r>
          </w:p>
        </w:tc>
        <w:tc>
          <w:tcPr>
            <w:tcW w:w="5275" w:type="dxa"/>
            <w:tcBorders>
              <w:top w:val="single" w:sz="8" w:space="0" w:color="CCE0DA"/>
            </w:tcBorders>
            <w:vAlign w:val="center"/>
          </w:tcPr>
          <w:p w14:paraId="21669FF3" w14:textId="77777777" w:rsidR="005B378E" w:rsidRPr="00326B80" w:rsidRDefault="005B378E" w:rsidP="005B378E">
            <w:pPr>
              <w:pStyle w:val="Tablesubheading"/>
              <w:rPr>
                <w:rFonts w:cs="Arial"/>
              </w:rPr>
            </w:pPr>
            <w:r w:rsidRPr="00326B80">
              <w:rPr>
                <w:rFonts w:cs="Arial"/>
              </w:rPr>
              <w:t>Potential impact</w:t>
            </w:r>
          </w:p>
        </w:tc>
      </w:tr>
      <w:tr w:rsidR="00164E30" w:rsidRPr="00326B80" w14:paraId="76BBBA0F" w14:textId="77777777" w:rsidTr="00973A36">
        <w:trPr>
          <w:trHeight w:val="397"/>
        </w:trPr>
        <w:tc>
          <w:tcPr>
            <w:tcW w:w="4219" w:type="dxa"/>
            <w:vAlign w:val="center"/>
          </w:tcPr>
          <w:p w14:paraId="6713BD74" w14:textId="1E98E94C" w:rsidR="00164E30" w:rsidRPr="00326B80" w:rsidRDefault="726C7ADD" w:rsidP="005B378E">
            <w:pPr>
              <w:pStyle w:val="Tablebodycopy"/>
              <w:rPr>
                <w:rFonts w:cs="Arial"/>
              </w:rPr>
            </w:pPr>
            <w:r w:rsidRPr="3780501F">
              <w:rPr>
                <w:rFonts w:cs="Arial"/>
              </w:rPr>
              <w:t xml:space="preserve">Safety Case or </w:t>
            </w:r>
            <w:r w:rsidR="65836FC6" w:rsidRPr="3780501F">
              <w:rPr>
                <w:rFonts w:cs="Arial"/>
              </w:rPr>
              <w:t>other documents</w:t>
            </w:r>
            <w:r w:rsidRPr="3780501F">
              <w:rPr>
                <w:rFonts w:cs="Arial"/>
              </w:rPr>
              <w:t xml:space="preserve"> under Gas Safety (Management) Regulations</w:t>
            </w:r>
          </w:p>
        </w:tc>
        <w:tc>
          <w:tcPr>
            <w:tcW w:w="5275" w:type="dxa"/>
            <w:vAlign w:val="center"/>
          </w:tcPr>
          <w:p w14:paraId="7B57EA12" w14:textId="4E3E4A51" w:rsidR="00164E30" w:rsidRPr="00326B80" w:rsidRDefault="55E72CED" w:rsidP="00B53C15">
            <w:pPr>
              <w:pStyle w:val="TableList"/>
              <w:tabs>
                <w:tab w:val="clear" w:pos="360"/>
                <w:tab w:val="num" w:pos="454"/>
              </w:tabs>
              <w:spacing w:before="40" w:after="40"/>
              <w:rPr>
                <w:rFonts w:cs="Arial"/>
                <w:color w:val="auto"/>
              </w:rPr>
            </w:pPr>
            <w:r w:rsidRPr="3780501F">
              <w:rPr>
                <w:rFonts w:cs="Arial"/>
                <w:color w:val="auto"/>
              </w:rPr>
              <w:t>N/a</w:t>
            </w:r>
          </w:p>
        </w:tc>
      </w:tr>
      <w:tr w:rsidR="00164E30" w:rsidRPr="00326B80" w14:paraId="7460255B" w14:textId="77777777" w:rsidTr="00973A36">
        <w:trPr>
          <w:trHeight w:val="397"/>
        </w:trPr>
        <w:tc>
          <w:tcPr>
            <w:tcW w:w="4219" w:type="dxa"/>
            <w:vAlign w:val="center"/>
          </w:tcPr>
          <w:p w14:paraId="1ADDC5AA" w14:textId="77777777" w:rsidR="00164E30" w:rsidRPr="00326B80" w:rsidRDefault="00164E30" w:rsidP="005B378E">
            <w:pPr>
              <w:pStyle w:val="Tablebodycopy"/>
              <w:rPr>
                <w:rFonts w:cs="Arial"/>
              </w:rPr>
            </w:pPr>
            <w:r w:rsidRPr="00326B80">
              <w:rPr>
                <w:rFonts w:cs="Arial"/>
              </w:rPr>
              <w:t>Gas Transporter Licence</w:t>
            </w:r>
          </w:p>
        </w:tc>
        <w:tc>
          <w:tcPr>
            <w:tcW w:w="5275" w:type="dxa"/>
            <w:vAlign w:val="center"/>
          </w:tcPr>
          <w:p w14:paraId="48F4DA1B" w14:textId="4E9C1534" w:rsidR="00164E30" w:rsidRPr="00326B80" w:rsidRDefault="03A46650" w:rsidP="00B53C15">
            <w:pPr>
              <w:pStyle w:val="TableList"/>
              <w:tabs>
                <w:tab w:val="clear" w:pos="360"/>
                <w:tab w:val="num" w:pos="454"/>
              </w:tabs>
              <w:spacing w:before="40" w:after="40"/>
              <w:rPr>
                <w:rFonts w:cs="Arial"/>
                <w:color w:val="auto"/>
              </w:rPr>
            </w:pPr>
            <w:r w:rsidRPr="3780501F">
              <w:rPr>
                <w:rFonts w:cs="Arial"/>
                <w:color w:val="auto"/>
              </w:rPr>
              <w:t>N/a</w:t>
            </w:r>
          </w:p>
        </w:tc>
      </w:tr>
    </w:tbl>
    <w:p w14:paraId="27861550" w14:textId="77777777" w:rsidR="005B378E" w:rsidRPr="00326B80" w:rsidRDefault="005B378E" w:rsidP="002205EE">
      <w:pPr>
        <w:spacing w:before="0" w:after="0"/>
        <w:rPr>
          <w:rFonts w:cs="Arial"/>
        </w:rPr>
      </w:pPr>
    </w:p>
    <w:tbl>
      <w:tblPr>
        <w:tblW w:w="4725" w:type="pct"/>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4238"/>
        <w:gridCol w:w="5244"/>
      </w:tblGrid>
      <w:tr w:rsidR="005B378E" w:rsidRPr="00326B80" w14:paraId="4FE996D2" w14:textId="77777777" w:rsidTr="3780501F">
        <w:trPr>
          <w:trHeight w:hRule="exact" w:val="397"/>
        </w:trPr>
        <w:tc>
          <w:tcPr>
            <w:tcW w:w="5000" w:type="pct"/>
            <w:gridSpan w:val="2"/>
            <w:tcBorders>
              <w:bottom w:val="single" w:sz="8" w:space="0" w:color="CCE0DA"/>
            </w:tcBorders>
            <w:shd w:val="clear" w:color="auto" w:fill="CCE0DA"/>
            <w:vAlign w:val="center"/>
          </w:tcPr>
          <w:p w14:paraId="5DEC5E46" w14:textId="77777777" w:rsidR="005B378E" w:rsidRPr="00326B80" w:rsidRDefault="005B378E" w:rsidP="005B378E">
            <w:pPr>
              <w:pStyle w:val="TableHeading"/>
              <w:rPr>
                <w:rFonts w:cs="Arial"/>
              </w:rPr>
            </w:pPr>
            <w:r w:rsidRPr="00326B80">
              <w:rPr>
                <w:rFonts w:cs="Arial"/>
              </w:rPr>
              <w:t>Other Impacts</w:t>
            </w:r>
          </w:p>
        </w:tc>
      </w:tr>
      <w:tr w:rsidR="00450385" w:rsidRPr="00326B80" w14:paraId="30206B18" w14:textId="77777777" w:rsidTr="00973A36">
        <w:trPr>
          <w:trHeight w:val="397"/>
        </w:trPr>
        <w:tc>
          <w:tcPr>
            <w:tcW w:w="2235" w:type="pct"/>
            <w:tcBorders>
              <w:top w:val="single" w:sz="8" w:space="0" w:color="CCE0DA"/>
            </w:tcBorders>
            <w:vAlign w:val="center"/>
          </w:tcPr>
          <w:p w14:paraId="4F4BC5A3" w14:textId="77777777" w:rsidR="005B378E" w:rsidRPr="00326B80" w:rsidRDefault="005B378E" w:rsidP="005B378E">
            <w:pPr>
              <w:pStyle w:val="Tablesubheading"/>
              <w:rPr>
                <w:rFonts w:cs="Arial"/>
              </w:rPr>
            </w:pPr>
            <w:r w:rsidRPr="00326B80">
              <w:rPr>
                <w:rFonts w:cs="Arial"/>
              </w:rPr>
              <w:t>Item impacted</w:t>
            </w:r>
          </w:p>
        </w:tc>
        <w:tc>
          <w:tcPr>
            <w:tcW w:w="2765" w:type="pct"/>
            <w:tcBorders>
              <w:top w:val="single" w:sz="8" w:space="0" w:color="CCE0DA"/>
            </w:tcBorders>
            <w:vAlign w:val="center"/>
          </w:tcPr>
          <w:p w14:paraId="28E9E5C4" w14:textId="77777777" w:rsidR="005B378E" w:rsidRPr="00326B80" w:rsidRDefault="005B378E" w:rsidP="005B378E">
            <w:pPr>
              <w:pStyle w:val="Tablesubheading"/>
              <w:rPr>
                <w:rFonts w:cs="Arial"/>
              </w:rPr>
            </w:pPr>
            <w:r w:rsidRPr="00326B80">
              <w:rPr>
                <w:rFonts w:cs="Arial"/>
              </w:rPr>
              <w:t>Potential impact</w:t>
            </w:r>
          </w:p>
        </w:tc>
      </w:tr>
      <w:tr w:rsidR="00164E30" w:rsidRPr="00326B80" w14:paraId="32E548A8" w14:textId="77777777" w:rsidTr="00973A36">
        <w:trPr>
          <w:trHeight w:val="397"/>
        </w:trPr>
        <w:tc>
          <w:tcPr>
            <w:tcW w:w="2235" w:type="pct"/>
            <w:vAlign w:val="center"/>
          </w:tcPr>
          <w:p w14:paraId="66B937DB" w14:textId="77777777" w:rsidR="00164E30" w:rsidRPr="00326B80" w:rsidRDefault="00164E30" w:rsidP="005B378E">
            <w:pPr>
              <w:pStyle w:val="Tablebodycopy"/>
              <w:rPr>
                <w:rFonts w:cs="Arial"/>
              </w:rPr>
            </w:pPr>
            <w:r w:rsidRPr="00326B80">
              <w:rPr>
                <w:rFonts w:cs="Arial"/>
              </w:rPr>
              <w:t>Security of Supply</w:t>
            </w:r>
          </w:p>
        </w:tc>
        <w:tc>
          <w:tcPr>
            <w:tcW w:w="2765" w:type="pct"/>
            <w:vAlign w:val="center"/>
          </w:tcPr>
          <w:p w14:paraId="6AA0B8FA" w14:textId="350ABB3F" w:rsidR="00164E30" w:rsidRPr="00326B80" w:rsidRDefault="6C6DD46A" w:rsidP="00B53C15">
            <w:pPr>
              <w:pStyle w:val="TableList"/>
              <w:tabs>
                <w:tab w:val="clear" w:pos="360"/>
                <w:tab w:val="num" w:pos="454"/>
              </w:tabs>
              <w:spacing w:before="40" w:after="40"/>
              <w:rPr>
                <w:rFonts w:cs="Arial"/>
                <w:color w:val="auto"/>
              </w:rPr>
            </w:pPr>
            <w:r w:rsidRPr="3780501F">
              <w:rPr>
                <w:rFonts w:cs="Arial"/>
                <w:color w:val="auto"/>
              </w:rPr>
              <w:t>N/a</w:t>
            </w:r>
          </w:p>
        </w:tc>
      </w:tr>
      <w:tr w:rsidR="00164E30" w:rsidRPr="00326B80" w14:paraId="4BFFD57B" w14:textId="77777777" w:rsidTr="00973A36">
        <w:trPr>
          <w:trHeight w:val="397"/>
        </w:trPr>
        <w:tc>
          <w:tcPr>
            <w:tcW w:w="2235" w:type="pct"/>
            <w:vAlign w:val="center"/>
          </w:tcPr>
          <w:p w14:paraId="212115D9" w14:textId="77777777" w:rsidR="00164E30" w:rsidRPr="00326B80" w:rsidRDefault="00164E30" w:rsidP="005B378E">
            <w:pPr>
              <w:pStyle w:val="Tablebodycopy"/>
              <w:rPr>
                <w:rFonts w:cs="Arial"/>
              </w:rPr>
            </w:pPr>
            <w:r w:rsidRPr="00326B80">
              <w:rPr>
                <w:rFonts w:cs="Arial"/>
              </w:rPr>
              <w:t>Operation of the Total System</w:t>
            </w:r>
          </w:p>
        </w:tc>
        <w:tc>
          <w:tcPr>
            <w:tcW w:w="2765" w:type="pct"/>
            <w:vAlign w:val="center"/>
          </w:tcPr>
          <w:p w14:paraId="0D4FDDE2" w14:textId="796D3D00" w:rsidR="00164E30" w:rsidRPr="00326B80" w:rsidRDefault="69F02715" w:rsidP="00B53C15">
            <w:pPr>
              <w:pStyle w:val="TableList"/>
              <w:tabs>
                <w:tab w:val="clear" w:pos="360"/>
                <w:tab w:val="num" w:pos="454"/>
              </w:tabs>
              <w:spacing w:before="40" w:after="40"/>
              <w:rPr>
                <w:rFonts w:cs="Arial"/>
                <w:color w:val="auto"/>
              </w:rPr>
            </w:pPr>
            <w:r w:rsidRPr="3780501F">
              <w:rPr>
                <w:rFonts w:cs="Arial"/>
                <w:color w:val="auto"/>
              </w:rPr>
              <w:t>N/a</w:t>
            </w:r>
          </w:p>
        </w:tc>
      </w:tr>
      <w:tr w:rsidR="00164E30" w:rsidRPr="00326B80" w14:paraId="6CA6D2B3" w14:textId="77777777" w:rsidTr="00973A36">
        <w:trPr>
          <w:trHeight w:val="397"/>
        </w:trPr>
        <w:tc>
          <w:tcPr>
            <w:tcW w:w="2235" w:type="pct"/>
            <w:vAlign w:val="center"/>
          </w:tcPr>
          <w:p w14:paraId="30ADBA3C" w14:textId="77777777" w:rsidR="00164E30" w:rsidRPr="00326B80" w:rsidRDefault="00164E30" w:rsidP="005B378E">
            <w:pPr>
              <w:pStyle w:val="Tablebodycopy"/>
              <w:rPr>
                <w:rFonts w:cs="Arial"/>
              </w:rPr>
            </w:pPr>
            <w:r w:rsidRPr="00326B80">
              <w:rPr>
                <w:rFonts w:cs="Arial"/>
              </w:rPr>
              <w:t>Industry fragmentation</w:t>
            </w:r>
          </w:p>
        </w:tc>
        <w:tc>
          <w:tcPr>
            <w:tcW w:w="2765" w:type="pct"/>
            <w:vAlign w:val="center"/>
          </w:tcPr>
          <w:p w14:paraId="13CE4E84" w14:textId="26A33CEE" w:rsidR="00164E30" w:rsidRPr="00326B80" w:rsidRDefault="7A5FC742" w:rsidP="00B53C15">
            <w:pPr>
              <w:pStyle w:val="TableList"/>
              <w:tabs>
                <w:tab w:val="clear" w:pos="360"/>
                <w:tab w:val="num" w:pos="454"/>
              </w:tabs>
              <w:spacing w:before="40" w:after="40"/>
              <w:rPr>
                <w:rFonts w:cs="Arial"/>
                <w:color w:val="auto"/>
              </w:rPr>
            </w:pPr>
            <w:r w:rsidRPr="3780501F">
              <w:rPr>
                <w:rFonts w:cs="Arial"/>
                <w:color w:val="auto"/>
              </w:rPr>
              <w:t>N/a</w:t>
            </w:r>
          </w:p>
        </w:tc>
      </w:tr>
      <w:tr w:rsidR="00164E30" w:rsidRPr="00326B80" w14:paraId="46CB7611" w14:textId="77777777" w:rsidTr="00973A36">
        <w:trPr>
          <w:trHeight w:val="397"/>
        </w:trPr>
        <w:tc>
          <w:tcPr>
            <w:tcW w:w="2235" w:type="pct"/>
            <w:vAlign w:val="center"/>
          </w:tcPr>
          <w:p w14:paraId="56EE186F" w14:textId="139E3CD2" w:rsidR="00164E30" w:rsidRPr="00326B80" w:rsidRDefault="726C7ADD" w:rsidP="005B378E">
            <w:pPr>
              <w:pStyle w:val="Tablebodycopy"/>
              <w:rPr>
                <w:rFonts w:cs="Arial"/>
              </w:rPr>
            </w:pPr>
            <w:r w:rsidRPr="3780501F">
              <w:rPr>
                <w:rFonts w:cs="Arial"/>
              </w:rPr>
              <w:t xml:space="preserve">Terminal operators, consumers, connected system operators, suppliers, producers and other </w:t>
            </w:r>
            <w:r w:rsidR="65836FC6" w:rsidRPr="3780501F">
              <w:rPr>
                <w:rFonts w:cs="Arial"/>
              </w:rPr>
              <w:t>non-code</w:t>
            </w:r>
            <w:r w:rsidRPr="3780501F">
              <w:rPr>
                <w:rFonts w:cs="Arial"/>
              </w:rPr>
              <w:t xml:space="preserve"> parties</w:t>
            </w:r>
          </w:p>
        </w:tc>
        <w:tc>
          <w:tcPr>
            <w:tcW w:w="2765" w:type="pct"/>
            <w:vAlign w:val="center"/>
          </w:tcPr>
          <w:p w14:paraId="072C3A76" w14:textId="092537A3" w:rsidR="00164E30" w:rsidRPr="00326B80" w:rsidRDefault="42C47BB5" w:rsidP="00B53C15">
            <w:pPr>
              <w:pStyle w:val="TableList"/>
              <w:tabs>
                <w:tab w:val="clear" w:pos="360"/>
                <w:tab w:val="num" w:pos="454"/>
              </w:tabs>
              <w:spacing w:before="40" w:after="40"/>
              <w:rPr>
                <w:rFonts w:cs="Arial"/>
                <w:color w:val="auto"/>
              </w:rPr>
            </w:pPr>
            <w:r w:rsidRPr="3780501F">
              <w:rPr>
                <w:rFonts w:cs="Arial"/>
                <w:color w:val="auto"/>
              </w:rPr>
              <w:t>Yes</w:t>
            </w:r>
          </w:p>
        </w:tc>
      </w:tr>
    </w:tbl>
    <w:p w14:paraId="5CBDD150" w14:textId="77777777" w:rsidR="00450502" w:rsidRPr="00E12D14" w:rsidRDefault="00450502" w:rsidP="00450502">
      <w:pPr>
        <w:keepNext/>
        <w:spacing w:before="240"/>
        <w:outlineLvl w:val="3"/>
        <w:rPr>
          <w:rFonts w:cs="Arial"/>
          <w:b/>
          <w:bCs/>
          <w:color w:val="008576"/>
          <w:sz w:val="24"/>
          <w:szCs w:val="28"/>
        </w:rPr>
      </w:pPr>
      <w:r w:rsidRPr="00E12D14">
        <w:rPr>
          <w:rFonts w:cs="Arial"/>
          <w:b/>
          <w:bCs/>
          <w:color w:val="008576"/>
          <w:sz w:val="24"/>
          <w:szCs w:val="28"/>
        </w:rPr>
        <w:t>Cross-Code Impacts</w:t>
      </w:r>
    </w:p>
    <w:p w14:paraId="0A4E988E" w14:textId="6FE4817E" w:rsidR="00450502" w:rsidRPr="00E12D14" w:rsidRDefault="00D11D7A" w:rsidP="00450502">
      <w:pPr>
        <w:rPr>
          <w:rFonts w:cs="Arial"/>
        </w:rPr>
      </w:pPr>
      <w:r>
        <w:rPr>
          <w:rFonts w:cs="Arial"/>
        </w:rPr>
        <w:t>IGT UNC, REC</w:t>
      </w:r>
      <w:r w:rsidR="00450502" w:rsidRPr="00E12D14">
        <w:rPr>
          <w:rFonts w:cs="Arial"/>
        </w:rPr>
        <w:t>.</w:t>
      </w:r>
    </w:p>
    <w:p w14:paraId="043F297A" w14:textId="77777777" w:rsidR="00450502" w:rsidRPr="00E12D14" w:rsidRDefault="00450502" w:rsidP="00450502">
      <w:pPr>
        <w:keepNext/>
        <w:spacing w:before="240"/>
        <w:outlineLvl w:val="3"/>
        <w:rPr>
          <w:rFonts w:cs="Arial"/>
          <w:b/>
          <w:bCs/>
          <w:color w:val="008576"/>
          <w:sz w:val="24"/>
          <w:szCs w:val="28"/>
        </w:rPr>
      </w:pPr>
      <w:r w:rsidRPr="00E12D14">
        <w:rPr>
          <w:rFonts w:cs="Arial"/>
          <w:b/>
          <w:bCs/>
          <w:color w:val="008576"/>
          <w:sz w:val="24"/>
          <w:szCs w:val="28"/>
        </w:rPr>
        <w:t>Central Systems Impacts</w:t>
      </w:r>
    </w:p>
    <w:p w14:paraId="19E1826F" w14:textId="0889B39B" w:rsidR="00450502" w:rsidRPr="00E12D14" w:rsidRDefault="00187EF8" w:rsidP="00450502">
      <w:pPr>
        <w:rPr>
          <w:rFonts w:cs="Arial"/>
        </w:rPr>
      </w:pPr>
      <w:bookmarkStart w:id="5" w:name="_Hlk534356800"/>
      <w:r>
        <w:rPr>
          <w:rFonts w:cs="Arial"/>
        </w:rPr>
        <w:t>This is a Request Workgroup Report, and Central Systems impacts will be recognised in the New Modification</w:t>
      </w:r>
      <w:r w:rsidR="00E1721E">
        <w:rPr>
          <w:rFonts w:cs="Arial"/>
        </w:rPr>
        <w:t xml:space="preserve"> </w:t>
      </w:r>
      <w:r w:rsidR="00B8779A">
        <w:rPr>
          <w:rFonts w:cs="Arial"/>
        </w:rPr>
        <w:t>(</w:t>
      </w:r>
      <w:r w:rsidR="00A72E95">
        <w:rPr>
          <w:rFonts w:cs="Arial"/>
        </w:rPr>
        <w:t xml:space="preserve">0884) that has been </w:t>
      </w:r>
      <w:r w:rsidR="00E1721E">
        <w:rPr>
          <w:rFonts w:cs="Arial"/>
        </w:rPr>
        <w:t>raised</w:t>
      </w:r>
      <w:r w:rsidR="00450502" w:rsidRPr="00E12D14">
        <w:rPr>
          <w:rFonts w:cs="Arial"/>
        </w:rPr>
        <w:t>.</w:t>
      </w:r>
    </w:p>
    <w:p w14:paraId="7B55A0F5" w14:textId="77777777" w:rsidR="00450502" w:rsidRPr="00E12D14" w:rsidRDefault="00450502" w:rsidP="00450502">
      <w:pPr>
        <w:keepNext/>
        <w:spacing w:before="240"/>
        <w:ind w:left="864" w:hanging="864"/>
        <w:outlineLvl w:val="3"/>
        <w:rPr>
          <w:rFonts w:cs="Arial"/>
          <w:bCs/>
          <w:i/>
          <w:iCs/>
          <w:color w:val="00B274"/>
        </w:rPr>
      </w:pPr>
      <w:r w:rsidRPr="00E12D14">
        <w:rPr>
          <w:rFonts w:cs="Arial"/>
          <w:b/>
          <w:bCs/>
          <w:color w:val="008576"/>
          <w:sz w:val="24"/>
          <w:szCs w:val="28"/>
        </w:rPr>
        <w:t xml:space="preserve">Panel Questions </w:t>
      </w:r>
    </w:p>
    <w:p w14:paraId="471C86DE" w14:textId="77777777" w:rsidR="00450502" w:rsidRPr="00E12D14" w:rsidRDefault="00450502" w:rsidP="00450502">
      <w:pPr>
        <w:rPr>
          <w:b/>
          <w:bCs/>
          <w:iCs/>
        </w:rPr>
      </w:pPr>
      <w:r w:rsidRPr="00E12D14">
        <w:t>No Panel Questions raised.</w:t>
      </w:r>
    </w:p>
    <w:p w14:paraId="08412E99" w14:textId="752E2757" w:rsidR="00450502" w:rsidRPr="00E12D14" w:rsidRDefault="00450502" w:rsidP="00450502">
      <w:pPr>
        <w:keepNext/>
        <w:spacing w:before="240"/>
        <w:outlineLvl w:val="3"/>
        <w:rPr>
          <w:rFonts w:cs="Arial"/>
          <w:bCs/>
          <w:i/>
          <w:iCs/>
          <w:color w:val="00B274"/>
        </w:rPr>
      </w:pPr>
      <w:r w:rsidRPr="00E12D14">
        <w:rPr>
          <w:rFonts w:cs="Arial"/>
          <w:b/>
          <w:bCs/>
          <w:color w:val="008576"/>
          <w:sz w:val="24"/>
          <w:szCs w:val="28"/>
        </w:rPr>
        <w:t xml:space="preserve">Workgroup Impact Assessment </w:t>
      </w:r>
    </w:p>
    <w:p w14:paraId="159A3C32" w14:textId="77777777" w:rsidR="000C2098" w:rsidRDefault="000C2098" w:rsidP="000C2098">
      <w:pPr>
        <w:jc w:val="both"/>
      </w:pPr>
      <w:r>
        <w:rPr>
          <w:szCs w:val="16"/>
        </w:rPr>
        <w:t xml:space="preserve">The Workgroup considered the Review Group request and the proposal to </w:t>
      </w:r>
      <w:r>
        <w:t xml:space="preserve">extend the current read submission window for Class </w:t>
      </w:r>
      <w:proofErr w:type="gramStart"/>
      <w:r>
        <w:t>4 meter</w:t>
      </w:r>
      <w:proofErr w:type="gramEnd"/>
      <w:r>
        <w:t xml:space="preserve"> points from 25 Supply Point Systems Business Days to a higher number. The review considered:</w:t>
      </w:r>
    </w:p>
    <w:p w14:paraId="59040043" w14:textId="77777777" w:rsidR="000C2098" w:rsidRDefault="000C2098" w:rsidP="000C2098">
      <w:pPr>
        <w:pStyle w:val="ListParagraph"/>
        <w:numPr>
          <w:ilvl w:val="0"/>
          <w:numId w:val="34"/>
        </w:numPr>
        <w:jc w:val="both"/>
      </w:pPr>
      <w:r>
        <w:t xml:space="preserve">The potential process impacts of extending the </w:t>
      </w:r>
      <w:proofErr w:type="spellStart"/>
      <w:r>
        <w:t>read</w:t>
      </w:r>
      <w:proofErr w:type="spellEnd"/>
      <w:r>
        <w:t xml:space="preserve"> window.</w:t>
      </w:r>
    </w:p>
    <w:p w14:paraId="098AE9BA" w14:textId="77777777" w:rsidR="000C2098" w:rsidRDefault="000C2098" w:rsidP="000C2098">
      <w:pPr>
        <w:pStyle w:val="ListParagraph"/>
        <w:numPr>
          <w:ilvl w:val="0"/>
          <w:numId w:val="34"/>
        </w:numPr>
        <w:jc w:val="both"/>
      </w:pPr>
      <w:r>
        <w:t xml:space="preserve">What the optimal number of supply point business days might be for extending the </w:t>
      </w:r>
      <w:proofErr w:type="spellStart"/>
      <w:r>
        <w:t>read</w:t>
      </w:r>
      <w:proofErr w:type="spellEnd"/>
      <w:r>
        <w:t xml:space="preserve"> window.</w:t>
      </w:r>
    </w:p>
    <w:p w14:paraId="313540D0" w14:textId="77777777" w:rsidR="000C2098" w:rsidRDefault="000C2098" w:rsidP="000C2098">
      <w:pPr>
        <w:pStyle w:val="ListParagraph"/>
        <w:numPr>
          <w:ilvl w:val="0"/>
          <w:numId w:val="34"/>
        </w:numPr>
        <w:jc w:val="both"/>
      </w:pPr>
      <w:r>
        <w:t>The views of PAC on the potential impact of valid readings not getting into settlement and the effect this would have on overall accuracy.</w:t>
      </w:r>
    </w:p>
    <w:p w14:paraId="630446E6" w14:textId="77777777" w:rsidR="000C2098" w:rsidRDefault="000C2098" w:rsidP="000C2098">
      <w:pPr>
        <w:pStyle w:val="ListParagraph"/>
        <w:numPr>
          <w:ilvl w:val="0"/>
          <w:numId w:val="34"/>
        </w:numPr>
        <w:jc w:val="both"/>
      </w:pPr>
      <w:r>
        <w:t xml:space="preserve">The use of ‘staggered benchmarks’ for read submission and what these benchmarks should be set at. </w:t>
      </w:r>
    </w:p>
    <w:p w14:paraId="3620CF81" w14:textId="77777777" w:rsidR="000C2098" w:rsidRDefault="000C2098" w:rsidP="000C2098">
      <w:pPr>
        <w:pStyle w:val="ListParagraph"/>
        <w:numPr>
          <w:ilvl w:val="0"/>
          <w:numId w:val="34"/>
        </w:numPr>
        <w:jc w:val="both"/>
      </w:pPr>
      <w:r>
        <w:lastRenderedPageBreak/>
        <w:t>The content and questions to be included within a PAC RFI that was subsequently issued to Parties to inform the Review.</w:t>
      </w:r>
    </w:p>
    <w:p w14:paraId="23C55B8F" w14:textId="77777777" w:rsidR="000C2098" w:rsidRDefault="000C2098" w:rsidP="000C2098">
      <w:pPr>
        <w:pStyle w:val="ListParagraph"/>
        <w:numPr>
          <w:ilvl w:val="0"/>
          <w:numId w:val="34"/>
        </w:numPr>
        <w:jc w:val="both"/>
      </w:pPr>
      <w:r>
        <w:t>The results of the PAC RFI.</w:t>
      </w:r>
    </w:p>
    <w:p w14:paraId="655652AA" w14:textId="77777777" w:rsidR="000C2098" w:rsidRDefault="000C2098" w:rsidP="000C2098">
      <w:pPr>
        <w:pStyle w:val="ListParagraph"/>
        <w:numPr>
          <w:ilvl w:val="0"/>
          <w:numId w:val="34"/>
        </w:numPr>
        <w:jc w:val="both"/>
      </w:pPr>
      <w:r>
        <w:t xml:space="preserve">Whether the interaction between read performance obligations in TPD M5.9.4 is sufficiently clear. </w:t>
      </w:r>
    </w:p>
    <w:p w14:paraId="6F1D51DE" w14:textId="366B284C" w:rsidR="009C3265" w:rsidRDefault="006D2E7D" w:rsidP="00A85D94">
      <w:pPr>
        <w:jc w:val="both"/>
      </w:pPr>
      <w:r>
        <w:t xml:space="preserve">Workgroup participants </w:t>
      </w:r>
      <w:r w:rsidR="0064419C">
        <w:t>concluded</w:t>
      </w:r>
      <w:r>
        <w:t xml:space="preserve"> that </w:t>
      </w:r>
      <w:r w:rsidR="00F54EBD">
        <w:t xml:space="preserve">any extension period would need to strike a balance between </w:t>
      </w:r>
      <w:r w:rsidR="0072512B">
        <w:t>extending as far as necessary, but no more than necessary</w:t>
      </w:r>
      <w:r w:rsidR="00D35F26">
        <w:t xml:space="preserve"> so as not to delay the submission of </w:t>
      </w:r>
      <w:r w:rsidR="00D07039">
        <w:t xml:space="preserve">valid </w:t>
      </w:r>
      <w:r w:rsidR="00D35F26">
        <w:t>meter re</w:t>
      </w:r>
      <w:r w:rsidR="00D07039">
        <w:t>a</w:t>
      </w:r>
      <w:r w:rsidR="00D35F26">
        <w:t>dings</w:t>
      </w:r>
      <w:r w:rsidR="0072512B">
        <w:t>.</w:t>
      </w:r>
    </w:p>
    <w:p w14:paraId="6F6B2BE2" w14:textId="6EECB3EE" w:rsidR="009B3B34" w:rsidRDefault="00B71BB9" w:rsidP="00A85D94">
      <w:pPr>
        <w:jc w:val="both"/>
      </w:pPr>
      <w:r>
        <w:t xml:space="preserve">The Proposer noted that </w:t>
      </w:r>
      <w:r w:rsidR="000E5EC4">
        <w:t xml:space="preserve">the review group discussions had been extremely </w:t>
      </w:r>
      <w:r w:rsidR="00AD1DFB">
        <w:t xml:space="preserve">helpful in informing the next steps and that </w:t>
      </w:r>
      <w:r w:rsidR="003F6DC7">
        <w:t>the</w:t>
      </w:r>
      <w:r w:rsidR="00273BB1">
        <w:t>ir</w:t>
      </w:r>
      <w:r w:rsidR="003F6DC7">
        <w:t xml:space="preserve"> inte</w:t>
      </w:r>
      <w:r w:rsidR="001D4D06">
        <w:t xml:space="preserve">nt was to raise a </w:t>
      </w:r>
      <w:r w:rsidR="00273BB1">
        <w:t xml:space="preserve">new </w:t>
      </w:r>
      <w:r w:rsidR="001D4D06">
        <w:t>M</w:t>
      </w:r>
      <w:r w:rsidR="003F6DC7">
        <w:t>odification</w:t>
      </w:r>
      <w:r w:rsidR="001D4D06">
        <w:t xml:space="preserve"> focused on</w:t>
      </w:r>
      <w:r w:rsidR="009B3B34">
        <w:t>:</w:t>
      </w:r>
    </w:p>
    <w:p w14:paraId="406A91D5" w14:textId="766B764A" w:rsidR="00004E32" w:rsidRDefault="009B3B34" w:rsidP="009B3B34">
      <w:pPr>
        <w:pStyle w:val="ListParagraph"/>
        <w:numPr>
          <w:ilvl w:val="0"/>
          <w:numId w:val="35"/>
        </w:numPr>
        <w:jc w:val="both"/>
      </w:pPr>
      <w:r>
        <w:t xml:space="preserve">Introducing </w:t>
      </w:r>
      <w:r w:rsidR="00004E32">
        <w:t>s</w:t>
      </w:r>
      <w:r w:rsidR="001C0CB8">
        <w:t>taggered benchmarks for read submission</w:t>
      </w:r>
      <w:r w:rsidR="0044213D">
        <w:t>, between 10</w:t>
      </w:r>
      <w:r w:rsidR="00B61BD2">
        <w:t>, 25, 45,</w:t>
      </w:r>
      <w:r w:rsidR="0044213D">
        <w:t xml:space="preserve"> and 80 SPBSDs</w:t>
      </w:r>
      <w:r w:rsidR="00004E32">
        <w:t xml:space="preserve">; </w:t>
      </w:r>
      <w:r w:rsidR="002E09C7">
        <w:t>and</w:t>
      </w:r>
      <w:r w:rsidR="00004E32">
        <w:t>,</w:t>
      </w:r>
      <w:r w:rsidR="002E09C7">
        <w:t xml:space="preserve"> </w:t>
      </w:r>
    </w:p>
    <w:p w14:paraId="4DEC1C7C" w14:textId="3CD09A60" w:rsidR="008E1ABD" w:rsidRDefault="00004E32" w:rsidP="009B3B34">
      <w:pPr>
        <w:pStyle w:val="ListParagraph"/>
        <w:numPr>
          <w:ilvl w:val="0"/>
          <w:numId w:val="35"/>
        </w:numPr>
        <w:jc w:val="both"/>
      </w:pPr>
      <w:r>
        <w:t>Removal of</w:t>
      </w:r>
      <w:r w:rsidR="005E4B8C">
        <w:t xml:space="preserve"> the word ‘obtained’ within 5.9.4 of TPB Section M and to replace it with </w:t>
      </w:r>
      <w:r w:rsidR="00110945">
        <w:t xml:space="preserve">the word </w:t>
      </w:r>
      <w:r w:rsidR="00C629C2">
        <w:t>‘Required’</w:t>
      </w:r>
      <w:r w:rsidR="00110945">
        <w:t>,</w:t>
      </w:r>
      <w:r w:rsidR="00C629C2">
        <w:t xml:space="preserve"> </w:t>
      </w:r>
      <w:r w:rsidR="007C3906">
        <w:t>to</w:t>
      </w:r>
      <w:r w:rsidR="005F0B37">
        <w:t xml:space="preserve"> facilitate an associated </w:t>
      </w:r>
      <w:r w:rsidR="00D54FFE">
        <w:t xml:space="preserve">read submission </w:t>
      </w:r>
      <w:r w:rsidR="005F0B37">
        <w:t xml:space="preserve">reporting </w:t>
      </w:r>
      <w:r w:rsidR="00110945">
        <w:t xml:space="preserve">requirement. </w:t>
      </w:r>
    </w:p>
    <w:p w14:paraId="30F05F5D" w14:textId="5E85EFCB" w:rsidR="00B71BB9" w:rsidRDefault="00D54FFE" w:rsidP="008E1ABD">
      <w:pPr>
        <w:jc w:val="both"/>
      </w:pPr>
      <w:r>
        <w:t>The Proposer also considered that the Workgrou</w:t>
      </w:r>
      <w:r w:rsidR="008E1ABD">
        <w:t xml:space="preserve">p review could be </w:t>
      </w:r>
      <w:r w:rsidR="008247A9">
        <w:t>closed</w:t>
      </w:r>
      <w:r w:rsidR="008E1ABD">
        <w:t xml:space="preserve">. </w:t>
      </w:r>
    </w:p>
    <w:p w14:paraId="4A7BC587" w14:textId="7B96855F" w:rsidR="008247A9" w:rsidRDefault="008247A9" w:rsidP="008E1ABD">
      <w:pPr>
        <w:jc w:val="both"/>
      </w:pPr>
      <w:r>
        <w:t xml:space="preserve">One Workgroup participant noted that </w:t>
      </w:r>
      <w:r w:rsidR="00FB339C">
        <w:t xml:space="preserve">they intended to raise an </w:t>
      </w:r>
      <w:r w:rsidR="00BE0CCB">
        <w:t>a</w:t>
      </w:r>
      <w:r w:rsidR="00FB339C">
        <w:t>lternative Modification</w:t>
      </w:r>
      <w:r w:rsidR="00F86A96">
        <w:t xml:space="preserve">, proposing </w:t>
      </w:r>
      <w:r w:rsidR="00C00D01">
        <w:t xml:space="preserve">staggered read submission benchmarks at </w:t>
      </w:r>
      <w:r w:rsidR="00B61BD2">
        <w:t xml:space="preserve">10, 25, and 45 SPBDs, </w:t>
      </w:r>
      <w:r w:rsidR="000401D9">
        <w:t>but otherwise identical</w:t>
      </w:r>
      <w:r w:rsidR="004A5DC3">
        <w:t xml:space="preserve">, </w:t>
      </w:r>
      <w:r w:rsidR="000C2098">
        <w:t>noting that extending the window to 45 days on the basis that it would be unlikely to have any material impact on the volumes of valid meter readings that are being submitted within the 10 days but may allow for an increased volume of reads to be submitted (or resubmitted) beyond the current 25 days.</w:t>
      </w:r>
    </w:p>
    <w:p w14:paraId="69E76A1D" w14:textId="3EDC0A7A" w:rsidR="00A85D94" w:rsidRPr="00326B80" w:rsidRDefault="00A85D94" w:rsidP="00A85D94">
      <w:pPr>
        <w:jc w:val="both"/>
        <w:rPr>
          <w:rFonts w:cs="Arial"/>
        </w:rPr>
      </w:pPr>
      <w:r>
        <w:rPr>
          <w:szCs w:val="16"/>
        </w:rPr>
        <w:t>Please refer to the Workgroup meeting minutes and Workgroup material for further information on discussions held to consider the Request and the development of the new Modification:</w:t>
      </w:r>
    </w:p>
    <w:p w14:paraId="6DDEBA5E" w14:textId="77777777" w:rsidR="00A85D94" w:rsidRDefault="00586A41" w:rsidP="00A85D94">
      <w:pPr>
        <w:jc w:val="both"/>
        <w:rPr>
          <w:rFonts w:cs="Arial"/>
        </w:rPr>
      </w:pPr>
      <w:hyperlink r:id="rId29" w:history="1">
        <w:r w:rsidR="00A85D94">
          <w:rPr>
            <w:rStyle w:val="Hyperlink"/>
            <w:rFonts w:cs="Arial"/>
          </w:rPr>
          <w:t>Workgroup Meeting 23 November 2023</w:t>
        </w:r>
      </w:hyperlink>
    </w:p>
    <w:p w14:paraId="14A08E34" w14:textId="77777777" w:rsidR="00A85D94" w:rsidRDefault="00586A41" w:rsidP="00A85D94">
      <w:pPr>
        <w:jc w:val="both"/>
        <w:rPr>
          <w:rFonts w:cs="Arial"/>
        </w:rPr>
      </w:pPr>
      <w:hyperlink r:id="rId30" w:history="1">
        <w:r w:rsidR="00A85D94">
          <w:rPr>
            <w:rStyle w:val="Hyperlink"/>
            <w:rFonts w:cs="Arial"/>
          </w:rPr>
          <w:t>Workgroup Meeting 11 December 2023</w:t>
        </w:r>
      </w:hyperlink>
    </w:p>
    <w:p w14:paraId="6E7C23A6" w14:textId="77777777" w:rsidR="00A85D94" w:rsidRDefault="00586A41" w:rsidP="00A85D94">
      <w:pPr>
        <w:jc w:val="both"/>
        <w:rPr>
          <w:rFonts w:cs="Arial"/>
        </w:rPr>
      </w:pPr>
      <w:hyperlink r:id="rId31" w:history="1">
        <w:r w:rsidR="00A85D94">
          <w:rPr>
            <w:rStyle w:val="Hyperlink"/>
            <w:rFonts w:cs="Arial"/>
          </w:rPr>
          <w:t>Workgroup Meeting 25 January 2024</w:t>
        </w:r>
      </w:hyperlink>
    </w:p>
    <w:p w14:paraId="2B709170" w14:textId="77777777" w:rsidR="00A85D94" w:rsidRDefault="00586A41" w:rsidP="00A85D94">
      <w:pPr>
        <w:jc w:val="both"/>
        <w:rPr>
          <w:rFonts w:cs="Arial"/>
        </w:rPr>
      </w:pPr>
      <w:hyperlink r:id="rId32" w:history="1">
        <w:r w:rsidR="00A85D94">
          <w:rPr>
            <w:rStyle w:val="Hyperlink"/>
            <w:rFonts w:cs="Arial"/>
          </w:rPr>
          <w:t>Workgroup Meeting 22 February 2024</w:t>
        </w:r>
      </w:hyperlink>
    </w:p>
    <w:p w14:paraId="18885287" w14:textId="77777777" w:rsidR="00A85D94" w:rsidRDefault="00586A41" w:rsidP="00A85D94">
      <w:pPr>
        <w:jc w:val="both"/>
        <w:rPr>
          <w:rFonts w:cs="Arial"/>
        </w:rPr>
      </w:pPr>
      <w:hyperlink r:id="rId33" w:history="1">
        <w:r w:rsidR="00A85D94">
          <w:rPr>
            <w:rStyle w:val="Hyperlink"/>
            <w:rFonts w:cs="Arial"/>
          </w:rPr>
          <w:t>Workgroup Meeting 28 March 2024</w:t>
        </w:r>
      </w:hyperlink>
    </w:p>
    <w:p w14:paraId="40D2BA8B" w14:textId="77777777" w:rsidR="00A85D94" w:rsidRDefault="00586A41" w:rsidP="00A85D94">
      <w:pPr>
        <w:jc w:val="both"/>
        <w:rPr>
          <w:rFonts w:cs="Arial"/>
        </w:rPr>
      </w:pPr>
      <w:hyperlink r:id="rId34" w:history="1">
        <w:r w:rsidR="00A85D94">
          <w:rPr>
            <w:rStyle w:val="Hyperlink"/>
            <w:rFonts w:cs="Arial"/>
          </w:rPr>
          <w:t>Workgroup Meeting 23 May 2024</w:t>
        </w:r>
      </w:hyperlink>
    </w:p>
    <w:p w14:paraId="47A55C27" w14:textId="1B35616E" w:rsidR="00450502" w:rsidRPr="00E12D14" w:rsidRDefault="00450502" w:rsidP="00450502">
      <w:pPr>
        <w:rPr>
          <w:rFonts w:cs="Arial"/>
        </w:rPr>
      </w:pPr>
      <w:r w:rsidRPr="00E12D14">
        <w:rPr>
          <w:rFonts w:cs="Arial"/>
        </w:rPr>
        <w:t>.</w:t>
      </w:r>
    </w:p>
    <w:bookmarkEnd w:id="5"/>
    <w:p w14:paraId="067D42AC" w14:textId="77777777" w:rsidR="00973A36" w:rsidRPr="00326B80" w:rsidRDefault="00973A36" w:rsidP="005B378E">
      <w:pPr>
        <w:pStyle w:val="BodyText"/>
        <w:rPr>
          <w:rFonts w:cs="Arial"/>
        </w:rPr>
        <w:sectPr w:rsidR="00973A36" w:rsidRPr="00326B80" w:rsidSect="001F66A7">
          <w:headerReference w:type="default" r:id="rId35"/>
          <w:footerReference w:type="even" r:id="rId36"/>
          <w:footerReference w:type="default" r:id="rId37"/>
          <w:headerReference w:type="first" r:id="rId38"/>
          <w:pgSz w:w="11906" w:h="16838" w:code="9"/>
          <w:pgMar w:top="1134" w:right="849" w:bottom="567" w:left="993" w:header="284" w:footer="567" w:gutter="0"/>
          <w:cols w:space="708"/>
          <w:docGrid w:linePitch="360"/>
        </w:sectPr>
      </w:pPr>
    </w:p>
    <w:p w14:paraId="0E736175" w14:textId="77777777" w:rsidR="00F007A0" w:rsidRPr="00326B80" w:rsidRDefault="001B710F" w:rsidP="0069079F">
      <w:pPr>
        <w:pStyle w:val="Heading02"/>
      </w:pPr>
      <w:bookmarkStart w:id="6" w:name="_Toc174692133"/>
      <w:bookmarkStart w:id="7" w:name="_Toc169177133"/>
      <w:r>
        <w:t>Terms of Reference</w:t>
      </w:r>
      <w:bookmarkEnd w:id="6"/>
      <w:bookmarkEnd w:id="7"/>
    </w:p>
    <w:p w14:paraId="04D3E823" w14:textId="77777777" w:rsidR="00FB2CD8" w:rsidRPr="00326B80" w:rsidRDefault="002C5C6D" w:rsidP="002205EE">
      <w:pPr>
        <w:pStyle w:val="Heading4"/>
        <w:numPr>
          <w:ilvl w:val="0"/>
          <w:numId w:val="0"/>
        </w:numPr>
        <w:spacing w:before="120"/>
        <w:ind w:left="864" w:hanging="864"/>
        <w:rPr>
          <w:rFonts w:ascii="Arial" w:hAnsi="Arial" w:cs="Arial"/>
          <w:b w:val="0"/>
          <w:i w:val="0"/>
          <w:color w:val="000000"/>
        </w:rPr>
      </w:pPr>
      <w:r w:rsidRPr="00326B80">
        <w:rPr>
          <w:rFonts w:ascii="Arial" w:eastAsia="Times New Roman" w:hAnsi="Arial" w:cs="Arial"/>
          <w:i w:val="0"/>
          <w:iCs w:val="0"/>
          <w:color w:val="008576"/>
          <w:sz w:val="24"/>
          <w:szCs w:val="28"/>
        </w:rPr>
        <w:t>Topics for Discussion</w:t>
      </w:r>
    </w:p>
    <w:p w14:paraId="26799F89" w14:textId="3FB719BF" w:rsidR="002C5C6D" w:rsidRDefault="002C5C6D" w:rsidP="00FB49D0">
      <w:pPr>
        <w:pStyle w:val="ListNumber"/>
        <w:numPr>
          <w:ilvl w:val="0"/>
          <w:numId w:val="20"/>
        </w:numPr>
        <w:spacing w:before="0" w:after="0"/>
        <w:ind w:left="720"/>
        <w:jc w:val="both"/>
        <w:rPr>
          <w:b/>
          <w:bCs/>
          <w:i/>
          <w:iCs/>
          <w:lang w:eastAsia="en-US"/>
        </w:rPr>
      </w:pPr>
      <w:r w:rsidRPr="39D899CA">
        <w:rPr>
          <w:lang w:eastAsia="en-US"/>
        </w:rPr>
        <w:t xml:space="preserve">Understanding the objective </w:t>
      </w:r>
      <w:r w:rsidR="005938F8" w:rsidRPr="39D899CA">
        <w:rPr>
          <w:lang w:eastAsia="en-US"/>
        </w:rPr>
        <w:t>(Why Change?)</w:t>
      </w:r>
    </w:p>
    <w:p w14:paraId="6FB27585" w14:textId="65A376B1" w:rsidR="002C5C6D" w:rsidRPr="00EE6E87" w:rsidRDefault="002C5C6D" w:rsidP="3780501F">
      <w:pPr>
        <w:pStyle w:val="ListNumber"/>
        <w:numPr>
          <w:ilvl w:val="0"/>
          <w:numId w:val="20"/>
        </w:numPr>
        <w:spacing w:before="0" w:after="0"/>
        <w:ind w:left="720"/>
        <w:jc w:val="both"/>
        <w:rPr>
          <w:b/>
          <w:bCs/>
          <w:i/>
          <w:iCs/>
          <w:lang w:eastAsia="en-US"/>
        </w:rPr>
      </w:pPr>
      <w:r w:rsidRPr="3780501F">
        <w:rPr>
          <w:lang w:eastAsia="en-US"/>
        </w:rPr>
        <w:t xml:space="preserve">Assessment of alternative means to achieve </w:t>
      </w:r>
      <w:r w:rsidR="00C30A2D" w:rsidRPr="3780501F">
        <w:rPr>
          <w:lang w:eastAsia="en-US"/>
        </w:rPr>
        <w:t xml:space="preserve">the </w:t>
      </w:r>
      <w:r w:rsidRPr="3780501F">
        <w:rPr>
          <w:lang w:eastAsia="en-US"/>
        </w:rPr>
        <w:t xml:space="preserve">objective </w:t>
      </w:r>
    </w:p>
    <w:p w14:paraId="2C537152" w14:textId="77777777" w:rsidR="002C5C6D" w:rsidRDefault="002C5C6D" w:rsidP="00FB49D0">
      <w:pPr>
        <w:pStyle w:val="ListNumber"/>
        <w:numPr>
          <w:ilvl w:val="0"/>
          <w:numId w:val="20"/>
        </w:numPr>
        <w:spacing w:before="0" w:after="0"/>
        <w:ind w:left="720"/>
        <w:jc w:val="both"/>
        <w:rPr>
          <w:lang w:eastAsia="en-US"/>
        </w:rPr>
      </w:pPr>
      <w:r w:rsidRPr="00EE6E87">
        <w:rPr>
          <w:lang w:eastAsia="en-US"/>
        </w:rPr>
        <w:t xml:space="preserve">Development of Solution (including business rules if appropriate) </w:t>
      </w:r>
    </w:p>
    <w:p w14:paraId="386BB380" w14:textId="34C5DD68" w:rsidR="0040711D" w:rsidRPr="00EE6E87" w:rsidRDefault="0040711D" w:rsidP="00FB49D0">
      <w:pPr>
        <w:pStyle w:val="ListNumber"/>
        <w:numPr>
          <w:ilvl w:val="0"/>
          <w:numId w:val="20"/>
        </w:numPr>
        <w:spacing w:before="0" w:after="0"/>
        <w:ind w:left="720"/>
        <w:jc w:val="both"/>
        <w:rPr>
          <w:lang w:eastAsia="en-US"/>
        </w:rPr>
      </w:pPr>
      <w:r w:rsidRPr="3780501F">
        <w:rPr>
          <w:lang w:eastAsia="en-US"/>
        </w:rPr>
        <w:t xml:space="preserve">Assessment of </w:t>
      </w:r>
      <w:r w:rsidR="00C30A2D" w:rsidRPr="3780501F">
        <w:rPr>
          <w:lang w:eastAsia="en-US"/>
        </w:rPr>
        <w:t>Code-Specific</w:t>
      </w:r>
      <w:r w:rsidRPr="3780501F">
        <w:rPr>
          <w:lang w:eastAsia="en-US"/>
        </w:rPr>
        <w:t xml:space="preserve"> Matters</w:t>
      </w:r>
    </w:p>
    <w:p w14:paraId="16D216FC" w14:textId="77777777" w:rsidR="0040711D" w:rsidRPr="00EE6E87" w:rsidRDefault="0040711D" w:rsidP="00FB49D0">
      <w:pPr>
        <w:pStyle w:val="ListNumber"/>
        <w:numPr>
          <w:ilvl w:val="0"/>
          <w:numId w:val="20"/>
        </w:numPr>
        <w:spacing w:before="0" w:after="0"/>
        <w:ind w:left="720"/>
        <w:jc w:val="both"/>
        <w:rPr>
          <w:lang w:eastAsia="en-US"/>
        </w:rPr>
      </w:pPr>
      <w:r w:rsidRPr="00EE6E87">
        <w:rPr>
          <w:lang w:eastAsia="en-US"/>
        </w:rPr>
        <w:t xml:space="preserve">Assessment of the Solution (including business rules if appropriate) </w:t>
      </w:r>
    </w:p>
    <w:p w14:paraId="14C88117" w14:textId="4702C701" w:rsidR="0040711D" w:rsidRDefault="0040711D" w:rsidP="00FB49D0">
      <w:pPr>
        <w:pStyle w:val="ListNumber"/>
        <w:numPr>
          <w:ilvl w:val="0"/>
          <w:numId w:val="20"/>
        </w:numPr>
        <w:spacing w:before="0" w:after="0"/>
        <w:ind w:left="720"/>
        <w:jc w:val="both"/>
        <w:rPr>
          <w:lang w:eastAsia="en-US"/>
        </w:rPr>
      </w:pPr>
      <w:r w:rsidRPr="00EE6E87">
        <w:rPr>
          <w:lang w:eastAsia="en-US"/>
        </w:rPr>
        <w:t>Assessment of impacts</w:t>
      </w:r>
      <w:r w:rsidR="00925035">
        <w:rPr>
          <w:lang w:eastAsia="en-US"/>
        </w:rPr>
        <w:t xml:space="preserve"> of the </w:t>
      </w:r>
      <w:r w:rsidR="00A96373">
        <w:rPr>
          <w:lang w:eastAsia="en-US"/>
        </w:rPr>
        <w:t>Request</w:t>
      </w:r>
      <w:r w:rsidRPr="00EE6E87">
        <w:rPr>
          <w:lang w:eastAsia="en-US"/>
        </w:rPr>
        <w:t>, including but not limited to Consumer and System Impacts</w:t>
      </w:r>
    </w:p>
    <w:p w14:paraId="3EAA5771" w14:textId="77777777" w:rsidR="009841E7" w:rsidRPr="00EE6E87" w:rsidRDefault="009841E7" w:rsidP="00FB49D0">
      <w:pPr>
        <w:pStyle w:val="ListNumber"/>
        <w:numPr>
          <w:ilvl w:val="0"/>
          <w:numId w:val="20"/>
        </w:numPr>
        <w:spacing w:before="0" w:after="0"/>
        <w:ind w:left="720"/>
        <w:jc w:val="both"/>
        <w:rPr>
          <w:lang w:eastAsia="en-US"/>
        </w:rPr>
      </w:pPr>
      <w:r w:rsidRPr="00EE6E87">
        <w:rPr>
          <w:lang w:eastAsia="en-US"/>
        </w:rPr>
        <w:t>Identification of potential impacts on other energy codes</w:t>
      </w:r>
    </w:p>
    <w:p w14:paraId="27E955CE" w14:textId="77777777" w:rsidR="009841E7" w:rsidRPr="00EE6E87" w:rsidRDefault="009841E7" w:rsidP="00FB49D0">
      <w:pPr>
        <w:pStyle w:val="ListNumber"/>
        <w:numPr>
          <w:ilvl w:val="0"/>
          <w:numId w:val="20"/>
        </w:numPr>
        <w:spacing w:before="0" w:after="0"/>
        <w:ind w:left="720"/>
        <w:jc w:val="both"/>
        <w:rPr>
          <w:lang w:eastAsia="en-US"/>
        </w:rPr>
      </w:pPr>
      <w:r w:rsidRPr="00EE6E87">
        <w:rPr>
          <w:lang w:eastAsia="en-US"/>
        </w:rPr>
        <w:t>Consideration of potential performance assurance impacts</w:t>
      </w:r>
    </w:p>
    <w:p w14:paraId="60841A8B" w14:textId="77777777" w:rsidR="002C5C6D" w:rsidRPr="00EE6E87" w:rsidRDefault="002C5C6D" w:rsidP="00FB49D0">
      <w:pPr>
        <w:pStyle w:val="ListNumber"/>
        <w:numPr>
          <w:ilvl w:val="0"/>
          <w:numId w:val="20"/>
        </w:numPr>
        <w:spacing w:before="0" w:after="0"/>
        <w:ind w:left="720"/>
        <w:jc w:val="both"/>
        <w:rPr>
          <w:b/>
          <w:i/>
          <w:lang w:eastAsia="en-US"/>
        </w:rPr>
      </w:pPr>
      <w:r w:rsidRPr="00EE6E87">
        <w:rPr>
          <w:lang w:eastAsia="en-US"/>
        </w:rPr>
        <w:t xml:space="preserve">Assessment of implementation costs </w:t>
      </w:r>
      <w:r w:rsidR="00FB2CD8" w:rsidRPr="00EE6E87">
        <w:rPr>
          <w:lang w:eastAsia="en-US"/>
        </w:rPr>
        <w:t>of any solution identified during the Request</w:t>
      </w:r>
    </w:p>
    <w:p w14:paraId="2FD15E57" w14:textId="77777777" w:rsidR="003C7DC9" w:rsidRPr="00326B80" w:rsidRDefault="002C5C6D" w:rsidP="00FB49D0">
      <w:pPr>
        <w:pStyle w:val="Heading4"/>
        <w:keepLines w:val="0"/>
        <w:numPr>
          <w:ilvl w:val="0"/>
          <w:numId w:val="0"/>
        </w:numPr>
        <w:spacing w:before="120"/>
        <w:jc w:val="both"/>
        <w:rPr>
          <w:rFonts w:ascii="Arial" w:eastAsia="Times New Roman" w:hAnsi="Arial" w:cs="Arial"/>
          <w:i w:val="0"/>
          <w:iCs w:val="0"/>
          <w:color w:val="008576"/>
          <w:sz w:val="24"/>
          <w:szCs w:val="28"/>
        </w:rPr>
      </w:pPr>
      <w:r w:rsidRPr="00326B80">
        <w:rPr>
          <w:rFonts w:ascii="Arial" w:eastAsia="Times New Roman" w:hAnsi="Arial" w:cs="Arial"/>
          <w:i w:val="0"/>
          <w:iCs w:val="0"/>
          <w:color w:val="008576"/>
          <w:sz w:val="24"/>
          <w:szCs w:val="28"/>
        </w:rPr>
        <w:lastRenderedPageBreak/>
        <w:t>Outputs</w:t>
      </w:r>
    </w:p>
    <w:p w14:paraId="0E1CFC43" w14:textId="0B3E9501" w:rsidR="002205EE" w:rsidRDefault="003C7DC9" w:rsidP="00183593">
      <w:pPr>
        <w:pStyle w:val="Heading4"/>
        <w:keepLines w:val="0"/>
        <w:numPr>
          <w:ilvl w:val="0"/>
          <w:numId w:val="0"/>
        </w:numPr>
        <w:spacing w:before="0" w:after="0" w:line="240" w:lineRule="auto"/>
        <w:jc w:val="both"/>
        <w:rPr>
          <w:rFonts w:ascii="Arial" w:eastAsia="Times New Roman" w:hAnsi="Arial" w:cs="Arial"/>
          <w:b w:val="0"/>
          <w:iCs w:val="0"/>
          <w:color w:val="000000"/>
        </w:rPr>
      </w:pPr>
      <w:r w:rsidRPr="002205EE">
        <w:rPr>
          <w:rFonts w:ascii="Arial" w:eastAsia="Times New Roman" w:hAnsi="Arial"/>
          <w:b w:val="0"/>
          <w:bCs w:val="0"/>
          <w:i w:val="0"/>
          <w:iCs w:val="0"/>
          <w:color w:val="auto"/>
        </w:rPr>
        <w:t xml:space="preserve">Produce a Workgroup Report for submission </w:t>
      </w:r>
      <w:r w:rsidR="0063299B" w:rsidRPr="0063299B">
        <w:rPr>
          <w:rFonts w:ascii="Arial" w:eastAsia="Times New Roman" w:hAnsi="Arial"/>
          <w:b w:val="0"/>
          <w:bCs w:val="0"/>
          <w:i w:val="0"/>
          <w:iCs w:val="0"/>
          <w:color w:val="auto"/>
        </w:rPr>
        <w:t xml:space="preserve">to </w:t>
      </w:r>
      <w:r w:rsidR="0063299B" w:rsidRPr="00E85160">
        <w:rPr>
          <w:rFonts w:ascii="Arial" w:eastAsia="Times New Roman" w:hAnsi="Arial"/>
          <w:b w:val="0"/>
          <w:bCs w:val="0"/>
          <w:i w:val="0"/>
          <w:iCs w:val="0"/>
          <w:color w:val="auto"/>
        </w:rPr>
        <w:t xml:space="preserve">the </w:t>
      </w:r>
      <w:r w:rsidR="001F04F7">
        <w:rPr>
          <w:rFonts w:ascii="Arial" w:eastAsia="Times New Roman" w:hAnsi="Arial"/>
          <w:b w:val="0"/>
          <w:bCs w:val="0"/>
          <w:i w:val="0"/>
          <w:iCs w:val="0"/>
          <w:color w:val="auto"/>
        </w:rPr>
        <w:t xml:space="preserve">UNC </w:t>
      </w:r>
      <w:r w:rsidR="0063299B" w:rsidRPr="00E85160">
        <w:rPr>
          <w:rFonts w:ascii="Arial" w:eastAsia="Times New Roman" w:hAnsi="Arial"/>
          <w:b w:val="0"/>
          <w:bCs w:val="0"/>
          <w:i w:val="0"/>
          <w:iCs w:val="0"/>
          <w:color w:val="auto"/>
        </w:rPr>
        <w:t>Modification Panel</w:t>
      </w:r>
      <w:r w:rsidR="00E85160" w:rsidRPr="00E85160">
        <w:rPr>
          <w:rFonts w:ascii="Arial" w:eastAsia="Times New Roman" w:hAnsi="Arial"/>
          <w:b w:val="0"/>
          <w:bCs w:val="0"/>
          <w:i w:val="0"/>
          <w:iCs w:val="0"/>
          <w:color w:val="auto"/>
        </w:rPr>
        <w:t xml:space="preserve">, </w:t>
      </w:r>
      <w:r w:rsidRPr="00E85160">
        <w:rPr>
          <w:rFonts w:ascii="Arial" w:eastAsia="Times New Roman" w:hAnsi="Arial"/>
          <w:b w:val="0"/>
          <w:bCs w:val="0"/>
          <w:i w:val="0"/>
          <w:iCs w:val="0"/>
          <w:color w:val="auto"/>
        </w:rPr>
        <w:t>containing</w:t>
      </w:r>
      <w:r w:rsidRPr="002205EE">
        <w:rPr>
          <w:rFonts w:ascii="Arial" w:eastAsia="Times New Roman" w:hAnsi="Arial"/>
          <w:b w:val="0"/>
          <w:bCs w:val="0"/>
          <w:i w:val="0"/>
          <w:iCs w:val="0"/>
          <w:color w:val="auto"/>
        </w:rPr>
        <w:t xml:space="preserve"> the assessment and recommendations of the Workgroup</w:t>
      </w:r>
      <w:r w:rsidR="00863E0B" w:rsidRPr="002205EE">
        <w:rPr>
          <w:rFonts w:ascii="Arial" w:eastAsia="Times New Roman" w:hAnsi="Arial"/>
          <w:b w:val="0"/>
          <w:bCs w:val="0"/>
          <w:i w:val="0"/>
          <w:iCs w:val="0"/>
          <w:color w:val="auto"/>
        </w:rPr>
        <w:t xml:space="preserve"> including a draft </w:t>
      </w:r>
      <w:r w:rsidR="00E85160">
        <w:rPr>
          <w:rFonts w:ascii="Arial" w:eastAsia="Times New Roman" w:hAnsi="Arial"/>
          <w:b w:val="0"/>
          <w:bCs w:val="0"/>
          <w:i w:val="0"/>
          <w:iCs w:val="0"/>
          <w:color w:val="auto"/>
        </w:rPr>
        <w:t>M</w:t>
      </w:r>
      <w:r w:rsidR="00863E0B" w:rsidRPr="002205EE">
        <w:rPr>
          <w:rFonts w:ascii="Arial" w:eastAsia="Times New Roman" w:hAnsi="Arial"/>
          <w:b w:val="0"/>
          <w:bCs w:val="0"/>
          <w:i w:val="0"/>
          <w:iCs w:val="0"/>
          <w:color w:val="auto"/>
        </w:rPr>
        <w:t>odification where appropriate</w:t>
      </w:r>
      <w:r w:rsidRPr="002205EE">
        <w:rPr>
          <w:rFonts w:ascii="Arial" w:eastAsia="Times New Roman" w:hAnsi="Arial"/>
          <w:b w:val="0"/>
          <w:bCs w:val="0"/>
          <w:i w:val="0"/>
          <w:iCs w:val="0"/>
          <w:color w:val="auto"/>
        </w:rPr>
        <w:t>.</w:t>
      </w:r>
    </w:p>
    <w:p w14:paraId="090642DA" w14:textId="7A9C39B0" w:rsidR="002205EE" w:rsidRDefault="002C5C6D" w:rsidP="00FB49D0">
      <w:pPr>
        <w:pStyle w:val="Heading4"/>
        <w:keepLines w:val="0"/>
        <w:numPr>
          <w:ilvl w:val="0"/>
          <w:numId w:val="0"/>
        </w:numPr>
        <w:tabs>
          <w:tab w:val="left" w:pos="7276"/>
        </w:tabs>
        <w:spacing w:before="120"/>
        <w:jc w:val="both"/>
        <w:rPr>
          <w:rFonts w:ascii="Arial" w:eastAsia="Times New Roman" w:hAnsi="Arial" w:cs="Arial"/>
          <w:i w:val="0"/>
          <w:iCs w:val="0"/>
          <w:color w:val="008576"/>
          <w:sz w:val="24"/>
          <w:szCs w:val="28"/>
        </w:rPr>
      </w:pPr>
      <w:r w:rsidRPr="002205EE">
        <w:rPr>
          <w:rFonts w:ascii="Arial" w:eastAsia="Times New Roman" w:hAnsi="Arial" w:cs="Arial"/>
          <w:i w:val="0"/>
          <w:iCs w:val="0"/>
          <w:color w:val="008576"/>
          <w:sz w:val="24"/>
          <w:szCs w:val="28"/>
        </w:rPr>
        <w:t>Composition of Workgroup</w:t>
      </w:r>
      <w:r w:rsidR="00F34D43">
        <w:rPr>
          <w:rFonts w:ascii="Arial" w:eastAsia="Times New Roman" w:hAnsi="Arial" w:cs="Arial"/>
          <w:i w:val="0"/>
          <w:iCs w:val="0"/>
          <w:color w:val="008576"/>
          <w:sz w:val="24"/>
          <w:szCs w:val="28"/>
        </w:rPr>
        <w:tab/>
      </w:r>
    </w:p>
    <w:p w14:paraId="503F54A0" w14:textId="77777777" w:rsidR="002205EE" w:rsidRDefault="00980C08" w:rsidP="00C30A2D">
      <w:pPr>
        <w:pStyle w:val="Heading4"/>
        <w:keepLines w:val="0"/>
        <w:numPr>
          <w:ilvl w:val="0"/>
          <w:numId w:val="0"/>
        </w:numPr>
        <w:spacing w:before="120"/>
        <w:jc w:val="both"/>
        <w:rPr>
          <w:rFonts w:ascii="Arial" w:eastAsia="Times New Roman" w:hAnsi="Arial"/>
          <w:b w:val="0"/>
          <w:bCs w:val="0"/>
          <w:i w:val="0"/>
          <w:iCs w:val="0"/>
          <w:color w:val="auto"/>
        </w:rPr>
      </w:pPr>
      <w:r w:rsidRPr="002205EE">
        <w:rPr>
          <w:rFonts w:ascii="Arial" w:eastAsia="Times New Roman" w:hAnsi="Arial"/>
          <w:b w:val="0"/>
          <w:bCs w:val="0"/>
          <w:i w:val="0"/>
          <w:iCs w:val="0"/>
          <w:color w:val="auto"/>
        </w:rPr>
        <w:t>The Workgroup is open to any party that wishes to attend or participate.</w:t>
      </w:r>
    </w:p>
    <w:p w14:paraId="289E5724" w14:textId="77777777" w:rsidR="002205EE" w:rsidRPr="002205EE" w:rsidRDefault="00980C08" w:rsidP="00211713">
      <w:pPr>
        <w:pStyle w:val="Heading4"/>
        <w:keepLines w:val="0"/>
        <w:numPr>
          <w:ilvl w:val="0"/>
          <w:numId w:val="0"/>
        </w:numPr>
        <w:spacing w:before="120"/>
        <w:jc w:val="both"/>
        <w:rPr>
          <w:rFonts w:ascii="Arial" w:eastAsia="Times New Roman" w:hAnsi="Arial"/>
          <w:b w:val="0"/>
          <w:bCs w:val="0"/>
          <w:i w:val="0"/>
          <w:iCs w:val="0"/>
          <w:color w:val="auto"/>
        </w:rPr>
      </w:pPr>
      <w:r w:rsidRPr="002205EE">
        <w:rPr>
          <w:rFonts w:ascii="Arial" w:eastAsia="Times New Roman" w:hAnsi="Arial"/>
          <w:b w:val="0"/>
          <w:bCs w:val="0"/>
          <w:i w:val="0"/>
          <w:iCs w:val="0"/>
          <w:color w:val="auto"/>
        </w:rPr>
        <w:t>A Workgroup meeting will be quorate provided at least two Transporter and two User representatives are present.</w:t>
      </w:r>
    </w:p>
    <w:p w14:paraId="5D81D1D3" w14:textId="77777777" w:rsidR="002205EE" w:rsidRDefault="002C5C6D" w:rsidP="3780501F">
      <w:pPr>
        <w:jc w:val="both"/>
        <w:rPr>
          <w:rFonts w:cs="Arial"/>
          <w:i/>
          <w:iCs/>
          <w:color w:val="008576"/>
        </w:rPr>
      </w:pPr>
      <w:r w:rsidRPr="3780501F">
        <w:rPr>
          <w:b/>
          <w:bCs/>
          <w:color w:val="008576"/>
          <w:sz w:val="24"/>
          <w:szCs w:val="24"/>
        </w:rPr>
        <w:t>Meeting Arrangements</w:t>
      </w:r>
    </w:p>
    <w:p w14:paraId="585B6C02" w14:textId="63A98C9C" w:rsidR="002C5C6D" w:rsidRDefault="00980C08" w:rsidP="00C30A2D">
      <w:pPr>
        <w:jc w:val="both"/>
      </w:pPr>
      <w:r w:rsidRPr="00B24F0D">
        <w:t>Meetings will be administered by the Joint Office and conducted in accordance with the Code Administration Code of Practice</w:t>
      </w:r>
      <w:r w:rsidR="004B34C5">
        <w:t xml:space="preserve"> </w:t>
      </w:r>
      <w:r w:rsidR="004B34C5" w:rsidRPr="004B34C5">
        <w:t>(</w:t>
      </w:r>
      <w:hyperlink r:id="rId39" w:history="1">
        <w:r w:rsidR="004B34C5" w:rsidRPr="004B34C5">
          <w:rPr>
            <w:rStyle w:val="Hyperlink"/>
          </w:rPr>
          <w:t>https://www.gasgovernance.co.uk/cacop</w:t>
        </w:r>
      </w:hyperlink>
      <w:r w:rsidR="004B34C5">
        <w:t>)</w:t>
      </w:r>
    </w:p>
    <w:p w14:paraId="79592A87" w14:textId="77777777" w:rsidR="0069079F" w:rsidRPr="00326B80" w:rsidRDefault="0069079F" w:rsidP="0078013C">
      <w:pPr>
        <w:pStyle w:val="Heading02"/>
        <w:spacing w:before="360"/>
      </w:pPr>
      <w:bookmarkStart w:id="8" w:name="_Toc83809462"/>
      <w:bookmarkStart w:id="9" w:name="_Toc103242897"/>
      <w:bookmarkStart w:id="10" w:name="_Toc169177134"/>
      <w:r>
        <w:t>Modification(s)</w:t>
      </w:r>
      <w:bookmarkEnd w:id="8"/>
      <w:bookmarkEnd w:id="9"/>
      <w:bookmarkEnd w:id="10"/>
    </w:p>
    <w:p w14:paraId="51D5BF49" w14:textId="66365D0D" w:rsidR="0069079F" w:rsidRDefault="003C6E14" w:rsidP="0078013C">
      <w:r>
        <w:t xml:space="preserve">New Modification </w:t>
      </w:r>
      <w:r w:rsidR="0078013C" w:rsidRPr="0078013C">
        <w:t>0884 - Extending the PC4 Read Submission Window</w:t>
      </w:r>
      <w:r w:rsidR="0078013C">
        <w:t>, has been raised (</w:t>
      </w:r>
      <w:hyperlink r:id="rId40" w:history="1">
        <w:r w:rsidR="005E51E6" w:rsidRPr="0063453A">
          <w:rPr>
            <w:rStyle w:val="Hyperlink"/>
          </w:rPr>
          <w:t>https://www.gasgovernance.co.uk/0884</w:t>
        </w:r>
      </w:hyperlink>
      <w:r w:rsidR="005E51E6">
        <w:t xml:space="preserve"> </w:t>
      </w:r>
      <w:r w:rsidR="0078013C">
        <w:t>)</w:t>
      </w:r>
      <w:r w:rsidR="008C52AC">
        <w:t xml:space="preserve"> </w:t>
      </w:r>
      <w:r w:rsidR="0078013C">
        <w:t xml:space="preserve">and </w:t>
      </w:r>
      <w:r w:rsidR="00DA2D2B">
        <w:t>was considered by</w:t>
      </w:r>
      <w:r w:rsidR="008C52AC">
        <w:t xml:space="preserve"> </w:t>
      </w:r>
      <w:r w:rsidR="00971E67">
        <w:t xml:space="preserve">the UNC </w:t>
      </w:r>
      <w:r w:rsidR="00B72057">
        <w:t>Modification</w:t>
      </w:r>
      <w:r w:rsidR="00971E67">
        <w:t xml:space="preserve"> Panel on </w:t>
      </w:r>
      <w:r w:rsidR="00B72057">
        <w:t>20 June 2024.</w:t>
      </w:r>
    </w:p>
    <w:p w14:paraId="09D82757" w14:textId="7DE44179" w:rsidR="00B72057" w:rsidRDefault="00B72057" w:rsidP="0078013C">
      <w:pPr>
        <w:rPr>
          <w:szCs w:val="16"/>
        </w:rPr>
      </w:pPr>
      <w:r>
        <w:t xml:space="preserve">The new </w:t>
      </w:r>
      <w:r w:rsidR="0099161F">
        <w:t>Modification</w:t>
      </w:r>
      <w:r>
        <w:t xml:space="preserve"> aims to </w:t>
      </w:r>
      <w:r w:rsidR="0099161F" w:rsidRPr="0099161F">
        <w:rPr>
          <w:szCs w:val="16"/>
        </w:rPr>
        <w:t>extend the Supply Point Systems Business Days (SPSBD) beyond the current 25 SPSBD to allow validation of reads that are problematic a longer timeframe to rectify</w:t>
      </w:r>
      <w:r w:rsidR="0099161F">
        <w:rPr>
          <w:szCs w:val="16"/>
        </w:rPr>
        <w:t>.</w:t>
      </w:r>
    </w:p>
    <w:p w14:paraId="10183C92" w14:textId="77777777" w:rsidR="0069079F" w:rsidRPr="00326B80" w:rsidRDefault="0069079F" w:rsidP="0078013C">
      <w:pPr>
        <w:pStyle w:val="Heading02"/>
        <w:spacing w:before="360"/>
      </w:pPr>
      <w:bookmarkStart w:id="11" w:name="_Toc103242898"/>
      <w:bookmarkStart w:id="12" w:name="_Toc169177135"/>
      <w:r w:rsidRPr="00326B80">
        <w:t>Recommendation</w:t>
      </w:r>
      <w:r>
        <w:t>s</w:t>
      </w:r>
      <w:bookmarkEnd w:id="11"/>
      <w:bookmarkEnd w:id="12"/>
      <w:r w:rsidRPr="00326B80">
        <w:t xml:space="preserve"> </w:t>
      </w:r>
    </w:p>
    <w:p w14:paraId="0CD879D8" w14:textId="77777777" w:rsidR="0069079F" w:rsidRPr="00EB32BB" w:rsidRDefault="0069079F" w:rsidP="0069079F">
      <w:pPr>
        <w:pStyle w:val="Heading4"/>
        <w:keepLines w:val="0"/>
        <w:numPr>
          <w:ilvl w:val="0"/>
          <w:numId w:val="0"/>
        </w:numPr>
        <w:spacing w:before="240"/>
        <w:ind w:left="864" w:hanging="864"/>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Workgroup’s Recommendation to Panel</w:t>
      </w:r>
    </w:p>
    <w:p w14:paraId="4E4DA75A" w14:textId="065106ED" w:rsidR="00A00B4A" w:rsidRDefault="0069079F" w:rsidP="0078013C">
      <w:r w:rsidRPr="008C182E">
        <w:t xml:space="preserve">The Workgroup </w:t>
      </w:r>
      <w:r>
        <w:t>asks Panel to agree that</w:t>
      </w:r>
      <w:r w:rsidR="0078013C">
        <w:t xml:space="preserve"> this </w:t>
      </w:r>
      <w:r>
        <w:t xml:space="preserve">Request </w:t>
      </w:r>
      <w:r w:rsidRPr="008C182E">
        <w:t xml:space="preserve">should </w:t>
      </w:r>
      <w:r>
        <w:t>be closed.</w:t>
      </w:r>
    </w:p>
    <w:p w14:paraId="224F0179" w14:textId="77777777" w:rsidR="005E3917" w:rsidRDefault="005E3917" w:rsidP="0078013C"/>
    <w:p w14:paraId="0F45B4E0" w14:textId="664050C9" w:rsidR="005E3917" w:rsidRPr="00586A41" w:rsidRDefault="005E3917" w:rsidP="0078013C">
      <w:pPr>
        <w:rPr>
          <w:rFonts w:cs="Arial"/>
          <w:color w:val="FF0000"/>
        </w:rPr>
      </w:pPr>
      <w:r w:rsidRPr="00586A41">
        <w:rPr>
          <w:color w:val="FF0000"/>
          <w:highlight w:val="yellow"/>
        </w:rPr>
        <w:t>[version should be v1.0 – also need to update date to 27 June]</w:t>
      </w:r>
    </w:p>
    <w:sectPr w:rsidR="005E3917" w:rsidRPr="00586A41" w:rsidSect="001F66A7">
      <w:headerReference w:type="default" r:id="rId41"/>
      <w:type w:val="continuous"/>
      <w:pgSz w:w="11906" w:h="16838"/>
      <w:pgMar w:top="851" w:right="1700" w:bottom="567" w:left="1134" w:header="283"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45266E" w14:textId="77777777" w:rsidR="00DE0752" w:rsidRDefault="00DE0752">
      <w:pPr>
        <w:spacing w:line="240" w:lineRule="auto"/>
      </w:pPr>
      <w:r>
        <w:separator/>
      </w:r>
    </w:p>
  </w:endnote>
  <w:endnote w:type="continuationSeparator" w:id="0">
    <w:p w14:paraId="73180929" w14:textId="77777777" w:rsidR="00DE0752" w:rsidRDefault="00DE0752">
      <w:pPr>
        <w:spacing w:line="240" w:lineRule="auto"/>
      </w:pPr>
      <w:r>
        <w:continuationSeparator/>
      </w:r>
    </w:p>
  </w:endnote>
  <w:endnote w:type="continuationNotice" w:id="1">
    <w:p w14:paraId="1A01AA1C" w14:textId="77777777" w:rsidR="00DE0752" w:rsidRDefault="00DE075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486CA" w14:textId="77777777" w:rsidR="003F3225" w:rsidRDefault="003F3225" w:rsidP="00C954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E398ED" w14:textId="77777777" w:rsidR="003F3225" w:rsidRDefault="003F3225" w:rsidP="00C954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E0BF1" w14:textId="4E8D6C66" w:rsidR="003F3225" w:rsidRDefault="3780501F" w:rsidP="001538AB">
    <w:pPr>
      <w:pStyle w:val="Footer"/>
      <w:pBdr>
        <w:top w:val="single" w:sz="4" w:space="11" w:color="auto"/>
      </w:pBdr>
      <w:tabs>
        <w:tab w:val="clear" w:pos="4320"/>
        <w:tab w:val="clear" w:pos="8640"/>
        <w:tab w:val="center" w:pos="4962"/>
        <w:tab w:val="right" w:pos="9356"/>
      </w:tabs>
      <w:spacing w:before="0" w:after="0" w:line="240" w:lineRule="auto"/>
      <w:rPr>
        <w:rFonts w:cs="Arial"/>
        <w:sz w:val="16"/>
        <w:szCs w:val="16"/>
        <w:lang w:val="en-US"/>
      </w:rPr>
    </w:pPr>
    <w:r w:rsidRPr="3780501F">
      <w:rPr>
        <w:rFonts w:cs="Arial"/>
        <w:sz w:val="16"/>
        <w:szCs w:val="16"/>
      </w:rPr>
      <w:t xml:space="preserve">UNC </w:t>
    </w:r>
    <w:r w:rsidR="00840ADF">
      <w:rPr>
        <w:rFonts w:cs="Arial"/>
        <w:sz w:val="16"/>
        <w:szCs w:val="16"/>
      </w:rPr>
      <w:t>085</w:t>
    </w:r>
    <w:r w:rsidR="00973A36">
      <w:rPr>
        <w:rFonts w:cs="Arial"/>
        <w:sz w:val="16"/>
        <w:szCs w:val="16"/>
      </w:rPr>
      <w:t>1</w:t>
    </w:r>
    <w:r w:rsidR="00840ADF">
      <w:rPr>
        <w:rFonts w:cs="Arial"/>
        <w:sz w:val="16"/>
        <w:szCs w:val="16"/>
      </w:rPr>
      <w:t>R</w:t>
    </w:r>
    <w:r w:rsidR="00754315">
      <w:tab/>
    </w:r>
    <w:r w:rsidRPr="3780501F">
      <w:rPr>
        <w:rFonts w:cs="Arial"/>
        <w:sz w:val="16"/>
        <w:szCs w:val="16"/>
        <w:lang w:val="en-US"/>
      </w:rPr>
      <w:t xml:space="preserve">Page </w:t>
    </w:r>
    <w:r w:rsidR="00754315" w:rsidRPr="3780501F">
      <w:rPr>
        <w:rFonts w:cs="Arial"/>
        <w:noProof/>
        <w:sz w:val="16"/>
        <w:szCs w:val="16"/>
        <w:lang w:val="en-US"/>
      </w:rPr>
      <w:fldChar w:fldCharType="begin"/>
    </w:r>
    <w:r w:rsidR="00754315" w:rsidRPr="3780501F">
      <w:rPr>
        <w:rFonts w:cs="Arial"/>
        <w:sz w:val="16"/>
        <w:szCs w:val="16"/>
        <w:lang w:val="en-US"/>
      </w:rPr>
      <w:instrText xml:space="preserve"> PAGE </w:instrText>
    </w:r>
    <w:r w:rsidR="00754315" w:rsidRPr="3780501F">
      <w:rPr>
        <w:rFonts w:cs="Arial"/>
        <w:sz w:val="16"/>
        <w:szCs w:val="16"/>
        <w:lang w:val="en-US"/>
      </w:rPr>
      <w:fldChar w:fldCharType="separate"/>
    </w:r>
    <w:r w:rsidRPr="3780501F">
      <w:rPr>
        <w:rFonts w:cs="Arial"/>
        <w:noProof/>
        <w:sz w:val="16"/>
        <w:szCs w:val="16"/>
        <w:lang w:val="en-US"/>
      </w:rPr>
      <w:t>1</w:t>
    </w:r>
    <w:r w:rsidR="00754315" w:rsidRPr="3780501F">
      <w:rPr>
        <w:rFonts w:cs="Arial"/>
        <w:noProof/>
        <w:sz w:val="16"/>
        <w:szCs w:val="16"/>
        <w:lang w:val="en-US"/>
      </w:rPr>
      <w:fldChar w:fldCharType="end"/>
    </w:r>
    <w:r w:rsidRPr="3780501F">
      <w:rPr>
        <w:rFonts w:cs="Arial"/>
        <w:sz w:val="16"/>
        <w:szCs w:val="16"/>
        <w:lang w:val="en-US"/>
      </w:rPr>
      <w:t xml:space="preserve"> of </w:t>
    </w:r>
    <w:r w:rsidR="00754315" w:rsidRPr="3780501F">
      <w:rPr>
        <w:rFonts w:cs="Arial"/>
        <w:noProof/>
        <w:sz w:val="16"/>
        <w:szCs w:val="16"/>
        <w:lang w:val="en-US"/>
      </w:rPr>
      <w:fldChar w:fldCharType="begin"/>
    </w:r>
    <w:r w:rsidR="00754315" w:rsidRPr="3780501F">
      <w:rPr>
        <w:rFonts w:cs="Arial"/>
        <w:sz w:val="16"/>
        <w:szCs w:val="16"/>
        <w:lang w:val="en-US"/>
      </w:rPr>
      <w:instrText xml:space="preserve"> NUMPAGES </w:instrText>
    </w:r>
    <w:r w:rsidR="00754315" w:rsidRPr="3780501F">
      <w:rPr>
        <w:rFonts w:cs="Arial"/>
        <w:sz w:val="16"/>
        <w:szCs w:val="16"/>
        <w:lang w:val="en-US"/>
      </w:rPr>
      <w:fldChar w:fldCharType="separate"/>
    </w:r>
    <w:r w:rsidRPr="3780501F">
      <w:rPr>
        <w:rFonts w:cs="Arial"/>
        <w:noProof/>
        <w:sz w:val="16"/>
        <w:szCs w:val="16"/>
        <w:lang w:val="en-US"/>
      </w:rPr>
      <w:t>1</w:t>
    </w:r>
    <w:r w:rsidR="00754315" w:rsidRPr="3780501F">
      <w:rPr>
        <w:rFonts w:cs="Arial"/>
        <w:noProof/>
        <w:sz w:val="16"/>
        <w:szCs w:val="16"/>
        <w:lang w:val="en-US"/>
      </w:rPr>
      <w:fldChar w:fldCharType="end"/>
    </w:r>
    <w:r w:rsidR="00754315">
      <w:tab/>
    </w:r>
    <w:r w:rsidRPr="005E3917">
      <w:rPr>
        <w:rFonts w:cs="Arial"/>
        <w:sz w:val="16"/>
        <w:szCs w:val="16"/>
        <w:highlight w:val="yellow"/>
        <w:lang w:val="en-US"/>
      </w:rPr>
      <w:t xml:space="preserve">Version </w:t>
    </w:r>
    <w:r w:rsidR="00FA5E04" w:rsidRPr="005E3917">
      <w:rPr>
        <w:rFonts w:cs="Arial"/>
        <w:sz w:val="16"/>
        <w:szCs w:val="16"/>
        <w:highlight w:val="yellow"/>
        <w:lang w:val="en-US"/>
      </w:rPr>
      <w:t>1.</w:t>
    </w:r>
    <w:r w:rsidR="003E3E07" w:rsidRPr="005E3917">
      <w:rPr>
        <w:rFonts w:cs="Arial"/>
        <w:sz w:val="16"/>
        <w:szCs w:val="16"/>
        <w:highlight w:val="yellow"/>
        <w:lang w:val="en-US"/>
      </w:rPr>
      <w:t>1</w:t>
    </w:r>
  </w:p>
  <w:p w14:paraId="15F591D4" w14:textId="22846557" w:rsidR="003F3225" w:rsidRDefault="3780501F" w:rsidP="001538AB">
    <w:pPr>
      <w:pStyle w:val="Footer"/>
      <w:pBdr>
        <w:top w:val="single" w:sz="4" w:space="11" w:color="auto"/>
      </w:pBdr>
      <w:tabs>
        <w:tab w:val="clear" w:pos="4320"/>
        <w:tab w:val="clear" w:pos="8640"/>
        <w:tab w:val="center" w:pos="4962"/>
        <w:tab w:val="right" w:pos="9356"/>
      </w:tabs>
      <w:spacing w:before="0" w:after="0" w:line="240" w:lineRule="auto"/>
      <w:rPr>
        <w:rFonts w:cs="Arial"/>
        <w:sz w:val="16"/>
        <w:szCs w:val="16"/>
      </w:rPr>
    </w:pPr>
    <w:r w:rsidRPr="3780501F">
      <w:rPr>
        <w:rFonts w:cs="Arial"/>
        <w:sz w:val="16"/>
        <w:szCs w:val="16"/>
        <w:lang w:val="en-US"/>
      </w:rPr>
      <w:t>Request</w:t>
    </w:r>
    <w:r w:rsidR="007C1B06">
      <w:rPr>
        <w:rFonts w:cs="Arial"/>
        <w:sz w:val="16"/>
        <w:szCs w:val="16"/>
        <w:lang w:val="en-US"/>
      </w:rPr>
      <w:t xml:space="preserve"> Workgroup Report</w:t>
    </w:r>
    <w:r w:rsidR="0004155E">
      <w:tab/>
    </w:r>
    <w:r w:rsidR="0004155E">
      <w:tab/>
    </w:r>
    <w:r w:rsidR="003E3E07">
      <w:rPr>
        <w:rFonts w:cs="Arial"/>
        <w:sz w:val="16"/>
        <w:szCs w:val="16"/>
        <w:lang w:val="en-US"/>
      </w:rPr>
      <w:t xml:space="preserve">25 </w:t>
    </w:r>
    <w:r w:rsidR="0078013C">
      <w:rPr>
        <w:rFonts w:cs="Arial"/>
        <w:sz w:val="16"/>
        <w:szCs w:val="16"/>
        <w:lang w:val="en-US"/>
      </w:rPr>
      <w:t>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114C56" w14:textId="77777777" w:rsidR="00DE0752" w:rsidRDefault="00DE0752">
      <w:pPr>
        <w:spacing w:line="240" w:lineRule="auto"/>
      </w:pPr>
      <w:r>
        <w:separator/>
      </w:r>
    </w:p>
  </w:footnote>
  <w:footnote w:type="continuationSeparator" w:id="0">
    <w:p w14:paraId="7BE73455" w14:textId="77777777" w:rsidR="00DE0752" w:rsidRDefault="00DE0752">
      <w:pPr>
        <w:spacing w:line="240" w:lineRule="auto"/>
      </w:pPr>
      <w:r>
        <w:continuationSeparator/>
      </w:r>
    </w:p>
  </w:footnote>
  <w:footnote w:type="continuationNotice" w:id="1">
    <w:p w14:paraId="0A5DE013" w14:textId="77777777" w:rsidR="00DE0752" w:rsidRDefault="00DE075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C3E26" w14:textId="62328CA8" w:rsidR="003F3225" w:rsidRPr="0000619E" w:rsidDel="00211713" w:rsidRDefault="00BD799B" w:rsidP="3780501F">
    <w:pPr>
      <w:jc w:val="center"/>
      <w:rPr>
        <w:rFonts w:cs="Arial"/>
        <w:i/>
        <w:iCs/>
        <w:color w:val="00B274"/>
      </w:rPr>
    </w:pPr>
    <w:r>
      <w:rPr>
        <w:noProof/>
      </w:rPr>
      <w:drawing>
        <wp:anchor distT="0" distB="0" distL="114300" distR="114300" simplePos="0" relativeHeight="251658241" behindDoc="0" locked="0" layoutInCell="1" allowOverlap="1" wp14:anchorId="7C7249FA" wp14:editId="45F8C19A">
          <wp:simplePos x="0" y="0"/>
          <wp:positionH relativeFrom="column">
            <wp:posOffset>-105410</wp:posOffset>
          </wp:positionH>
          <wp:positionV relativeFrom="paragraph">
            <wp:posOffset>180340</wp:posOffset>
          </wp:positionV>
          <wp:extent cx="2057400" cy="274320"/>
          <wp:effectExtent l="0" t="0" r="0" b="0"/>
          <wp:wrapThrough wrapText="right">
            <wp:wrapPolygon edited="0">
              <wp:start x="0" y="0"/>
              <wp:lineTo x="0" y="19500"/>
              <wp:lineTo x="21400" y="19500"/>
              <wp:lineTo x="214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664AC8" w14:textId="358960D5" w:rsidR="003F3225" w:rsidRDefault="00BD799B" w:rsidP="005B378E">
    <w:pPr>
      <w:tabs>
        <w:tab w:val="left" w:pos="6650"/>
      </w:tabs>
    </w:pPr>
    <w:r>
      <w:rPr>
        <w:noProof/>
        <w:lang w:val="en-US" w:eastAsia="en-US"/>
      </w:rPr>
      <w:drawing>
        <wp:anchor distT="0" distB="0" distL="114300" distR="114300" simplePos="0" relativeHeight="251658240" behindDoc="0" locked="0" layoutInCell="1" allowOverlap="1" wp14:anchorId="478D0982" wp14:editId="6C7A93EA">
          <wp:simplePos x="0" y="0"/>
          <wp:positionH relativeFrom="column">
            <wp:posOffset>0</wp:posOffset>
          </wp:positionH>
          <wp:positionV relativeFrom="paragraph">
            <wp:posOffset>280670</wp:posOffset>
          </wp:positionV>
          <wp:extent cx="1371600" cy="647700"/>
          <wp:effectExtent l="0" t="0" r="0" b="0"/>
          <wp:wrapThrough wrapText="bothSides">
            <wp:wrapPolygon edited="0">
              <wp:start x="0" y="0"/>
              <wp:lineTo x="0" y="20965"/>
              <wp:lineTo x="21300" y="20965"/>
              <wp:lineTo x="213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F0D21" w14:textId="77777777" w:rsidR="003F3225" w:rsidRDefault="003F32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E962E5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6AC72E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EC563A"/>
    <w:lvl w:ilvl="0">
      <w:start w:val="1"/>
      <w:numFmt w:val="decimal"/>
      <w:lvlText w:val="%1."/>
      <w:lvlJc w:val="left"/>
      <w:pPr>
        <w:tabs>
          <w:tab w:val="num" w:pos="1209"/>
        </w:tabs>
        <w:ind w:left="1209" w:hanging="360"/>
      </w:pPr>
    </w:lvl>
  </w:abstractNum>
  <w:abstractNum w:abstractNumId="3" w15:restartNumberingAfterBreak="0">
    <w:nsid w:val="FFFFFF83"/>
    <w:multiLevelType w:val="singleLevel"/>
    <w:tmpl w:val="4BC8958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06314909"/>
    <w:multiLevelType w:val="multilevel"/>
    <w:tmpl w:val="D4C29BC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8" w15:restartNumberingAfterBreak="0">
    <w:nsid w:val="0EFD3626"/>
    <w:multiLevelType w:val="multilevel"/>
    <w:tmpl w:val="AACCF2F8"/>
    <w:lvl w:ilvl="0">
      <w:start w:val="1"/>
      <w:numFmt w:val="decimal"/>
      <w:lvlText w:val="%1"/>
      <w:lvlJc w:val="left"/>
      <w:pPr>
        <w:ind w:left="0" w:firstLine="0"/>
      </w:pPr>
      <w:rPr>
        <w:rFonts w:ascii="Tahoma" w:hAnsi="Tahoma" w:hint="default"/>
        <w:b w:val="0"/>
        <w:i w:val="0"/>
        <w:color w:val="FFFFFF"/>
        <w:sz w:val="28"/>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8FC3847"/>
    <w:multiLevelType w:val="hybridMultilevel"/>
    <w:tmpl w:val="792C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AD231B"/>
    <w:multiLevelType w:val="hybridMultilevel"/>
    <w:tmpl w:val="180AB250"/>
    <w:lvl w:ilvl="0" w:tplc="53DCA41A">
      <w:start w:val="1"/>
      <w:numFmt w:val="upperLetter"/>
      <w:lvlText w:val="%1)"/>
      <w:lvlJc w:val="left"/>
      <w:pPr>
        <w:ind w:left="720" w:hanging="360"/>
      </w:pPr>
    </w:lvl>
    <w:lvl w:ilvl="1" w:tplc="EBEC5ACA">
      <w:start w:val="1"/>
      <w:numFmt w:val="lowerLetter"/>
      <w:lvlText w:val="%2."/>
      <w:lvlJc w:val="left"/>
      <w:pPr>
        <w:ind w:left="1440" w:hanging="360"/>
      </w:pPr>
    </w:lvl>
    <w:lvl w:ilvl="2" w:tplc="5656A226">
      <w:start w:val="1"/>
      <w:numFmt w:val="lowerRoman"/>
      <w:lvlText w:val="%3."/>
      <w:lvlJc w:val="right"/>
      <w:pPr>
        <w:ind w:left="2160" w:hanging="180"/>
      </w:pPr>
    </w:lvl>
    <w:lvl w:ilvl="3" w:tplc="1E027CD6">
      <w:start w:val="1"/>
      <w:numFmt w:val="decimal"/>
      <w:lvlText w:val="%4."/>
      <w:lvlJc w:val="left"/>
      <w:pPr>
        <w:ind w:left="2880" w:hanging="360"/>
      </w:pPr>
    </w:lvl>
    <w:lvl w:ilvl="4" w:tplc="86028416">
      <w:start w:val="1"/>
      <w:numFmt w:val="lowerLetter"/>
      <w:lvlText w:val="%5."/>
      <w:lvlJc w:val="left"/>
      <w:pPr>
        <w:ind w:left="3600" w:hanging="360"/>
      </w:pPr>
    </w:lvl>
    <w:lvl w:ilvl="5" w:tplc="CC50B7F8">
      <w:start w:val="1"/>
      <w:numFmt w:val="lowerRoman"/>
      <w:lvlText w:val="%6."/>
      <w:lvlJc w:val="right"/>
      <w:pPr>
        <w:ind w:left="4320" w:hanging="180"/>
      </w:pPr>
    </w:lvl>
    <w:lvl w:ilvl="6" w:tplc="21D89EB8">
      <w:start w:val="1"/>
      <w:numFmt w:val="decimal"/>
      <w:lvlText w:val="%7."/>
      <w:lvlJc w:val="left"/>
      <w:pPr>
        <w:ind w:left="5040" w:hanging="360"/>
      </w:pPr>
    </w:lvl>
    <w:lvl w:ilvl="7" w:tplc="602603D0">
      <w:start w:val="1"/>
      <w:numFmt w:val="lowerLetter"/>
      <w:lvlText w:val="%8."/>
      <w:lvlJc w:val="left"/>
      <w:pPr>
        <w:ind w:left="5760" w:hanging="360"/>
      </w:pPr>
    </w:lvl>
    <w:lvl w:ilvl="8" w:tplc="87C0642A">
      <w:start w:val="1"/>
      <w:numFmt w:val="lowerRoman"/>
      <w:lvlText w:val="%9."/>
      <w:lvlJc w:val="right"/>
      <w:pPr>
        <w:ind w:left="6480" w:hanging="180"/>
      </w:pPr>
    </w:lvl>
  </w:abstractNum>
  <w:abstractNum w:abstractNumId="12"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38398E"/>
    <w:multiLevelType w:val="hybridMultilevel"/>
    <w:tmpl w:val="E66A1D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AD02B91"/>
    <w:multiLevelType w:val="multilevel"/>
    <w:tmpl w:val="0C4062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BFE7314"/>
    <w:multiLevelType w:val="hybridMultilevel"/>
    <w:tmpl w:val="439AF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DFC2A0"/>
    <w:multiLevelType w:val="hybridMultilevel"/>
    <w:tmpl w:val="04ACBB66"/>
    <w:lvl w:ilvl="0" w:tplc="EED277CE">
      <w:start w:val="1"/>
      <w:numFmt w:val="lowerLetter"/>
      <w:lvlText w:val="%1)"/>
      <w:lvlJc w:val="left"/>
      <w:pPr>
        <w:ind w:left="720" w:hanging="360"/>
      </w:pPr>
    </w:lvl>
    <w:lvl w:ilvl="1" w:tplc="78EECDFE">
      <w:start w:val="1"/>
      <w:numFmt w:val="lowerLetter"/>
      <w:lvlText w:val="%2."/>
      <w:lvlJc w:val="left"/>
      <w:pPr>
        <w:ind w:left="1440" w:hanging="360"/>
      </w:pPr>
    </w:lvl>
    <w:lvl w:ilvl="2" w:tplc="2A4894A8">
      <w:start w:val="1"/>
      <w:numFmt w:val="lowerRoman"/>
      <w:lvlText w:val="%3."/>
      <w:lvlJc w:val="right"/>
      <w:pPr>
        <w:ind w:left="2160" w:hanging="180"/>
      </w:pPr>
    </w:lvl>
    <w:lvl w:ilvl="3" w:tplc="73063FF4">
      <w:start w:val="1"/>
      <w:numFmt w:val="decimal"/>
      <w:lvlText w:val="%4."/>
      <w:lvlJc w:val="left"/>
      <w:pPr>
        <w:ind w:left="2880" w:hanging="360"/>
      </w:pPr>
    </w:lvl>
    <w:lvl w:ilvl="4" w:tplc="E02CB4DE">
      <w:start w:val="1"/>
      <w:numFmt w:val="lowerLetter"/>
      <w:lvlText w:val="%5."/>
      <w:lvlJc w:val="left"/>
      <w:pPr>
        <w:ind w:left="3600" w:hanging="360"/>
      </w:pPr>
    </w:lvl>
    <w:lvl w:ilvl="5" w:tplc="1DC67A4A">
      <w:start w:val="1"/>
      <w:numFmt w:val="lowerRoman"/>
      <w:lvlText w:val="%6."/>
      <w:lvlJc w:val="right"/>
      <w:pPr>
        <w:ind w:left="4320" w:hanging="180"/>
      </w:pPr>
    </w:lvl>
    <w:lvl w:ilvl="6" w:tplc="D206C3EE">
      <w:start w:val="1"/>
      <w:numFmt w:val="decimal"/>
      <w:lvlText w:val="%7."/>
      <w:lvlJc w:val="left"/>
      <w:pPr>
        <w:ind w:left="5040" w:hanging="360"/>
      </w:pPr>
    </w:lvl>
    <w:lvl w:ilvl="7" w:tplc="1D80FC16">
      <w:start w:val="1"/>
      <w:numFmt w:val="lowerLetter"/>
      <w:lvlText w:val="%8."/>
      <w:lvlJc w:val="left"/>
      <w:pPr>
        <w:ind w:left="5760" w:hanging="360"/>
      </w:pPr>
    </w:lvl>
    <w:lvl w:ilvl="8" w:tplc="5AD061A8">
      <w:start w:val="1"/>
      <w:numFmt w:val="lowerRoman"/>
      <w:lvlText w:val="%9."/>
      <w:lvlJc w:val="right"/>
      <w:pPr>
        <w:ind w:left="6480" w:hanging="180"/>
      </w:pPr>
    </w:lvl>
  </w:abstractNum>
  <w:abstractNum w:abstractNumId="19" w15:restartNumberingAfterBreak="0">
    <w:nsid w:val="3A186883"/>
    <w:multiLevelType w:val="hybridMultilevel"/>
    <w:tmpl w:val="92CE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A50E8"/>
    <w:multiLevelType w:val="hybridMultilevel"/>
    <w:tmpl w:val="4BB4A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83E00A"/>
    <w:multiLevelType w:val="hybridMultilevel"/>
    <w:tmpl w:val="B14AF7FE"/>
    <w:lvl w:ilvl="0" w:tplc="5FCA6512">
      <w:start w:val="1"/>
      <w:numFmt w:val="upperLetter"/>
      <w:lvlText w:val="%1)"/>
      <w:lvlJc w:val="left"/>
      <w:pPr>
        <w:ind w:left="720" w:hanging="360"/>
      </w:pPr>
    </w:lvl>
    <w:lvl w:ilvl="1" w:tplc="E8662AA0">
      <w:start w:val="1"/>
      <w:numFmt w:val="lowerLetter"/>
      <w:lvlText w:val="%2."/>
      <w:lvlJc w:val="left"/>
      <w:pPr>
        <w:ind w:left="1440" w:hanging="360"/>
      </w:pPr>
    </w:lvl>
    <w:lvl w:ilvl="2" w:tplc="AB1A9778">
      <w:start w:val="1"/>
      <w:numFmt w:val="lowerRoman"/>
      <w:lvlText w:val="%3."/>
      <w:lvlJc w:val="right"/>
      <w:pPr>
        <w:ind w:left="2160" w:hanging="180"/>
      </w:pPr>
    </w:lvl>
    <w:lvl w:ilvl="3" w:tplc="5B72B8B8">
      <w:start w:val="1"/>
      <w:numFmt w:val="decimal"/>
      <w:lvlText w:val="%4."/>
      <w:lvlJc w:val="left"/>
      <w:pPr>
        <w:ind w:left="2880" w:hanging="360"/>
      </w:pPr>
    </w:lvl>
    <w:lvl w:ilvl="4" w:tplc="EAA8B400">
      <w:start w:val="1"/>
      <w:numFmt w:val="lowerLetter"/>
      <w:lvlText w:val="%5."/>
      <w:lvlJc w:val="left"/>
      <w:pPr>
        <w:ind w:left="3600" w:hanging="360"/>
      </w:pPr>
    </w:lvl>
    <w:lvl w:ilvl="5" w:tplc="FF94693E">
      <w:start w:val="1"/>
      <w:numFmt w:val="lowerRoman"/>
      <w:lvlText w:val="%6."/>
      <w:lvlJc w:val="right"/>
      <w:pPr>
        <w:ind w:left="4320" w:hanging="180"/>
      </w:pPr>
    </w:lvl>
    <w:lvl w:ilvl="6" w:tplc="C7E2E446">
      <w:start w:val="1"/>
      <w:numFmt w:val="decimal"/>
      <w:lvlText w:val="%7."/>
      <w:lvlJc w:val="left"/>
      <w:pPr>
        <w:ind w:left="5040" w:hanging="360"/>
      </w:pPr>
    </w:lvl>
    <w:lvl w:ilvl="7" w:tplc="04928EBA">
      <w:start w:val="1"/>
      <w:numFmt w:val="lowerLetter"/>
      <w:lvlText w:val="%8."/>
      <w:lvlJc w:val="left"/>
      <w:pPr>
        <w:ind w:left="5760" w:hanging="360"/>
      </w:pPr>
    </w:lvl>
    <w:lvl w:ilvl="8" w:tplc="09D48DD2">
      <w:start w:val="1"/>
      <w:numFmt w:val="lowerRoman"/>
      <w:lvlText w:val="%9."/>
      <w:lvlJc w:val="right"/>
      <w:pPr>
        <w:ind w:left="6480" w:hanging="180"/>
      </w:pPr>
    </w:lvl>
  </w:abstractNum>
  <w:abstractNum w:abstractNumId="22"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23"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991FD1"/>
    <w:multiLevelType w:val="hybridMultilevel"/>
    <w:tmpl w:val="AF74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1C1E61"/>
    <w:multiLevelType w:val="hybridMultilevel"/>
    <w:tmpl w:val="090ED996"/>
    <w:lvl w:ilvl="0" w:tplc="F17CBB70">
      <w:start w:val="1"/>
      <w:numFmt w:val="upperLetter"/>
      <w:lvlText w:val="%1)"/>
      <w:lvlJc w:val="left"/>
      <w:pPr>
        <w:ind w:left="720" w:hanging="360"/>
      </w:pPr>
    </w:lvl>
    <w:lvl w:ilvl="1" w:tplc="6B285640">
      <w:start w:val="1"/>
      <w:numFmt w:val="lowerLetter"/>
      <w:lvlText w:val="%2."/>
      <w:lvlJc w:val="left"/>
      <w:pPr>
        <w:ind w:left="1440" w:hanging="360"/>
      </w:pPr>
    </w:lvl>
    <w:lvl w:ilvl="2" w:tplc="706AFAA6">
      <w:start w:val="1"/>
      <w:numFmt w:val="lowerRoman"/>
      <w:lvlText w:val="%3."/>
      <w:lvlJc w:val="right"/>
      <w:pPr>
        <w:ind w:left="2160" w:hanging="180"/>
      </w:pPr>
    </w:lvl>
    <w:lvl w:ilvl="3" w:tplc="3606E000">
      <w:start w:val="1"/>
      <w:numFmt w:val="decimal"/>
      <w:lvlText w:val="%4."/>
      <w:lvlJc w:val="left"/>
      <w:pPr>
        <w:ind w:left="2880" w:hanging="360"/>
      </w:pPr>
    </w:lvl>
    <w:lvl w:ilvl="4" w:tplc="1C706336">
      <w:start w:val="1"/>
      <w:numFmt w:val="lowerLetter"/>
      <w:lvlText w:val="%5."/>
      <w:lvlJc w:val="left"/>
      <w:pPr>
        <w:ind w:left="3600" w:hanging="360"/>
      </w:pPr>
    </w:lvl>
    <w:lvl w:ilvl="5" w:tplc="7CA67FBA">
      <w:start w:val="1"/>
      <w:numFmt w:val="lowerRoman"/>
      <w:lvlText w:val="%6."/>
      <w:lvlJc w:val="right"/>
      <w:pPr>
        <w:ind w:left="4320" w:hanging="180"/>
      </w:pPr>
    </w:lvl>
    <w:lvl w:ilvl="6" w:tplc="714AAC76">
      <w:start w:val="1"/>
      <w:numFmt w:val="decimal"/>
      <w:lvlText w:val="%7."/>
      <w:lvlJc w:val="left"/>
      <w:pPr>
        <w:ind w:left="5040" w:hanging="360"/>
      </w:pPr>
    </w:lvl>
    <w:lvl w:ilvl="7" w:tplc="A1BE91A0">
      <w:start w:val="1"/>
      <w:numFmt w:val="lowerLetter"/>
      <w:lvlText w:val="%8."/>
      <w:lvlJc w:val="left"/>
      <w:pPr>
        <w:ind w:left="5760" w:hanging="360"/>
      </w:pPr>
    </w:lvl>
    <w:lvl w:ilvl="8" w:tplc="3B6283C6">
      <w:start w:val="1"/>
      <w:numFmt w:val="lowerRoman"/>
      <w:lvlText w:val="%9."/>
      <w:lvlJc w:val="right"/>
      <w:pPr>
        <w:ind w:left="6480" w:hanging="180"/>
      </w:pPr>
    </w:lvl>
  </w:abstractNum>
  <w:abstractNum w:abstractNumId="29"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num w:numId="1" w16cid:durableId="1270432531">
    <w:abstractNumId w:val="28"/>
  </w:num>
  <w:num w:numId="2" w16cid:durableId="1880967982">
    <w:abstractNumId w:val="21"/>
  </w:num>
  <w:num w:numId="3" w16cid:durableId="1737043468">
    <w:abstractNumId w:val="11"/>
  </w:num>
  <w:num w:numId="4" w16cid:durableId="798306444">
    <w:abstractNumId w:val="18"/>
  </w:num>
  <w:num w:numId="5" w16cid:durableId="869144635">
    <w:abstractNumId w:val="29"/>
  </w:num>
  <w:num w:numId="6" w16cid:durableId="1094714777">
    <w:abstractNumId w:val="25"/>
  </w:num>
  <w:num w:numId="7" w16cid:durableId="1870100933">
    <w:abstractNumId w:val="14"/>
  </w:num>
  <w:num w:numId="8" w16cid:durableId="1536118513">
    <w:abstractNumId w:val="16"/>
  </w:num>
  <w:num w:numId="9" w16cid:durableId="1014069665">
    <w:abstractNumId w:val="9"/>
  </w:num>
  <w:num w:numId="10" w16cid:durableId="1833908436">
    <w:abstractNumId w:val="26"/>
  </w:num>
  <w:num w:numId="11" w16cid:durableId="1652127786">
    <w:abstractNumId w:val="17"/>
  </w:num>
  <w:num w:numId="12" w16cid:durableId="754126933">
    <w:abstractNumId w:val="12"/>
  </w:num>
  <w:num w:numId="13" w16cid:durableId="1187258114">
    <w:abstractNumId w:val="24"/>
  </w:num>
  <w:num w:numId="14" w16cid:durableId="1050614018">
    <w:abstractNumId w:val="22"/>
  </w:num>
  <w:num w:numId="15" w16cid:durableId="623659353">
    <w:abstractNumId w:val="7"/>
  </w:num>
  <w:num w:numId="16" w16cid:durableId="669793726">
    <w:abstractNumId w:val="6"/>
  </w:num>
  <w:num w:numId="17" w16cid:durableId="1666473568">
    <w:abstractNumId w:val="23"/>
  </w:num>
  <w:num w:numId="18" w16cid:durableId="1178541991">
    <w:abstractNumId w:val="8"/>
  </w:num>
  <w:num w:numId="19" w16cid:durableId="1976835777">
    <w:abstractNumId w:val="4"/>
  </w:num>
  <w:num w:numId="20" w16cid:durableId="232929973">
    <w:abstractNumId w:val="13"/>
  </w:num>
  <w:num w:numId="21" w16cid:durableId="1797677875">
    <w:abstractNumId w:val="2"/>
  </w:num>
  <w:num w:numId="22" w16cid:durableId="1457021705">
    <w:abstractNumId w:val="1"/>
  </w:num>
  <w:num w:numId="23" w16cid:durableId="253906495">
    <w:abstractNumId w:val="0"/>
  </w:num>
  <w:num w:numId="24" w16cid:durableId="2058240596">
    <w:abstractNumId w:val="4"/>
  </w:num>
  <w:num w:numId="25" w16cid:durableId="1172449451">
    <w:abstractNumId w:val="5"/>
  </w:num>
  <w:num w:numId="26" w16cid:durableId="1905219139">
    <w:abstractNumId w:val="10"/>
  </w:num>
  <w:num w:numId="27" w16cid:durableId="341974867">
    <w:abstractNumId w:val="29"/>
  </w:num>
  <w:num w:numId="28" w16cid:durableId="1910116372">
    <w:abstractNumId w:val="4"/>
  </w:num>
  <w:num w:numId="29" w16cid:durableId="81994139">
    <w:abstractNumId w:val="4"/>
  </w:num>
  <w:num w:numId="30" w16cid:durableId="1870024032">
    <w:abstractNumId w:val="4"/>
  </w:num>
  <w:num w:numId="31" w16cid:durableId="824391166">
    <w:abstractNumId w:val="3"/>
  </w:num>
  <w:num w:numId="32" w16cid:durableId="85349033">
    <w:abstractNumId w:val="19"/>
  </w:num>
  <w:num w:numId="33" w16cid:durableId="1524400098">
    <w:abstractNumId w:val="15"/>
  </w:num>
  <w:num w:numId="34" w16cid:durableId="320306446">
    <w:abstractNumId w:val="27"/>
  </w:num>
  <w:num w:numId="35" w16cid:durableId="206741111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wMLcwMDA2tDQzN7BQ0lEKTi0uzszPAykwqgUAXQzWGSwAAAA="/>
  </w:docVars>
  <w:rsids>
    <w:rsidRoot w:val="00731B99"/>
    <w:rsid w:val="00003462"/>
    <w:rsid w:val="000035A7"/>
    <w:rsid w:val="00004634"/>
    <w:rsid w:val="00004E32"/>
    <w:rsid w:val="00005C2A"/>
    <w:rsid w:val="00014F15"/>
    <w:rsid w:val="00021E27"/>
    <w:rsid w:val="00023C21"/>
    <w:rsid w:val="0003147C"/>
    <w:rsid w:val="0003199D"/>
    <w:rsid w:val="000401D9"/>
    <w:rsid w:val="0004111D"/>
    <w:rsid w:val="0004155E"/>
    <w:rsid w:val="00041A17"/>
    <w:rsid w:val="00042267"/>
    <w:rsid w:val="000455EC"/>
    <w:rsid w:val="00051EA2"/>
    <w:rsid w:val="000546C7"/>
    <w:rsid w:val="00063FB4"/>
    <w:rsid w:val="00065BE4"/>
    <w:rsid w:val="00071234"/>
    <w:rsid w:val="00073AF0"/>
    <w:rsid w:val="00080BFB"/>
    <w:rsid w:val="00082674"/>
    <w:rsid w:val="00083DC1"/>
    <w:rsid w:val="00086AD3"/>
    <w:rsid w:val="000A36A8"/>
    <w:rsid w:val="000A4730"/>
    <w:rsid w:val="000B007D"/>
    <w:rsid w:val="000B432A"/>
    <w:rsid w:val="000C2098"/>
    <w:rsid w:val="000C36BD"/>
    <w:rsid w:val="000C4FB5"/>
    <w:rsid w:val="000C69A0"/>
    <w:rsid w:val="000D5720"/>
    <w:rsid w:val="000D6689"/>
    <w:rsid w:val="000E1D17"/>
    <w:rsid w:val="000E54DE"/>
    <w:rsid w:val="000E5EC4"/>
    <w:rsid w:val="000E6CF6"/>
    <w:rsid w:val="001060C1"/>
    <w:rsid w:val="00106F09"/>
    <w:rsid w:val="00107AA2"/>
    <w:rsid w:val="00110945"/>
    <w:rsid w:val="00112F45"/>
    <w:rsid w:val="00124753"/>
    <w:rsid w:val="0012496E"/>
    <w:rsid w:val="001538AB"/>
    <w:rsid w:val="00157D48"/>
    <w:rsid w:val="00161072"/>
    <w:rsid w:val="00164E30"/>
    <w:rsid w:val="001665A7"/>
    <w:rsid w:val="00167D84"/>
    <w:rsid w:val="00175E62"/>
    <w:rsid w:val="00177589"/>
    <w:rsid w:val="00183593"/>
    <w:rsid w:val="00184006"/>
    <w:rsid w:val="00187EF8"/>
    <w:rsid w:val="00187FEC"/>
    <w:rsid w:val="001A5839"/>
    <w:rsid w:val="001B0BB1"/>
    <w:rsid w:val="001B6964"/>
    <w:rsid w:val="001B710F"/>
    <w:rsid w:val="001C0CB8"/>
    <w:rsid w:val="001C1125"/>
    <w:rsid w:val="001D27E7"/>
    <w:rsid w:val="001D4D06"/>
    <w:rsid w:val="001D6C65"/>
    <w:rsid w:val="001D7EC5"/>
    <w:rsid w:val="001E02B2"/>
    <w:rsid w:val="001E2E94"/>
    <w:rsid w:val="001E6DCF"/>
    <w:rsid w:val="001F04F7"/>
    <w:rsid w:val="001F0C80"/>
    <w:rsid w:val="001F1765"/>
    <w:rsid w:val="001F36FC"/>
    <w:rsid w:val="001F3812"/>
    <w:rsid w:val="001F66A7"/>
    <w:rsid w:val="001F7908"/>
    <w:rsid w:val="00200C12"/>
    <w:rsid w:val="00201AF3"/>
    <w:rsid w:val="002024C7"/>
    <w:rsid w:val="002028C3"/>
    <w:rsid w:val="002047E2"/>
    <w:rsid w:val="00206AE0"/>
    <w:rsid w:val="0020789C"/>
    <w:rsid w:val="00211713"/>
    <w:rsid w:val="002119A6"/>
    <w:rsid w:val="00212BF5"/>
    <w:rsid w:val="0021418F"/>
    <w:rsid w:val="00215877"/>
    <w:rsid w:val="002173B6"/>
    <w:rsid w:val="002205EE"/>
    <w:rsid w:val="0022162F"/>
    <w:rsid w:val="002272EF"/>
    <w:rsid w:val="00235E05"/>
    <w:rsid w:val="00236DCB"/>
    <w:rsid w:val="002420A5"/>
    <w:rsid w:val="00256075"/>
    <w:rsid w:val="00260C2C"/>
    <w:rsid w:val="002612FD"/>
    <w:rsid w:val="002678CB"/>
    <w:rsid w:val="00267DF7"/>
    <w:rsid w:val="00273BB1"/>
    <w:rsid w:val="00280569"/>
    <w:rsid w:val="00280E08"/>
    <w:rsid w:val="00281CF1"/>
    <w:rsid w:val="002831B3"/>
    <w:rsid w:val="00286CBD"/>
    <w:rsid w:val="0029378E"/>
    <w:rsid w:val="0029644B"/>
    <w:rsid w:val="002A2086"/>
    <w:rsid w:val="002A7F8F"/>
    <w:rsid w:val="002B03AE"/>
    <w:rsid w:val="002B4AF3"/>
    <w:rsid w:val="002B4C7B"/>
    <w:rsid w:val="002C022D"/>
    <w:rsid w:val="002C5C6D"/>
    <w:rsid w:val="002D098D"/>
    <w:rsid w:val="002D25F9"/>
    <w:rsid w:val="002D2B64"/>
    <w:rsid w:val="002D5D8F"/>
    <w:rsid w:val="002D624E"/>
    <w:rsid w:val="002E09C7"/>
    <w:rsid w:val="002E28C4"/>
    <w:rsid w:val="002E2ECA"/>
    <w:rsid w:val="002E4B3A"/>
    <w:rsid w:val="002F0043"/>
    <w:rsid w:val="002F1F24"/>
    <w:rsid w:val="002F357D"/>
    <w:rsid w:val="002F35CA"/>
    <w:rsid w:val="002F40F9"/>
    <w:rsid w:val="002F67D8"/>
    <w:rsid w:val="00306BF5"/>
    <w:rsid w:val="00313E9E"/>
    <w:rsid w:val="00313FE4"/>
    <w:rsid w:val="00316676"/>
    <w:rsid w:val="003221E9"/>
    <w:rsid w:val="00326B80"/>
    <w:rsid w:val="00327A4D"/>
    <w:rsid w:val="00332FE3"/>
    <w:rsid w:val="00335535"/>
    <w:rsid w:val="003357E7"/>
    <w:rsid w:val="00341982"/>
    <w:rsid w:val="00341CAD"/>
    <w:rsid w:val="00342233"/>
    <w:rsid w:val="00345533"/>
    <w:rsid w:val="00351960"/>
    <w:rsid w:val="00353DAA"/>
    <w:rsid w:val="003557B1"/>
    <w:rsid w:val="00355F0D"/>
    <w:rsid w:val="00356C5D"/>
    <w:rsid w:val="00356F85"/>
    <w:rsid w:val="00365356"/>
    <w:rsid w:val="00367CC1"/>
    <w:rsid w:val="0037018E"/>
    <w:rsid w:val="00373963"/>
    <w:rsid w:val="00377752"/>
    <w:rsid w:val="00380C64"/>
    <w:rsid w:val="00381037"/>
    <w:rsid w:val="00382814"/>
    <w:rsid w:val="00384447"/>
    <w:rsid w:val="0038606F"/>
    <w:rsid w:val="00390D19"/>
    <w:rsid w:val="00391F0E"/>
    <w:rsid w:val="0039577D"/>
    <w:rsid w:val="00395D31"/>
    <w:rsid w:val="003A0820"/>
    <w:rsid w:val="003A2AA8"/>
    <w:rsid w:val="003A308B"/>
    <w:rsid w:val="003B0780"/>
    <w:rsid w:val="003B1A71"/>
    <w:rsid w:val="003B4359"/>
    <w:rsid w:val="003B44D0"/>
    <w:rsid w:val="003B4FE2"/>
    <w:rsid w:val="003C6AB2"/>
    <w:rsid w:val="003C6E14"/>
    <w:rsid w:val="003C7DC9"/>
    <w:rsid w:val="003D0281"/>
    <w:rsid w:val="003D41D8"/>
    <w:rsid w:val="003D5877"/>
    <w:rsid w:val="003D6504"/>
    <w:rsid w:val="003E2189"/>
    <w:rsid w:val="003E2F5A"/>
    <w:rsid w:val="003E3E07"/>
    <w:rsid w:val="003E7FF7"/>
    <w:rsid w:val="003F0147"/>
    <w:rsid w:val="003F1432"/>
    <w:rsid w:val="003F3061"/>
    <w:rsid w:val="003F3225"/>
    <w:rsid w:val="003F6DC7"/>
    <w:rsid w:val="004045E4"/>
    <w:rsid w:val="0040711D"/>
    <w:rsid w:val="00416FC8"/>
    <w:rsid w:val="00421B40"/>
    <w:rsid w:val="00422258"/>
    <w:rsid w:val="00432B13"/>
    <w:rsid w:val="00433654"/>
    <w:rsid w:val="00435494"/>
    <w:rsid w:val="00435CF2"/>
    <w:rsid w:val="0044213D"/>
    <w:rsid w:val="00442EE7"/>
    <w:rsid w:val="004465F6"/>
    <w:rsid w:val="00446636"/>
    <w:rsid w:val="00450385"/>
    <w:rsid w:val="00450502"/>
    <w:rsid w:val="0045773C"/>
    <w:rsid w:val="004579CF"/>
    <w:rsid w:val="0046001A"/>
    <w:rsid w:val="00461C2F"/>
    <w:rsid w:val="00470086"/>
    <w:rsid w:val="0048254E"/>
    <w:rsid w:val="0048657A"/>
    <w:rsid w:val="00486D26"/>
    <w:rsid w:val="004907A3"/>
    <w:rsid w:val="00492521"/>
    <w:rsid w:val="004958FC"/>
    <w:rsid w:val="004A31BB"/>
    <w:rsid w:val="004A3386"/>
    <w:rsid w:val="004A5DC3"/>
    <w:rsid w:val="004A7305"/>
    <w:rsid w:val="004B27FB"/>
    <w:rsid w:val="004B2B95"/>
    <w:rsid w:val="004B34C5"/>
    <w:rsid w:val="004B376C"/>
    <w:rsid w:val="004C0C71"/>
    <w:rsid w:val="004C2609"/>
    <w:rsid w:val="004D09F0"/>
    <w:rsid w:val="004D0D74"/>
    <w:rsid w:val="004D3FEC"/>
    <w:rsid w:val="004D78DE"/>
    <w:rsid w:val="004E0B97"/>
    <w:rsid w:val="004E47A9"/>
    <w:rsid w:val="004F1165"/>
    <w:rsid w:val="004F1CB6"/>
    <w:rsid w:val="004F294F"/>
    <w:rsid w:val="004F5135"/>
    <w:rsid w:val="00501ADC"/>
    <w:rsid w:val="005023B5"/>
    <w:rsid w:val="00504E6C"/>
    <w:rsid w:val="00513631"/>
    <w:rsid w:val="00515F1F"/>
    <w:rsid w:val="005236BD"/>
    <w:rsid w:val="00531B35"/>
    <w:rsid w:val="0053492A"/>
    <w:rsid w:val="00534C72"/>
    <w:rsid w:val="00536D6B"/>
    <w:rsid w:val="00541379"/>
    <w:rsid w:val="0054222F"/>
    <w:rsid w:val="0055068A"/>
    <w:rsid w:val="00552C6A"/>
    <w:rsid w:val="00554A52"/>
    <w:rsid w:val="0055672D"/>
    <w:rsid w:val="00560EF2"/>
    <w:rsid w:val="00560FE7"/>
    <w:rsid w:val="00564A36"/>
    <w:rsid w:val="005703B3"/>
    <w:rsid w:val="0057052D"/>
    <w:rsid w:val="0057258B"/>
    <w:rsid w:val="00582479"/>
    <w:rsid w:val="005832FC"/>
    <w:rsid w:val="00586520"/>
    <w:rsid w:val="00586A41"/>
    <w:rsid w:val="005938F8"/>
    <w:rsid w:val="00594492"/>
    <w:rsid w:val="005A0143"/>
    <w:rsid w:val="005A4046"/>
    <w:rsid w:val="005A4F5D"/>
    <w:rsid w:val="005B10BD"/>
    <w:rsid w:val="005B378E"/>
    <w:rsid w:val="005B4D89"/>
    <w:rsid w:val="005B5E73"/>
    <w:rsid w:val="005B7C2A"/>
    <w:rsid w:val="005C14D7"/>
    <w:rsid w:val="005D2A30"/>
    <w:rsid w:val="005D4A2B"/>
    <w:rsid w:val="005D4B94"/>
    <w:rsid w:val="005D6370"/>
    <w:rsid w:val="005E3917"/>
    <w:rsid w:val="005E4B8C"/>
    <w:rsid w:val="005E51E6"/>
    <w:rsid w:val="005F0B37"/>
    <w:rsid w:val="005F1D42"/>
    <w:rsid w:val="005F5819"/>
    <w:rsid w:val="00605341"/>
    <w:rsid w:val="00610AE2"/>
    <w:rsid w:val="00613074"/>
    <w:rsid w:val="00620554"/>
    <w:rsid w:val="00622DC8"/>
    <w:rsid w:val="00627983"/>
    <w:rsid w:val="006320C5"/>
    <w:rsid w:val="0063299B"/>
    <w:rsid w:val="00636312"/>
    <w:rsid w:val="006377B6"/>
    <w:rsid w:val="00637E27"/>
    <w:rsid w:val="0064419C"/>
    <w:rsid w:val="006446DD"/>
    <w:rsid w:val="0064544A"/>
    <w:rsid w:val="00646EF2"/>
    <w:rsid w:val="00650186"/>
    <w:rsid w:val="006533C3"/>
    <w:rsid w:val="0065681F"/>
    <w:rsid w:val="00670784"/>
    <w:rsid w:val="00672F8D"/>
    <w:rsid w:val="00674147"/>
    <w:rsid w:val="006824F5"/>
    <w:rsid w:val="00687A89"/>
    <w:rsid w:val="0069079F"/>
    <w:rsid w:val="00691A06"/>
    <w:rsid w:val="006A0767"/>
    <w:rsid w:val="006A0B9A"/>
    <w:rsid w:val="006A5279"/>
    <w:rsid w:val="006B1585"/>
    <w:rsid w:val="006B19F4"/>
    <w:rsid w:val="006B2038"/>
    <w:rsid w:val="006B24E4"/>
    <w:rsid w:val="006B32CF"/>
    <w:rsid w:val="006B6D83"/>
    <w:rsid w:val="006B7093"/>
    <w:rsid w:val="006C31ED"/>
    <w:rsid w:val="006C571A"/>
    <w:rsid w:val="006D0FB6"/>
    <w:rsid w:val="006D2E7D"/>
    <w:rsid w:val="006E48AD"/>
    <w:rsid w:val="006E4AC5"/>
    <w:rsid w:val="006E56D8"/>
    <w:rsid w:val="006E7560"/>
    <w:rsid w:val="006F142D"/>
    <w:rsid w:val="006F1BE6"/>
    <w:rsid w:val="006F41FC"/>
    <w:rsid w:val="006F4689"/>
    <w:rsid w:val="007062B9"/>
    <w:rsid w:val="00706B98"/>
    <w:rsid w:val="00720E31"/>
    <w:rsid w:val="0072512B"/>
    <w:rsid w:val="00731B99"/>
    <w:rsid w:val="00731DD1"/>
    <w:rsid w:val="00733F4B"/>
    <w:rsid w:val="00734630"/>
    <w:rsid w:val="0074283F"/>
    <w:rsid w:val="00745709"/>
    <w:rsid w:val="00746083"/>
    <w:rsid w:val="00747018"/>
    <w:rsid w:val="00747A24"/>
    <w:rsid w:val="007524D3"/>
    <w:rsid w:val="00754315"/>
    <w:rsid w:val="007607E8"/>
    <w:rsid w:val="007608FF"/>
    <w:rsid w:val="00760BD6"/>
    <w:rsid w:val="00762660"/>
    <w:rsid w:val="007626D9"/>
    <w:rsid w:val="00763302"/>
    <w:rsid w:val="00763BE3"/>
    <w:rsid w:val="007656A6"/>
    <w:rsid w:val="007715F6"/>
    <w:rsid w:val="007719F0"/>
    <w:rsid w:val="007727E7"/>
    <w:rsid w:val="00772942"/>
    <w:rsid w:val="00774F15"/>
    <w:rsid w:val="00780130"/>
    <w:rsid w:val="0078013C"/>
    <w:rsid w:val="007874D8"/>
    <w:rsid w:val="00787583"/>
    <w:rsid w:val="00787AAF"/>
    <w:rsid w:val="00796FD1"/>
    <w:rsid w:val="007A0DCB"/>
    <w:rsid w:val="007A3BC5"/>
    <w:rsid w:val="007A6725"/>
    <w:rsid w:val="007A7A40"/>
    <w:rsid w:val="007B28EB"/>
    <w:rsid w:val="007B3995"/>
    <w:rsid w:val="007C00DA"/>
    <w:rsid w:val="007C1B06"/>
    <w:rsid w:val="007C3906"/>
    <w:rsid w:val="007C610D"/>
    <w:rsid w:val="007D29D1"/>
    <w:rsid w:val="007D7C47"/>
    <w:rsid w:val="007E1BCC"/>
    <w:rsid w:val="008011F6"/>
    <w:rsid w:val="00806171"/>
    <w:rsid w:val="008112C8"/>
    <w:rsid w:val="008115C5"/>
    <w:rsid w:val="008149B0"/>
    <w:rsid w:val="00814E3D"/>
    <w:rsid w:val="008206AF"/>
    <w:rsid w:val="00823288"/>
    <w:rsid w:val="008247A9"/>
    <w:rsid w:val="008312A4"/>
    <w:rsid w:val="008404BD"/>
    <w:rsid w:val="00840ADF"/>
    <w:rsid w:val="008423A3"/>
    <w:rsid w:val="00843D6A"/>
    <w:rsid w:val="008458F8"/>
    <w:rsid w:val="008472FA"/>
    <w:rsid w:val="0085211A"/>
    <w:rsid w:val="00856C0B"/>
    <w:rsid w:val="0086142A"/>
    <w:rsid w:val="00863E0B"/>
    <w:rsid w:val="00872E91"/>
    <w:rsid w:val="0087362B"/>
    <w:rsid w:val="008808B1"/>
    <w:rsid w:val="00881C66"/>
    <w:rsid w:val="00887D24"/>
    <w:rsid w:val="00892D3B"/>
    <w:rsid w:val="0089458B"/>
    <w:rsid w:val="008945CA"/>
    <w:rsid w:val="00895154"/>
    <w:rsid w:val="008A5134"/>
    <w:rsid w:val="008B6CCD"/>
    <w:rsid w:val="008C52AC"/>
    <w:rsid w:val="008C5774"/>
    <w:rsid w:val="008C579E"/>
    <w:rsid w:val="008C5BE1"/>
    <w:rsid w:val="008C5E7C"/>
    <w:rsid w:val="008D2A1C"/>
    <w:rsid w:val="008D56A3"/>
    <w:rsid w:val="008D6266"/>
    <w:rsid w:val="008D6673"/>
    <w:rsid w:val="008D7104"/>
    <w:rsid w:val="008D7DCD"/>
    <w:rsid w:val="008E1199"/>
    <w:rsid w:val="008E1ABD"/>
    <w:rsid w:val="008E438C"/>
    <w:rsid w:val="009019EE"/>
    <w:rsid w:val="00902625"/>
    <w:rsid w:val="00904F6E"/>
    <w:rsid w:val="00906A52"/>
    <w:rsid w:val="009121FF"/>
    <w:rsid w:val="0091314F"/>
    <w:rsid w:val="009163E3"/>
    <w:rsid w:val="00916B22"/>
    <w:rsid w:val="009208D8"/>
    <w:rsid w:val="0092387F"/>
    <w:rsid w:val="00925035"/>
    <w:rsid w:val="009265C0"/>
    <w:rsid w:val="00926A7F"/>
    <w:rsid w:val="00926F0E"/>
    <w:rsid w:val="009310BA"/>
    <w:rsid w:val="0093319C"/>
    <w:rsid w:val="00935AB1"/>
    <w:rsid w:val="00960714"/>
    <w:rsid w:val="0096255F"/>
    <w:rsid w:val="00965279"/>
    <w:rsid w:val="00965500"/>
    <w:rsid w:val="00967004"/>
    <w:rsid w:val="00967C6A"/>
    <w:rsid w:val="00970637"/>
    <w:rsid w:val="00971E67"/>
    <w:rsid w:val="0097218A"/>
    <w:rsid w:val="00973A36"/>
    <w:rsid w:val="00974D98"/>
    <w:rsid w:val="00980C08"/>
    <w:rsid w:val="009832ED"/>
    <w:rsid w:val="009841E7"/>
    <w:rsid w:val="00985FC1"/>
    <w:rsid w:val="00986603"/>
    <w:rsid w:val="009900CB"/>
    <w:rsid w:val="0099161F"/>
    <w:rsid w:val="00991785"/>
    <w:rsid w:val="00995052"/>
    <w:rsid w:val="00996711"/>
    <w:rsid w:val="009A200B"/>
    <w:rsid w:val="009A2545"/>
    <w:rsid w:val="009A6565"/>
    <w:rsid w:val="009B3B34"/>
    <w:rsid w:val="009C0799"/>
    <w:rsid w:val="009C223A"/>
    <w:rsid w:val="009C2A36"/>
    <w:rsid w:val="009C2EA4"/>
    <w:rsid w:val="009C3265"/>
    <w:rsid w:val="009D1A9A"/>
    <w:rsid w:val="009D7913"/>
    <w:rsid w:val="009D7B56"/>
    <w:rsid w:val="009E63A4"/>
    <w:rsid w:val="009E7589"/>
    <w:rsid w:val="009E7DDF"/>
    <w:rsid w:val="009F3839"/>
    <w:rsid w:val="009F3981"/>
    <w:rsid w:val="009F5EE2"/>
    <w:rsid w:val="009F70E9"/>
    <w:rsid w:val="00A00B4A"/>
    <w:rsid w:val="00A031CD"/>
    <w:rsid w:val="00A05D66"/>
    <w:rsid w:val="00A13073"/>
    <w:rsid w:val="00A13230"/>
    <w:rsid w:val="00A153B6"/>
    <w:rsid w:val="00A17F5A"/>
    <w:rsid w:val="00A21FB1"/>
    <w:rsid w:val="00A313AC"/>
    <w:rsid w:val="00A31D12"/>
    <w:rsid w:val="00A339C9"/>
    <w:rsid w:val="00A3409A"/>
    <w:rsid w:val="00A340AF"/>
    <w:rsid w:val="00A40F3F"/>
    <w:rsid w:val="00A43EA2"/>
    <w:rsid w:val="00A50878"/>
    <w:rsid w:val="00A51787"/>
    <w:rsid w:val="00A52C59"/>
    <w:rsid w:val="00A55322"/>
    <w:rsid w:val="00A57AAE"/>
    <w:rsid w:val="00A57E80"/>
    <w:rsid w:val="00A57FE3"/>
    <w:rsid w:val="00A658CC"/>
    <w:rsid w:val="00A6597B"/>
    <w:rsid w:val="00A72E95"/>
    <w:rsid w:val="00A76942"/>
    <w:rsid w:val="00A8064A"/>
    <w:rsid w:val="00A817CB"/>
    <w:rsid w:val="00A85902"/>
    <w:rsid w:val="00A85D94"/>
    <w:rsid w:val="00A86E01"/>
    <w:rsid w:val="00A91B93"/>
    <w:rsid w:val="00A91E7B"/>
    <w:rsid w:val="00A9264A"/>
    <w:rsid w:val="00A93278"/>
    <w:rsid w:val="00A93BF0"/>
    <w:rsid w:val="00A94C94"/>
    <w:rsid w:val="00A96295"/>
    <w:rsid w:val="00A96373"/>
    <w:rsid w:val="00A968E9"/>
    <w:rsid w:val="00AA5115"/>
    <w:rsid w:val="00AA7DB4"/>
    <w:rsid w:val="00AB2DA2"/>
    <w:rsid w:val="00AB54D1"/>
    <w:rsid w:val="00AB56C4"/>
    <w:rsid w:val="00AB65F7"/>
    <w:rsid w:val="00AC0716"/>
    <w:rsid w:val="00AD021F"/>
    <w:rsid w:val="00AD1DFB"/>
    <w:rsid w:val="00AD4B4C"/>
    <w:rsid w:val="00AD6502"/>
    <w:rsid w:val="00AD6799"/>
    <w:rsid w:val="00AD7311"/>
    <w:rsid w:val="00AE7C82"/>
    <w:rsid w:val="00AF5B6E"/>
    <w:rsid w:val="00AF7275"/>
    <w:rsid w:val="00B03467"/>
    <w:rsid w:val="00B057CB"/>
    <w:rsid w:val="00B079F1"/>
    <w:rsid w:val="00B10136"/>
    <w:rsid w:val="00B108A2"/>
    <w:rsid w:val="00B14613"/>
    <w:rsid w:val="00B22E37"/>
    <w:rsid w:val="00B23F31"/>
    <w:rsid w:val="00B241EE"/>
    <w:rsid w:val="00B24F0D"/>
    <w:rsid w:val="00B320DC"/>
    <w:rsid w:val="00B32E93"/>
    <w:rsid w:val="00B32FB2"/>
    <w:rsid w:val="00B3492F"/>
    <w:rsid w:val="00B43D40"/>
    <w:rsid w:val="00B529F2"/>
    <w:rsid w:val="00B53C15"/>
    <w:rsid w:val="00B615CC"/>
    <w:rsid w:val="00B61BD2"/>
    <w:rsid w:val="00B6291B"/>
    <w:rsid w:val="00B63788"/>
    <w:rsid w:val="00B6444B"/>
    <w:rsid w:val="00B65498"/>
    <w:rsid w:val="00B7023F"/>
    <w:rsid w:val="00B706C4"/>
    <w:rsid w:val="00B71BB9"/>
    <w:rsid w:val="00B72057"/>
    <w:rsid w:val="00B7630C"/>
    <w:rsid w:val="00B8779A"/>
    <w:rsid w:val="00B94F96"/>
    <w:rsid w:val="00BB33E1"/>
    <w:rsid w:val="00BB3C89"/>
    <w:rsid w:val="00BC62CA"/>
    <w:rsid w:val="00BD10A6"/>
    <w:rsid w:val="00BD799B"/>
    <w:rsid w:val="00BE0A33"/>
    <w:rsid w:val="00BE0CCB"/>
    <w:rsid w:val="00BE1658"/>
    <w:rsid w:val="00BE377D"/>
    <w:rsid w:val="00BE498E"/>
    <w:rsid w:val="00BE7316"/>
    <w:rsid w:val="00BF0C5F"/>
    <w:rsid w:val="00BF52E2"/>
    <w:rsid w:val="00BF64FD"/>
    <w:rsid w:val="00C00D01"/>
    <w:rsid w:val="00C14277"/>
    <w:rsid w:val="00C17BFE"/>
    <w:rsid w:val="00C30A2D"/>
    <w:rsid w:val="00C30F84"/>
    <w:rsid w:val="00C31A20"/>
    <w:rsid w:val="00C34B9D"/>
    <w:rsid w:val="00C35492"/>
    <w:rsid w:val="00C356E8"/>
    <w:rsid w:val="00C37305"/>
    <w:rsid w:val="00C42E07"/>
    <w:rsid w:val="00C471ED"/>
    <w:rsid w:val="00C4795D"/>
    <w:rsid w:val="00C516A7"/>
    <w:rsid w:val="00C526EA"/>
    <w:rsid w:val="00C60FC3"/>
    <w:rsid w:val="00C6182C"/>
    <w:rsid w:val="00C629C2"/>
    <w:rsid w:val="00C64B15"/>
    <w:rsid w:val="00C67F24"/>
    <w:rsid w:val="00C733C3"/>
    <w:rsid w:val="00C77A77"/>
    <w:rsid w:val="00C83898"/>
    <w:rsid w:val="00C90715"/>
    <w:rsid w:val="00C9109D"/>
    <w:rsid w:val="00C94334"/>
    <w:rsid w:val="00C954D7"/>
    <w:rsid w:val="00CA75DC"/>
    <w:rsid w:val="00CA7800"/>
    <w:rsid w:val="00CA7D25"/>
    <w:rsid w:val="00CB4D6C"/>
    <w:rsid w:val="00CB5D46"/>
    <w:rsid w:val="00CB5E98"/>
    <w:rsid w:val="00CC46B0"/>
    <w:rsid w:val="00CD1800"/>
    <w:rsid w:val="00CD3C33"/>
    <w:rsid w:val="00CD56B3"/>
    <w:rsid w:val="00CD6545"/>
    <w:rsid w:val="00CD719F"/>
    <w:rsid w:val="00CE19AC"/>
    <w:rsid w:val="00CE5938"/>
    <w:rsid w:val="00CE7F33"/>
    <w:rsid w:val="00CF3614"/>
    <w:rsid w:val="00D07039"/>
    <w:rsid w:val="00D11D7A"/>
    <w:rsid w:val="00D16177"/>
    <w:rsid w:val="00D20C24"/>
    <w:rsid w:val="00D25189"/>
    <w:rsid w:val="00D2538C"/>
    <w:rsid w:val="00D271BB"/>
    <w:rsid w:val="00D273AA"/>
    <w:rsid w:val="00D35F26"/>
    <w:rsid w:val="00D41486"/>
    <w:rsid w:val="00D45B4B"/>
    <w:rsid w:val="00D50089"/>
    <w:rsid w:val="00D50C45"/>
    <w:rsid w:val="00D54FFE"/>
    <w:rsid w:val="00D56CB4"/>
    <w:rsid w:val="00D5749E"/>
    <w:rsid w:val="00D620D5"/>
    <w:rsid w:val="00D634E8"/>
    <w:rsid w:val="00D635CE"/>
    <w:rsid w:val="00D6631B"/>
    <w:rsid w:val="00D72E61"/>
    <w:rsid w:val="00D75212"/>
    <w:rsid w:val="00D80A6E"/>
    <w:rsid w:val="00D8242C"/>
    <w:rsid w:val="00D86034"/>
    <w:rsid w:val="00D878B4"/>
    <w:rsid w:val="00D90F5D"/>
    <w:rsid w:val="00D92BC7"/>
    <w:rsid w:val="00DA2D2B"/>
    <w:rsid w:val="00DB1D3A"/>
    <w:rsid w:val="00DB2283"/>
    <w:rsid w:val="00DB70A1"/>
    <w:rsid w:val="00DD269D"/>
    <w:rsid w:val="00DD63FA"/>
    <w:rsid w:val="00DD7C82"/>
    <w:rsid w:val="00DE0752"/>
    <w:rsid w:val="00DE2088"/>
    <w:rsid w:val="00DF2CF1"/>
    <w:rsid w:val="00DF6863"/>
    <w:rsid w:val="00E025B9"/>
    <w:rsid w:val="00E03F8C"/>
    <w:rsid w:val="00E04EF1"/>
    <w:rsid w:val="00E07BA5"/>
    <w:rsid w:val="00E12141"/>
    <w:rsid w:val="00E15E18"/>
    <w:rsid w:val="00E1701D"/>
    <w:rsid w:val="00E1721E"/>
    <w:rsid w:val="00E2121F"/>
    <w:rsid w:val="00E240D7"/>
    <w:rsid w:val="00E27E4C"/>
    <w:rsid w:val="00E320B2"/>
    <w:rsid w:val="00E402C5"/>
    <w:rsid w:val="00E41BB9"/>
    <w:rsid w:val="00E464E3"/>
    <w:rsid w:val="00E510C9"/>
    <w:rsid w:val="00E60CB2"/>
    <w:rsid w:val="00E6426E"/>
    <w:rsid w:val="00E678F3"/>
    <w:rsid w:val="00E756CC"/>
    <w:rsid w:val="00E80928"/>
    <w:rsid w:val="00E812F9"/>
    <w:rsid w:val="00E83118"/>
    <w:rsid w:val="00E85160"/>
    <w:rsid w:val="00EA2475"/>
    <w:rsid w:val="00EA4674"/>
    <w:rsid w:val="00EA4CF4"/>
    <w:rsid w:val="00EA4EFA"/>
    <w:rsid w:val="00EB15AE"/>
    <w:rsid w:val="00EB1FF2"/>
    <w:rsid w:val="00EB5B02"/>
    <w:rsid w:val="00EC3E75"/>
    <w:rsid w:val="00EC63B4"/>
    <w:rsid w:val="00EC7EF9"/>
    <w:rsid w:val="00ED3BE9"/>
    <w:rsid w:val="00EE1190"/>
    <w:rsid w:val="00EE2561"/>
    <w:rsid w:val="00EE2569"/>
    <w:rsid w:val="00EE4DF5"/>
    <w:rsid w:val="00EE6E87"/>
    <w:rsid w:val="00EF0CE5"/>
    <w:rsid w:val="00EF17CD"/>
    <w:rsid w:val="00EF58BB"/>
    <w:rsid w:val="00EF789C"/>
    <w:rsid w:val="00EF7C6F"/>
    <w:rsid w:val="00F007A0"/>
    <w:rsid w:val="00F02C82"/>
    <w:rsid w:val="00F1015C"/>
    <w:rsid w:val="00F13B40"/>
    <w:rsid w:val="00F17B9C"/>
    <w:rsid w:val="00F20D74"/>
    <w:rsid w:val="00F212C1"/>
    <w:rsid w:val="00F220C0"/>
    <w:rsid w:val="00F341A2"/>
    <w:rsid w:val="00F34D43"/>
    <w:rsid w:val="00F36B7E"/>
    <w:rsid w:val="00F4356A"/>
    <w:rsid w:val="00F442F5"/>
    <w:rsid w:val="00F450E7"/>
    <w:rsid w:val="00F511D1"/>
    <w:rsid w:val="00F54EBD"/>
    <w:rsid w:val="00F61549"/>
    <w:rsid w:val="00F638FA"/>
    <w:rsid w:val="00F64D59"/>
    <w:rsid w:val="00F661FF"/>
    <w:rsid w:val="00F751E8"/>
    <w:rsid w:val="00F81314"/>
    <w:rsid w:val="00F854D4"/>
    <w:rsid w:val="00F86A96"/>
    <w:rsid w:val="00F8749E"/>
    <w:rsid w:val="00F91096"/>
    <w:rsid w:val="00FA5E04"/>
    <w:rsid w:val="00FB02E0"/>
    <w:rsid w:val="00FB2CD8"/>
    <w:rsid w:val="00FB339C"/>
    <w:rsid w:val="00FB49D0"/>
    <w:rsid w:val="00FB71C1"/>
    <w:rsid w:val="00FC5D74"/>
    <w:rsid w:val="00FD2BFB"/>
    <w:rsid w:val="00FD32A2"/>
    <w:rsid w:val="00FD4DC1"/>
    <w:rsid w:val="00FD5089"/>
    <w:rsid w:val="00FE0ACF"/>
    <w:rsid w:val="00FE0AFD"/>
    <w:rsid w:val="00FE5543"/>
    <w:rsid w:val="00FE76E4"/>
    <w:rsid w:val="00FF083D"/>
    <w:rsid w:val="00FF40C5"/>
    <w:rsid w:val="00FF4D46"/>
    <w:rsid w:val="00FF6ADF"/>
    <w:rsid w:val="00FF6D71"/>
    <w:rsid w:val="00FF722D"/>
    <w:rsid w:val="00FF7985"/>
    <w:rsid w:val="0155FFA9"/>
    <w:rsid w:val="0157B4CD"/>
    <w:rsid w:val="018CD8D3"/>
    <w:rsid w:val="01DBDFB5"/>
    <w:rsid w:val="01EC3174"/>
    <w:rsid w:val="0357FBD8"/>
    <w:rsid w:val="03A46650"/>
    <w:rsid w:val="042CBBE9"/>
    <w:rsid w:val="05B5E0CF"/>
    <w:rsid w:val="06CB60E0"/>
    <w:rsid w:val="06E9C5C0"/>
    <w:rsid w:val="06F8A503"/>
    <w:rsid w:val="06FC1DDC"/>
    <w:rsid w:val="07497480"/>
    <w:rsid w:val="082FD72B"/>
    <w:rsid w:val="0A3EF3FE"/>
    <w:rsid w:val="0AE3C64C"/>
    <w:rsid w:val="0CAE1606"/>
    <w:rsid w:val="0CDB0945"/>
    <w:rsid w:val="0D2FB7D3"/>
    <w:rsid w:val="0E039E98"/>
    <w:rsid w:val="0E123B6D"/>
    <w:rsid w:val="0E4246E3"/>
    <w:rsid w:val="0F0C6697"/>
    <w:rsid w:val="0F480EF6"/>
    <w:rsid w:val="12CD2AAA"/>
    <w:rsid w:val="13779DEB"/>
    <w:rsid w:val="13CFA3D8"/>
    <w:rsid w:val="13E07AEC"/>
    <w:rsid w:val="1430773F"/>
    <w:rsid w:val="14768B55"/>
    <w:rsid w:val="14C62596"/>
    <w:rsid w:val="18060499"/>
    <w:rsid w:val="1813F0C2"/>
    <w:rsid w:val="1859D7C0"/>
    <w:rsid w:val="19E60C52"/>
    <w:rsid w:val="1A090935"/>
    <w:rsid w:val="1D0A62F4"/>
    <w:rsid w:val="1DB040EC"/>
    <w:rsid w:val="1E7FC359"/>
    <w:rsid w:val="20026B5D"/>
    <w:rsid w:val="20463EEF"/>
    <w:rsid w:val="20A7E915"/>
    <w:rsid w:val="20BAC3BB"/>
    <w:rsid w:val="224F74F2"/>
    <w:rsid w:val="227EC763"/>
    <w:rsid w:val="233A0C1F"/>
    <w:rsid w:val="2370F958"/>
    <w:rsid w:val="24D5DC80"/>
    <w:rsid w:val="2666CC90"/>
    <w:rsid w:val="269D27FD"/>
    <w:rsid w:val="286BD15E"/>
    <w:rsid w:val="28BD1E27"/>
    <w:rsid w:val="28CFA22F"/>
    <w:rsid w:val="29A6BDED"/>
    <w:rsid w:val="29D2C18F"/>
    <w:rsid w:val="2A5F5433"/>
    <w:rsid w:val="2AA81D13"/>
    <w:rsid w:val="2C7F8C3F"/>
    <w:rsid w:val="2E408094"/>
    <w:rsid w:val="2E7CBEC6"/>
    <w:rsid w:val="2EA2912A"/>
    <w:rsid w:val="2FB69A55"/>
    <w:rsid w:val="3045228E"/>
    <w:rsid w:val="30F6B631"/>
    <w:rsid w:val="3109C264"/>
    <w:rsid w:val="3162F099"/>
    <w:rsid w:val="316EF5B5"/>
    <w:rsid w:val="31CF328F"/>
    <w:rsid w:val="31DB4C17"/>
    <w:rsid w:val="34EC004A"/>
    <w:rsid w:val="373BBED2"/>
    <w:rsid w:val="3780501F"/>
    <w:rsid w:val="3823A10C"/>
    <w:rsid w:val="3889B275"/>
    <w:rsid w:val="39D899CA"/>
    <w:rsid w:val="3AE9B50C"/>
    <w:rsid w:val="3B273F68"/>
    <w:rsid w:val="3B632F54"/>
    <w:rsid w:val="3B6C3E9D"/>
    <w:rsid w:val="3DF8D46E"/>
    <w:rsid w:val="3E92E290"/>
    <w:rsid w:val="3F86A583"/>
    <w:rsid w:val="3F89317E"/>
    <w:rsid w:val="4025CB66"/>
    <w:rsid w:val="402EB2F1"/>
    <w:rsid w:val="4036A077"/>
    <w:rsid w:val="4043A40A"/>
    <w:rsid w:val="40BA445F"/>
    <w:rsid w:val="41B17266"/>
    <w:rsid w:val="4217014C"/>
    <w:rsid w:val="422B0832"/>
    <w:rsid w:val="42527BE6"/>
    <w:rsid w:val="42C47BB5"/>
    <w:rsid w:val="43245B95"/>
    <w:rsid w:val="43952DC8"/>
    <w:rsid w:val="439A549D"/>
    <w:rsid w:val="44A2C3EF"/>
    <w:rsid w:val="44EE5987"/>
    <w:rsid w:val="45322186"/>
    <w:rsid w:val="46554C7A"/>
    <w:rsid w:val="465C7CD8"/>
    <w:rsid w:val="48689EEB"/>
    <w:rsid w:val="4911CFB6"/>
    <w:rsid w:val="49145F6C"/>
    <w:rsid w:val="4974B207"/>
    <w:rsid w:val="4979336D"/>
    <w:rsid w:val="498AF1F9"/>
    <w:rsid w:val="49DB55AF"/>
    <w:rsid w:val="4B5D9B0B"/>
    <w:rsid w:val="4C53EDB4"/>
    <w:rsid w:val="4D390C44"/>
    <w:rsid w:val="4F81113A"/>
    <w:rsid w:val="504CC441"/>
    <w:rsid w:val="53705066"/>
    <w:rsid w:val="53C34D27"/>
    <w:rsid w:val="5463BC1A"/>
    <w:rsid w:val="5471E1BB"/>
    <w:rsid w:val="55BAFB2E"/>
    <w:rsid w:val="55E72CED"/>
    <w:rsid w:val="565284CF"/>
    <w:rsid w:val="56BC05C5"/>
    <w:rsid w:val="56D5EE50"/>
    <w:rsid w:val="5803A99E"/>
    <w:rsid w:val="58464140"/>
    <w:rsid w:val="5856D1B9"/>
    <w:rsid w:val="58F91288"/>
    <w:rsid w:val="5916B8A9"/>
    <w:rsid w:val="597D44AA"/>
    <w:rsid w:val="59A79106"/>
    <w:rsid w:val="5ACE411D"/>
    <w:rsid w:val="5AF8EC52"/>
    <w:rsid w:val="5B6DF64F"/>
    <w:rsid w:val="5C6223F8"/>
    <w:rsid w:val="5C94BCB3"/>
    <w:rsid w:val="5D8363FD"/>
    <w:rsid w:val="5E08230F"/>
    <w:rsid w:val="5E717060"/>
    <w:rsid w:val="5F5FA8EC"/>
    <w:rsid w:val="5F85FA2D"/>
    <w:rsid w:val="5F9F228A"/>
    <w:rsid w:val="6121CA8E"/>
    <w:rsid w:val="64752363"/>
    <w:rsid w:val="650B9BEB"/>
    <w:rsid w:val="6563CA9C"/>
    <w:rsid w:val="65836FC6"/>
    <w:rsid w:val="66A76C4C"/>
    <w:rsid w:val="670A0A3F"/>
    <w:rsid w:val="678249C3"/>
    <w:rsid w:val="67F13A0F"/>
    <w:rsid w:val="68875EBB"/>
    <w:rsid w:val="68E9AD87"/>
    <w:rsid w:val="68FEE4CC"/>
    <w:rsid w:val="69B727C1"/>
    <w:rsid w:val="69C03FDC"/>
    <w:rsid w:val="69F02715"/>
    <w:rsid w:val="6A4F70DB"/>
    <w:rsid w:val="6AA76FAC"/>
    <w:rsid w:val="6AE464E7"/>
    <w:rsid w:val="6C6DD46A"/>
    <w:rsid w:val="6CEA0B9F"/>
    <w:rsid w:val="6E29C9DB"/>
    <w:rsid w:val="6EF6A03F"/>
    <w:rsid w:val="6F6F4E7A"/>
    <w:rsid w:val="6FC59A3C"/>
    <w:rsid w:val="70BF9BDE"/>
    <w:rsid w:val="726C7ADD"/>
    <w:rsid w:val="729D9CE0"/>
    <w:rsid w:val="72D64E6F"/>
    <w:rsid w:val="7331BFBA"/>
    <w:rsid w:val="73AE594F"/>
    <w:rsid w:val="73F0FDF1"/>
    <w:rsid w:val="74751069"/>
    <w:rsid w:val="772C5D59"/>
    <w:rsid w:val="777B1BB7"/>
    <w:rsid w:val="78B86763"/>
    <w:rsid w:val="7A03B742"/>
    <w:rsid w:val="7A3952E6"/>
    <w:rsid w:val="7A5FC742"/>
    <w:rsid w:val="7AE6BE24"/>
    <w:rsid w:val="7B6E9D00"/>
    <w:rsid w:val="7CCDA2BB"/>
    <w:rsid w:val="7D7C434A"/>
    <w:rsid w:val="7E507F2D"/>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F8D856"/>
  <w15:chartTrackingRefBased/>
  <w15:docId w15:val="{32EC72D0-2E8B-4399-8B93-8CD876D3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itle" w:qFormat="1"/>
    <w:lsdException w:name="Subtitle" w:qFormat="1"/>
    <w:lsdException w:name="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TOC Heading" w:semiHidden="1" w:unhideWhenUsed="1" w:qFormat="1"/>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B24F0D"/>
    <w:pPr>
      <w:spacing w:before="120" w:after="120" w:line="300" w:lineRule="atLeast"/>
    </w:pPr>
    <w:rPr>
      <w:rFonts w:ascii="Arial" w:eastAsia="Times New Roman" w:hAnsi="Arial"/>
    </w:rPr>
  </w:style>
  <w:style w:type="paragraph" w:styleId="Heading1">
    <w:name w:val="heading 1"/>
    <w:basedOn w:val="Normal"/>
    <w:next w:val="Normal"/>
    <w:link w:val="Heading1Char"/>
    <w:rsid w:val="006E7560"/>
    <w:pPr>
      <w:keepNext/>
      <w:numPr>
        <w:numId w:val="19"/>
      </w:numPr>
      <w:pBdr>
        <w:top w:val="single" w:sz="48" w:space="1" w:color="00B274"/>
        <w:left w:val="single" w:sz="48" w:space="4" w:color="00B274"/>
        <w:bottom w:val="single" w:sz="48" w:space="1" w:color="00B274"/>
        <w:right w:val="single" w:sz="48" w:space="4" w:color="00B274"/>
      </w:pBdr>
      <w:shd w:val="clear" w:color="auto" w:fill="00B274"/>
      <w:spacing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rsid w:val="00731B99"/>
    <w:pPr>
      <w:keepNext/>
      <w:numPr>
        <w:ilvl w:val="1"/>
        <w:numId w:val="19"/>
      </w:numPr>
      <w:tabs>
        <w:tab w:val="num" w:pos="720"/>
      </w:tabs>
      <w:spacing w:line="840" w:lineRule="atLeast"/>
      <w:ind w:left="1080" w:hanging="360"/>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9"/>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9"/>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9"/>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9"/>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9"/>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9"/>
      </w:numPr>
      <w:spacing w:before="200"/>
      <w:outlineLvl w:val="7"/>
    </w:pPr>
    <w:rPr>
      <w:rFonts w:ascii="Calibri" w:eastAsia="MS Gothic" w:hAnsi="Calibri"/>
      <w:color w:val="363636"/>
    </w:rPr>
  </w:style>
  <w:style w:type="paragraph" w:styleId="Heading9">
    <w:name w:val="heading 9"/>
    <w:basedOn w:val="Normal"/>
    <w:next w:val="Normal"/>
    <w:link w:val="Heading9Char"/>
    <w:qFormat/>
    <w:rsid w:val="00313E9E"/>
    <w:pPr>
      <w:keepNext/>
      <w:keepLines/>
      <w:numPr>
        <w:ilvl w:val="8"/>
        <w:numId w:val="19"/>
      </w:numPr>
      <w:spacing w:before="200"/>
      <w:outlineLvl w:val="8"/>
    </w:pPr>
    <w:rPr>
      <w:rFonts w:ascii="Calibri" w:eastAsia="MS Gothic" w:hAnsi="Calibri"/>
      <w:i/>
      <w:iCs/>
      <w:color w:val="3636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Heading02"/>
    <w:qFormat/>
    <w:rsid w:val="00CD719F"/>
    <w:pPr>
      <w:spacing w:line="240" w:lineRule="auto"/>
      <w:ind w:left="431" w:hanging="431"/>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6E7560"/>
    <w:rPr>
      <w:rFonts w:ascii="Tahoma" w:eastAsia="Times New Roman" w:hAnsi="Tahoma" w:cs="Arial"/>
      <w:b/>
      <w:bCs/>
      <w:iCs/>
      <w:color w:val="FFFFFF"/>
      <w:kern w:val="32"/>
      <w:sz w:val="28"/>
      <w:szCs w:val="32"/>
      <w:shd w:val="clear" w:color="auto" w:fill="00B274"/>
      <w:lang w:eastAsia="en-GB"/>
    </w:rPr>
  </w:style>
  <w:style w:type="character" w:customStyle="1" w:styleId="Heading2Char">
    <w:name w:val="Heading 2 Char"/>
    <w:link w:val="Heading2"/>
    <w:rsid w:val="00731B99"/>
    <w:rPr>
      <w:rFonts w:ascii="Tahoma" w:eastAsia="Times New Roman" w:hAnsi="Tahoma" w:cs="Arial"/>
      <w:bCs/>
      <w:iCs/>
      <w:color w:val="008576"/>
      <w:sz w:val="80"/>
      <w:szCs w:val="28"/>
      <w:lang w:eastAsia="en-GB"/>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lang w:eastAsia="en-GB"/>
    </w:rPr>
  </w:style>
  <w:style w:type="character" w:customStyle="1" w:styleId="Heading8Char">
    <w:name w:val="Heading 8 Char"/>
    <w:link w:val="Heading8"/>
    <w:rsid w:val="00313E9E"/>
    <w:rPr>
      <w:rFonts w:ascii="Calibri" w:eastAsia="MS Gothic" w:hAnsi="Calibri"/>
      <w:color w:val="363636"/>
      <w:lang w:eastAsia="en-GB"/>
    </w:rPr>
  </w:style>
  <w:style w:type="paragraph" w:styleId="ListNumber">
    <w:name w:val="List Number"/>
    <w:basedOn w:val="Normal"/>
    <w:link w:val="ListNumberChar"/>
    <w:rsid w:val="00313E9E"/>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5"/>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Tahoma" w:eastAsia="Times New Roman" w:hAnsi="Tahoma"/>
      <w:szCs w:val="24"/>
      <w:lang w:eastAsia="en-GB"/>
    </w:rPr>
  </w:style>
  <w:style w:type="character" w:customStyle="1" w:styleId="ListBullet2Char">
    <w:name w:val="List Bullet 2 Char"/>
    <w:link w:val="ListBullet2"/>
    <w:rsid w:val="00313E9E"/>
    <w:rPr>
      <w:rFonts w:ascii="Arial" w:eastAsia="Times New Roman" w:hAnsi="Arial"/>
      <w:lang w:eastAsia="en-GB"/>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lang w:eastAsia="en-GB"/>
    </w:rPr>
  </w:style>
  <w:style w:type="character" w:customStyle="1" w:styleId="Heading5Char">
    <w:name w:val="Heading 5 Char"/>
    <w:link w:val="Heading5"/>
    <w:rsid w:val="00313E9E"/>
    <w:rPr>
      <w:rFonts w:ascii="Calibri" w:eastAsia="MS Gothic" w:hAnsi="Calibri"/>
      <w:color w:val="244061"/>
      <w:szCs w:val="24"/>
      <w:lang w:eastAsia="en-GB"/>
    </w:rPr>
  </w:style>
  <w:style w:type="character" w:customStyle="1" w:styleId="Heading6Char">
    <w:name w:val="Heading 6 Char"/>
    <w:link w:val="Heading6"/>
    <w:rsid w:val="00313E9E"/>
    <w:rPr>
      <w:rFonts w:ascii="Calibri" w:eastAsia="MS Gothic" w:hAnsi="Calibri"/>
      <w:i/>
      <w:iCs/>
      <w:color w:val="244061"/>
      <w:szCs w:val="24"/>
      <w:lang w:eastAsia="en-GB"/>
    </w:rPr>
  </w:style>
  <w:style w:type="character" w:customStyle="1" w:styleId="Heading7Char">
    <w:name w:val="Heading 7 Char"/>
    <w:link w:val="Heading7"/>
    <w:rsid w:val="00313E9E"/>
    <w:rPr>
      <w:rFonts w:ascii="Calibri" w:eastAsia="MS Gothic" w:hAnsi="Calibri"/>
      <w:i/>
      <w:iCs/>
      <w:color w:val="404040"/>
      <w:szCs w:val="24"/>
      <w:lang w:eastAsia="en-GB"/>
    </w:rPr>
  </w:style>
  <w:style w:type="character" w:customStyle="1" w:styleId="Heading9Char">
    <w:name w:val="Heading 9 Char"/>
    <w:link w:val="Heading9"/>
    <w:rsid w:val="00313E9E"/>
    <w:rPr>
      <w:rFonts w:ascii="Calibri" w:eastAsia="MS Gothic" w:hAnsi="Calibri"/>
      <w:i/>
      <w:iCs/>
      <w:color w:val="363636"/>
      <w:lang w:eastAsia="en-GB"/>
    </w:rPr>
  </w:style>
  <w:style w:type="numbering" w:styleId="ArticleSection">
    <w:name w:val="Outline List 3"/>
    <w:basedOn w:val="NoList"/>
    <w:semiHidden/>
    <w:rsid w:val="00313E9E"/>
    <w:pPr>
      <w:numPr>
        <w:numId w:val="6"/>
      </w:numPr>
    </w:pPr>
  </w:style>
  <w:style w:type="paragraph" w:styleId="TOC1">
    <w:name w:val="toc 1"/>
    <w:basedOn w:val="TOC2"/>
    <w:next w:val="Normal"/>
    <w:link w:val="TOC1Char"/>
    <w:autoRedefine/>
    <w:uiPriority w:val="39"/>
    <w:rsid w:val="00E510C9"/>
    <w:pPr>
      <w:spacing w:before="120"/>
      <w:ind w:left="0"/>
    </w:pPr>
    <w:rPr>
      <w:sz w:val="24"/>
      <w:szCs w:val="24"/>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qFormat/>
    <w:rsid w:val="005D4A2B"/>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Tahoma" w:eastAsia="Times New Roman" w:hAnsi="Tahoma" w:cs="Arial"/>
      <w:bCs/>
      <w:color w:val="FFFFFF"/>
      <w:kern w:val="32"/>
      <w:sz w:val="28"/>
      <w:szCs w:val="32"/>
    </w:rPr>
  </w:style>
  <w:style w:type="paragraph" w:customStyle="1" w:styleId="About01">
    <w:name w:val="About 01"/>
    <w:basedOn w:val="Contents01"/>
    <w:qFormat/>
    <w:rsid w:val="0086142A"/>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ascii="Calibri" w:eastAsia="Times New Roman" w:hAnsi="Calibri" w:cs="Times New Roman"/>
      <w:b/>
      <w:i w:val="0"/>
      <w:iCs w:val="0"/>
      <w:color w:val="363636"/>
      <w:sz w:val="22"/>
      <w:szCs w:val="22"/>
      <w:lang w:val="en-GB" w:eastAsia="en-GB"/>
    </w:rPr>
  </w:style>
  <w:style w:type="character" w:customStyle="1" w:styleId="TOC1Char">
    <w:name w:val="TOC 1 Char"/>
    <w:link w:val="TOC1"/>
    <w:uiPriority w:val="39"/>
    <w:rsid w:val="00E510C9"/>
    <w:rPr>
      <w:rFonts w:ascii="Calibri" w:eastAsia="Times New Roman" w:hAnsi="Calibri" w:cs="Times New Roman"/>
      <w:b/>
      <w:i w:val="0"/>
      <w:iCs w:val="0"/>
      <w:color w:val="363636"/>
      <w:sz w:val="22"/>
      <w:szCs w:val="22"/>
      <w:lang w:val="en-GB" w:eastAsia="en-GB"/>
    </w:r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8"/>
      </w:numPr>
    </w:pPr>
  </w:style>
  <w:style w:type="numbering" w:styleId="1ai">
    <w:name w:val="Outline List 1"/>
    <w:basedOn w:val="NoList"/>
    <w:rsid w:val="005B378E"/>
    <w:pPr>
      <w:numPr>
        <w:numId w:val="9"/>
      </w:numPr>
    </w:pPr>
  </w:style>
  <w:style w:type="paragraph" w:styleId="BodyTextFirstIndent">
    <w:name w:val="Body Text First Indent"/>
    <w:basedOn w:val="BodyText"/>
    <w:link w:val="BodyTextFirstIndentChar"/>
    <w:rsid w:val="005B378E"/>
    <w:pPr>
      <w:ind w:firstLine="210"/>
    </w:pPr>
  </w:style>
  <w:style w:type="character" w:customStyle="1" w:styleId="BodyTextFirstIndentChar">
    <w:name w:val="Body Text First Indent Char"/>
    <w:link w:val="BodyTextFirstIndent"/>
    <w:rsid w:val="005B378E"/>
    <w:rPr>
      <w:rFonts w:ascii="Tahoma" w:eastAsia="Times New Roman" w:hAnsi="Tahoma" w:cs="Times New Roman"/>
      <w:sz w:val="20"/>
      <w:lang w:val="en-GB"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7"/>
      </w:numPr>
    </w:pPr>
    <w:rPr>
      <w:sz w:val="24"/>
    </w:rPr>
  </w:style>
  <w:style w:type="paragraph" w:customStyle="1" w:styleId="BodyTest5">
    <w:name w:val="Body Test 5"/>
    <w:basedOn w:val="BodyText4"/>
    <w:rsid w:val="005B378E"/>
    <w:rPr>
      <w:b/>
      <w:color w:val="00B27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10"/>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Tahoma" w:eastAsia="Times New Roman" w:hAnsi="Tahoma"/>
      <w:szCs w:val="24"/>
      <w:lang w:eastAsia="en-GB"/>
    </w:rPr>
  </w:style>
  <w:style w:type="paragraph" w:styleId="ListBullet4">
    <w:name w:val="List Bullet 4"/>
    <w:basedOn w:val="ListBullet3"/>
    <w:rsid w:val="005B378E"/>
    <w:pPr>
      <w:numPr>
        <w:numId w:val="12"/>
      </w:numPr>
      <w:tabs>
        <w:tab w:val="clear" w:pos="266"/>
        <w:tab w:val="clear" w:pos="2835"/>
        <w:tab w:val="num" w:pos="284"/>
      </w:tabs>
      <w:ind w:left="284" w:hanging="284"/>
    </w:pPr>
  </w:style>
  <w:style w:type="paragraph" w:styleId="ListBullet5">
    <w:name w:val="List Bullet 5"/>
    <w:basedOn w:val="ListBullet4"/>
    <w:rsid w:val="005B378E"/>
    <w:pPr>
      <w:numPr>
        <w:numId w:val="11"/>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13"/>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4"/>
      </w:numPr>
      <w:tabs>
        <w:tab w:val="clear" w:pos="3967"/>
      </w:tabs>
      <w:ind w:left="413" w:hanging="280"/>
    </w:pPr>
    <w:rPr>
      <w:color w:val="008576"/>
    </w:rPr>
  </w:style>
  <w:style w:type="paragraph" w:styleId="ListContinue5">
    <w:name w:val="List Continue 5"/>
    <w:basedOn w:val="Normal"/>
    <w:next w:val="ListContinue4"/>
    <w:rsid w:val="005B378E"/>
    <w:pPr>
      <w:numPr>
        <w:numId w:val="16"/>
      </w:numPr>
      <w:tabs>
        <w:tab w:val="clear" w:pos="2835"/>
      </w:tabs>
      <w:ind w:left="427" w:hanging="294"/>
    </w:pPr>
    <w:rPr>
      <w:color w:val="008576"/>
    </w:rPr>
  </w:style>
  <w:style w:type="paragraph" w:customStyle="1" w:styleId="ListContinue6">
    <w:name w:val="List Continue 6"/>
    <w:basedOn w:val="ListContinue5"/>
    <w:rsid w:val="005B378E"/>
    <w:pPr>
      <w:numPr>
        <w:numId w:val="15"/>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rPr>
  </w:style>
  <w:style w:type="paragraph" w:styleId="TOC7">
    <w:name w:val="toc 7"/>
    <w:basedOn w:val="Normal"/>
    <w:next w:val="Normal"/>
    <w:autoRedefine/>
    <w:rsid w:val="005B378E"/>
    <w:pPr>
      <w:ind w:left="1200"/>
    </w:pPr>
    <w:rPr>
      <w:rFonts w:ascii="Cambria" w:hAnsi="Cambria"/>
    </w:rPr>
  </w:style>
  <w:style w:type="paragraph" w:styleId="TOC8">
    <w:name w:val="toc 8"/>
    <w:basedOn w:val="Normal"/>
    <w:next w:val="Normal"/>
    <w:autoRedefine/>
    <w:rsid w:val="005B378E"/>
    <w:pPr>
      <w:ind w:left="1400"/>
    </w:pPr>
    <w:rPr>
      <w:rFonts w:ascii="Cambria" w:hAnsi="Cambria"/>
    </w:rPr>
  </w:style>
  <w:style w:type="paragraph" w:styleId="TOC9">
    <w:name w:val="toc 9"/>
    <w:basedOn w:val="Normal"/>
    <w:next w:val="Normal"/>
    <w:autoRedefine/>
    <w:rsid w:val="005B378E"/>
    <w:pPr>
      <w:ind w:left="1600"/>
    </w:pPr>
    <w:rPr>
      <w:rFonts w:ascii="Cambria" w:hAnsi="Cambria"/>
    </w:rPr>
  </w:style>
  <w:style w:type="character" w:customStyle="1" w:styleId="ListNumber2Char">
    <w:name w:val="List Number 2 Char"/>
    <w:link w:val="ListNumber2"/>
    <w:rsid w:val="005B378E"/>
    <w:rPr>
      <w:rFonts w:ascii="Tahoma" w:eastAsia="Times New Roman" w:hAnsi="Tahoma"/>
      <w:sz w:val="24"/>
      <w:szCs w:val="24"/>
      <w:lang w:eastAsia="en-GB"/>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paragraph" w:customStyle="1" w:styleId="TOCContentsRequest">
    <w:name w:val="TOC Contents Request"/>
    <w:basedOn w:val="TOCContents01MOD"/>
    <w:qFormat/>
    <w:rsid w:val="00974D98"/>
    <w:rPr>
      <w:rFonts w:cs="Arial"/>
      <w:color w:val="993366"/>
    </w:rPr>
  </w:style>
  <w:style w:type="character" w:styleId="PageNumber">
    <w:name w:val="page number"/>
    <w:basedOn w:val="DefaultParagraphFont"/>
    <w:rsid w:val="00C954D7"/>
  </w:style>
  <w:style w:type="paragraph" w:customStyle="1" w:styleId="GridTable31">
    <w:name w:val="Grid Table 31"/>
    <w:basedOn w:val="Heading1"/>
    <w:next w:val="Normal"/>
    <w:uiPriority w:val="39"/>
    <w:unhideWhenUsed/>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rsid w:val="00377752"/>
    <w:pPr>
      <w:ind w:left="720"/>
      <w:contextualSpacing/>
    </w:pPr>
  </w:style>
  <w:style w:type="paragraph" w:styleId="Caption">
    <w:name w:val="caption"/>
    <w:basedOn w:val="Normal"/>
    <w:next w:val="Normal"/>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rPr>
  </w:style>
  <w:style w:type="paragraph" w:customStyle="1" w:styleId="About02">
    <w:name w:val="About 02"/>
    <w:basedOn w:val="About01"/>
    <w:qFormat/>
    <w:rsid w:val="0086142A"/>
    <w:pPr>
      <w:numPr>
        <w:ilvl w:val="0"/>
      </w:numPr>
      <w:shd w:val="clear" w:color="auto" w:fill="0096D7"/>
      <w:ind w:left="720" w:hanging="720"/>
    </w:pPr>
  </w:style>
  <w:style w:type="paragraph" w:customStyle="1" w:styleId="About03">
    <w:name w:val="About 03"/>
    <w:basedOn w:val="About01"/>
    <w:qFormat/>
    <w:rsid w:val="005C14D7"/>
    <w:pPr>
      <w:shd w:val="clear" w:color="auto" w:fill="993366"/>
    </w:pPr>
    <w:rPr>
      <w:rFonts w:ascii="Arial" w:hAnsi="Arial"/>
    </w:rPr>
  </w:style>
  <w:style w:type="paragraph" w:customStyle="1" w:styleId="About04">
    <w:name w:val="About 04"/>
    <w:basedOn w:val="About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0035A7"/>
    <w:pPr>
      <w:pBdr>
        <w:top w:val="single" w:sz="48" w:space="1" w:color="993366"/>
        <w:left w:val="single" w:sz="48" w:space="4" w:color="993366"/>
        <w:bottom w:val="single" w:sz="48" w:space="1" w:color="993366"/>
        <w:right w:val="single" w:sz="48" w:space="4" w:color="993366"/>
      </w:pBdr>
      <w:shd w:val="clear" w:color="auto" w:fill="993366"/>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5C14D7"/>
    <w:pPr>
      <w:pBdr>
        <w:top w:val="single" w:sz="48" w:space="1" w:color="993366"/>
        <w:left w:val="single" w:sz="48" w:space="4" w:color="993366"/>
        <w:bottom w:val="single" w:sz="48" w:space="1" w:color="993366"/>
        <w:right w:val="single" w:sz="48" w:space="4" w:color="993366"/>
      </w:pBdr>
      <w:shd w:val="clear" w:color="auto" w:fill="993366"/>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235E05"/>
    <w:pPr>
      <w:tabs>
        <w:tab w:val="center" w:pos="4320"/>
        <w:tab w:val="right" w:pos="8640"/>
      </w:tabs>
    </w:pPr>
  </w:style>
  <w:style w:type="character" w:customStyle="1" w:styleId="HeaderChar">
    <w:name w:val="Header Char"/>
    <w:link w:val="Header"/>
    <w:rsid w:val="00235E05"/>
    <w:rPr>
      <w:rFonts w:ascii="Tahoma" w:eastAsia="Times New Roman" w:hAnsi="Tahoma"/>
      <w:szCs w:val="24"/>
      <w:lang w:eastAsia="en-GB"/>
    </w:rPr>
  </w:style>
  <w:style w:type="paragraph" w:customStyle="1" w:styleId="ContentsRequest">
    <w:name w:val="Contents Request"/>
    <w:basedOn w:val="Contents04"/>
    <w:qFormat/>
    <w:rsid w:val="00E240D7"/>
    <w:pPr>
      <w:pBdr>
        <w:top w:val="single" w:sz="48" w:space="1" w:color="993366"/>
        <w:left w:val="single" w:sz="48" w:space="4" w:color="993366"/>
        <w:bottom w:val="single" w:sz="48" w:space="1" w:color="993366"/>
        <w:right w:val="single" w:sz="48" w:space="4" w:color="993366"/>
      </w:pBdr>
      <w:shd w:val="clear" w:color="auto" w:fill="993366"/>
    </w:pPr>
    <w:rPr>
      <w:noProof/>
    </w:rPr>
  </w:style>
  <w:style w:type="paragraph" w:customStyle="1" w:styleId="AboutRequest">
    <w:name w:val="About Request"/>
    <w:basedOn w:val="About04"/>
    <w:rsid w:val="009900CB"/>
    <w:pPr>
      <w:shd w:val="clear" w:color="auto" w:fill="993366"/>
    </w:pPr>
  </w:style>
  <w:style w:type="paragraph" w:customStyle="1" w:styleId="HeadingRequest">
    <w:name w:val="Heading Request"/>
    <w:basedOn w:val="Heading04"/>
    <w:next w:val="Normal"/>
    <w:rsid w:val="009900CB"/>
    <w:pPr>
      <w:pBdr>
        <w:top w:val="single" w:sz="48" w:space="1" w:color="993366"/>
        <w:left w:val="single" w:sz="48" w:space="4" w:color="993366"/>
        <w:bottom w:val="single" w:sz="48" w:space="1" w:color="993366"/>
        <w:right w:val="single" w:sz="48" w:space="4" w:color="993366"/>
      </w:pBdr>
      <w:shd w:val="clear" w:color="auto" w:fill="993366"/>
      <w:ind w:left="432" w:hanging="432"/>
    </w:pPr>
  </w:style>
  <w:style w:type="paragraph" w:customStyle="1" w:styleId="TOCContents01MOD">
    <w:name w:val="TOC Contents 01 MOD"/>
    <w:basedOn w:val="Normal"/>
    <w:qFormat/>
    <w:rsid w:val="008945CA"/>
    <w:pPr>
      <w:tabs>
        <w:tab w:val="left" w:pos="382"/>
        <w:tab w:val="right" w:pos="7655"/>
      </w:tabs>
      <w:ind w:right="318"/>
    </w:pPr>
    <w:rPr>
      <w:b/>
      <w:bCs/>
      <w:noProof/>
      <w:color w:val="008576"/>
      <w:sz w:val="24"/>
    </w:rPr>
  </w:style>
  <w:style w:type="paragraph" w:styleId="TOAHeading">
    <w:name w:val="toa heading"/>
    <w:basedOn w:val="Normal"/>
    <w:next w:val="Normal"/>
    <w:rsid w:val="00974D98"/>
    <w:rPr>
      <w:rFonts w:ascii="Calibri" w:eastAsia="MS Gothic" w:hAnsi="Calibri"/>
      <w:b/>
      <w:bCs/>
      <w:sz w:val="24"/>
      <w:szCs w:val="24"/>
    </w:rPr>
  </w:style>
  <w:style w:type="paragraph" w:customStyle="1" w:styleId="TOCContents02WGR">
    <w:name w:val="TOC Contents 02 WGR"/>
    <w:basedOn w:val="TOCContents01MOD"/>
    <w:qFormat/>
    <w:rsid w:val="00974D98"/>
    <w:rPr>
      <w:rFonts w:cs="Arial"/>
      <w:color w:val="0096D7"/>
      <w:szCs w:val="24"/>
    </w:rPr>
  </w:style>
  <w:style w:type="paragraph" w:customStyle="1" w:styleId="TOCContents03DMR">
    <w:name w:val="TOC Contents 03 DMR"/>
    <w:basedOn w:val="TOCContentsRequest"/>
    <w:qFormat/>
    <w:rsid w:val="008945CA"/>
    <w:rPr>
      <w:color w:val="9A4D9E"/>
    </w:rPr>
  </w:style>
  <w:style w:type="paragraph" w:customStyle="1" w:styleId="TOCContents04FMR">
    <w:name w:val="TOC Contents 04 FMR"/>
    <w:basedOn w:val="TOCContentsRequest"/>
    <w:qFormat/>
    <w:rsid w:val="008945CA"/>
    <w:rPr>
      <w:color w:val="F59114"/>
    </w:rPr>
  </w:style>
  <w:style w:type="character" w:styleId="UnresolvedMention">
    <w:name w:val="Unresolved Mention"/>
    <w:uiPriority w:val="47"/>
    <w:rsid w:val="00D8242C"/>
    <w:rPr>
      <w:color w:val="605E5C"/>
      <w:shd w:val="clear" w:color="auto" w:fill="E1DFDD"/>
    </w:rPr>
  </w:style>
  <w:style w:type="table" w:customStyle="1" w:styleId="TableGrid10">
    <w:name w:val="Table Grid1"/>
    <w:basedOn w:val="TableNormal"/>
    <w:next w:val="TableGrid"/>
    <w:uiPriority w:val="39"/>
    <w:rsid w:val="00C354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345533"/>
    <w:rPr>
      <w:rFonts w:ascii="Arial" w:eastAsia="Times New Roman" w:hAnsi="Arial"/>
    </w:rPr>
  </w:style>
  <w:style w:type="paragraph" w:customStyle="1" w:styleId="UNCStyle1">
    <w:name w:val="UNCStyle1"/>
    <w:basedOn w:val="BlockText"/>
    <w:link w:val="UNCStyle1Char"/>
    <w:qFormat/>
    <w:rsid w:val="0065681F"/>
    <w:pPr>
      <w:pBdr>
        <w:top w:val="single" w:sz="48" w:space="1" w:color="993366"/>
        <w:left w:val="single" w:sz="48" w:space="4" w:color="993366"/>
        <w:bottom w:val="single" w:sz="48" w:space="1" w:color="993366"/>
        <w:right w:val="single" w:sz="48" w:space="4" w:color="993366"/>
      </w:pBdr>
      <w:shd w:val="clear" w:color="auto" w:fill="993366"/>
      <w:spacing w:before="0" w:after="0" w:line="240" w:lineRule="auto"/>
      <w:ind w:left="136" w:right="238"/>
    </w:pPr>
    <w:rPr>
      <w:rFonts w:cs="Arial"/>
      <w:sz w:val="20"/>
    </w:rPr>
  </w:style>
  <w:style w:type="paragraph" w:customStyle="1" w:styleId="UNCStyle2">
    <w:name w:val="UNCStyle2"/>
    <w:basedOn w:val="UNCStyle1"/>
    <w:link w:val="UNCStyle2Char"/>
    <w:qFormat/>
    <w:rsid w:val="008E1199"/>
    <w:pPr>
      <w:framePr w:wrap="around" w:vAnchor="text" w:hAnchor="text" w:y="1"/>
      <w:pBdr>
        <w:top w:val="single" w:sz="48" w:space="1" w:color="0096D7"/>
        <w:left w:val="single" w:sz="48" w:space="4" w:color="0096D7"/>
        <w:bottom w:val="single" w:sz="48" w:space="1" w:color="0096D7"/>
        <w:right w:val="single" w:sz="48" w:space="4" w:color="0096D7"/>
      </w:pBdr>
      <w:shd w:val="clear" w:color="auto" w:fill="0096D7"/>
    </w:pPr>
  </w:style>
  <w:style w:type="character" w:customStyle="1" w:styleId="UNCStyle1Char">
    <w:name w:val="UNCStyle1 Char"/>
    <w:basedOn w:val="BlockTextChar"/>
    <w:link w:val="UNCStyle1"/>
    <w:rsid w:val="0065681F"/>
    <w:rPr>
      <w:rFonts w:ascii="Arial" w:eastAsia="Times New Roman" w:hAnsi="Arial" w:cs="Arial"/>
      <w:color w:val="FFFFFF"/>
      <w:sz w:val="18"/>
      <w:shd w:val="clear" w:color="auto" w:fill="993366"/>
      <w:lang w:val="en-GB" w:eastAsia="en-GB"/>
    </w:rPr>
  </w:style>
  <w:style w:type="paragraph" w:customStyle="1" w:styleId="UNCStyle3">
    <w:name w:val="UNCStyle3"/>
    <w:basedOn w:val="Normal"/>
    <w:next w:val="UNCStyle2"/>
    <w:link w:val="UNCStyle3Char"/>
    <w:qFormat/>
    <w:rsid w:val="00745709"/>
    <w:pPr>
      <w:pBdr>
        <w:top w:val="single" w:sz="48" w:space="1" w:color="F59114"/>
        <w:left w:val="single" w:sz="48" w:space="4" w:color="F59114"/>
        <w:bottom w:val="single" w:sz="48" w:space="1" w:color="F59114"/>
        <w:right w:val="single" w:sz="48" w:space="4" w:color="F59114"/>
      </w:pBdr>
      <w:shd w:val="clear" w:color="auto" w:fill="F59114"/>
      <w:spacing w:before="0" w:after="0" w:line="240" w:lineRule="auto"/>
      <w:ind w:left="136" w:right="238"/>
    </w:pPr>
    <w:rPr>
      <w:rFonts w:cs="Arial"/>
      <w:color w:val="FFFFFF"/>
      <w:szCs w:val="28"/>
    </w:rPr>
  </w:style>
  <w:style w:type="character" w:customStyle="1" w:styleId="UNCStyle2Char">
    <w:name w:val="UNCStyle2 Char"/>
    <w:basedOn w:val="UNCStyle1Char"/>
    <w:link w:val="UNCStyle2"/>
    <w:rsid w:val="008E1199"/>
    <w:rPr>
      <w:rFonts w:ascii="Arial" w:eastAsia="Times New Roman" w:hAnsi="Arial" w:cs="Arial"/>
      <w:color w:val="FFFFFF"/>
      <w:sz w:val="18"/>
      <w:shd w:val="clear" w:color="auto" w:fill="0096D7"/>
      <w:lang w:val="en-GB" w:eastAsia="en-GB"/>
    </w:rPr>
  </w:style>
  <w:style w:type="paragraph" w:customStyle="1" w:styleId="UNCRequest3">
    <w:name w:val="UNC Request 3"/>
    <w:basedOn w:val="UNCStyle3"/>
    <w:next w:val="UNCStyle1"/>
    <w:link w:val="UNCRequest3Char"/>
    <w:qFormat/>
    <w:rsid w:val="00967004"/>
    <w:pPr>
      <w:pBdr>
        <w:top w:val="single" w:sz="48" w:space="10" w:color="F59114"/>
        <w:bottom w:val="single" w:sz="48" w:space="10" w:color="F59114"/>
      </w:pBdr>
    </w:pPr>
    <w:rPr>
      <w:b/>
      <w:sz w:val="28"/>
    </w:rPr>
  </w:style>
  <w:style w:type="character" w:customStyle="1" w:styleId="UNCStyle3Char">
    <w:name w:val="UNCStyle3 Char"/>
    <w:basedOn w:val="DefaultParagraphFont"/>
    <w:link w:val="UNCStyle3"/>
    <w:rsid w:val="00745709"/>
    <w:rPr>
      <w:rFonts w:ascii="Arial" w:eastAsia="Times New Roman" w:hAnsi="Arial" w:cs="Arial"/>
      <w:color w:val="FFFFFF"/>
      <w:szCs w:val="28"/>
      <w:shd w:val="clear" w:color="auto" w:fill="F59114"/>
    </w:rPr>
  </w:style>
  <w:style w:type="paragraph" w:customStyle="1" w:styleId="UNCRequest2">
    <w:name w:val="UNC Request 2"/>
    <w:basedOn w:val="UNCRequest3"/>
    <w:link w:val="UNCRequest2Char"/>
    <w:qFormat/>
    <w:rsid w:val="002119A6"/>
    <w:pPr>
      <w:pBdr>
        <w:top w:val="single" w:sz="48" w:space="10" w:color="0096D7"/>
        <w:left w:val="single" w:sz="48" w:space="4" w:color="0096D7"/>
        <w:bottom w:val="single" w:sz="48" w:space="10" w:color="0096D7"/>
        <w:right w:val="single" w:sz="48" w:space="4" w:color="0096D7"/>
      </w:pBdr>
      <w:shd w:val="clear" w:color="auto" w:fill="0096D7"/>
    </w:pPr>
  </w:style>
  <w:style w:type="character" w:customStyle="1" w:styleId="UNCRequest3Char">
    <w:name w:val="UNC Request 3 Char"/>
    <w:basedOn w:val="UNCStyle3Char"/>
    <w:link w:val="UNCRequest3"/>
    <w:rsid w:val="00967004"/>
    <w:rPr>
      <w:rFonts w:ascii="Arial" w:eastAsia="Times New Roman" w:hAnsi="Arial" w:cs="Arial"/>
      <w:b/>
      <w:color w:val="FFFFFF"/>
      <w:sz w:val="28"/>
      <w:szCs w:val="28"/>
      <w:shd w:val="clear" w:color="auto" w:fill="F59114"/>
    </w:rPr>
  </w:style>
  <w:style w:type="paragraph" w:customStyle="1" w:styleId="UNCRequest1">
    <w:name w:val="UNC Request 1"/>
    <w:basedOn w:val="UNCStyle3"/>
    <w:link w:val="UNCRequest1Char"/>
    <w:qFormat/>
    <w:rsid w:val="00071234"/>
    <w:pPr>
      <w:pBdr>
        <w:top w:val="single" w:sz="48" w:space="10" w:color="993366"/>
        <w:left w:val="single" w:sz="48" w:space="4" w:color="993366"/>
        <w:bottom w:val="single" w:sz="48" w:space="10" w:color="993366"/>
        <w:right w:val="single" w:sz="48" w:space="4" w:color="993366"/>
      </w:pBdr>
      <w:shd w:val="clear" w:color="auto" w:fill="993366"/>
    </w:pPr>
    <w:rPr>
      <w:b/>
      <w:sz w:val="28"/>
    </w:rPr>
  </w:style>
  <w:style w:type="character" w:customStyle="1" w:styleId="UNCRequest2Char">
    <w:name w:val="UNC Request 2 Char"/>
    <w:basedOn w:val="UNCRequest3Char"/>
    <w:link w:val="UNCRequest2"/>
    <w:rsid w:val="002119A6"/>
    <w:rPr>
      <w:rFonts w:ascii="Arial" w:eastAsia="Times New Roman" w:hAnsi="Arial" w:cs="Arial"/>
      <w:b/>
      <w:color w:val="FFFFFF"/>
      <w:sz w:val="28"/>
      <w:szCs w:val="28"/>
      <w:shd w:val="clear" w:color="auto" w:fill="0096D7"/>
    </w:rPr>
  </w:style>
  <w:style w:type="character" w:customStyle="1" w:styleId="UNCRequest1Char">
    <w:name w:val="UNC Request 1 Char"/>
    <w:basedOn w:val="UNCStyle3Char"/>
    <w:link w:val="UNCRequest1"/>
    <w:rsid w:val="00071234"/>
    <w:rPr>
      <w:rFonts w:ascii="Arial" w:eastAsia="Times New Roman" w:hAnsi="Arial" w:cs="Arial"/>
      <w:b/>
      <w:color w:val="FFFFFF"/>
      <w:sz w:val="28"/>
      <w:szCs w:val="28"/>
      <w:shd w:val="clear" w:color="auto" w:fill="99336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43088">
      <w:bodyDiv w:val="1"/>
      <w:marLeft w:val="0"/>
      <w:marRight w:val="0"/>
      <w:marTop w:val="0"/>
      <w:marBottom w:val="0"/>
      <w:divBdr>
        <w:top w:val="none" w:sz="0" w:space="0" w:color="auto"/>
        <w:left w:val="none" w:sz="0" w:space="0" w:color="auto"/>
        <w:bottom w:val="none" w:sz="0" w:space="0" w:color="auto"/>
        <w:right w:val="none" w:sz="0" w:space="0" w:color="auto"/>
      </w:divBdr>
      <w:divsChild>
        <w:div w:id="1813598420">
          <w:marLeft w:val="0"/>
          <w:marRight w:val="0"/>
          <w:marTop w:val="0"/>
          <w:marBottom w:val="0"/>
          <w:divBdr>
            <w:top w:val="none" w:sz="0" w:space="0" w:color="auto"/>
            <w:left w:val="none" w:sz="0" w:space="0" w:color="auto"/>
            <w:bottom w:val="none" w:sz="0" w:space="0" w:color="auto"/>
            <w:right w:val="none" w:sz="0" w:space="0" w:color="auto"/>
          </w:divBdr>
          <w:divsChild>
            <w:div w:id="861552137">
              <w:marLeft w:val="0"/>
              <w:marRight w:val="0"/>
              <w:marTop w:val="0"/>
              <w:marBottom w:val="0"/>
              <w:divBdr>
                <w:top w:val="none" w:sz="0" w:space="0" w:color="auto"/>
                <w:left w:val="none" w:sz="0" w:space="0" w:color="auto"/>
                <w:bottom w:val="none" w:sz="0" w:space="0" w:color="auto"/>
                <w:right w:val="none" w:sz="0" w:space="0" w:color="auto"/>
              </w:divBdr>
              <w:divsChild>
                <w:div w:id="5704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457264967">
      <w:bodyDiv w:val="1"/>
      <w:marLeft w:val="0"/>
      <w:marRight w:val="0"/>
      <w:marTop w:val="0"/>
      <w:marBottom w:val="0"/>
      <w:divBdr>
        <w:top w:val="none" w:sz="0" w:space="0" w:color="auto"/>
        <w:left w:val="none" w:sz="0" w:space="0" w:color="auto"/>
        <w:bottom w:val="none" w:sz="0" w:space="0" w:color="auto"/>
        <w:right w:val="none" w:sz="0" w:space="0" w:color="auto"/>
      </w:divBdr>
      <w:divsChild>
        <w:div w:id="1769349546">
          <w:marLeft w:val="0"/>
          <w:marRight w:val="0"/>
          <w:marTop w:val="0"/>
          <w:marBottom w:val="0"/>
          <w:divBdr>
            <w:top w:val="none" w:sz="0" w:space="0" w:color="auto"/>
            <w:left w:val="none" w:sz="0" w:space="0" w:color="auto"/>
            <w:bottom w:val="none" w:sz="0" w:space="0" w:color="auto"/>
            <w:right w:val="none" w:sz="0" w:space="0" w:color="auto"/>
          </w:divBdr>
          <w:divsChild>
            <w:div w:id="1142428910">
              <w:marLeft w:val="0"/>
              <w:marRight w:val="0"/>
              <w:marTop w:val="0"/>
              <w:marBottom w:val="0"/>
              <w:divBdr>
                <w:top w:val="none" w:sz="0" w:space="0" w:color="auto"/>
                <w:left w:val="none" w:sz="0" w:space="0" w:color="auto"/>
                <w:bottom w:val="none" w:sz="0" w:space="0" w:color="auto"/>
                <w:right w:val="none" w:sz="0" w:space="0" w:color="auto"/>
              </w:divBdr>
              <w:divsChild>
                <w:div w:id="681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1293827901">
      <w:bodyDiv w:val="1"/>
      <w:marLeft w:val="0"/>
      <w:marRight w:val="0"/>
      <w:marTop w:val="0"/>
      <w:marBottom w:val="0"/>
      <w:divBdr>
        <w:top w:val="none" w:sz="0" w:space="0" w:color="auto"/>
        <w:left w:val="none" w:sz="0" w:space="0" w:color="auto"/>
        <w:bottom w:val="none" w:sz="0" w:space="0" w:color="auto"/>
        <w:right w:val="none" w:sz="0" w:space="0" w:color="auto"/>
      </w:divBdr>
      <w:divsChild>
        <w:div w:id="1256212834">
          <w:marLeft w:val="0"/>
          <w:marRight w:val="0"/>
          <w:marTop w:val="0"/>
          <w:marBottom w:val="0"/>
          <w:divBdr>
            <w:top w:val="none" w:sz="0" w:space="0" w:color="auto"/>
            <w:left w:val="none" w:sz="0" w:space="0" w:color="auto"/>
            <w:bottom w:val="none" w:sz="0" w:space="0" w:color="auto"/>
            <w:right w:val="none" w:sz="0" w:space="0" w:color="auto"/>
          </w:divBdr>
          <w:divsChild>
            <w:div w:id="1791364913">
              <w:marLeft w:val="0"/>
              <w:marRight w:val="0"/>
              <w:marTop w:val="0"/>
              <w:marBottom w:val="0"/>
              <w:divBdr>
                <w:top w:val="none" w:sz="0" w:space="0" w:color="auto"/>
                <w:left w:val="none" w:sz="0" w:space="0" w:color="auto"/>
                <w:bottom w:val="none" w:sz="0" w:space="0" w:color="auto"/>
                <w:right w:val="none" w:sz="0" w:space="0" w:color="auto"/>
              </w:divBdr>
              <w:divsChild>
                <w:div w:id="3034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9798">
      <w:bodyDiv w:val="1"/>
      <w:marLeft w:val="0"/>
      <w:marRight w:val="0"/>
      <w:marTop w:val="0"/>
      <w:marBottom w:val="0"/>
      <w:divBdr>
        <w:top w:val="none" w:sz="0" w:space="0" w:color="auto"/>
        <w:left w:val="none" w:sz="0" w:space="0" w:color="auto"/>
        <w:bottom w:val="none" w:sz="0" w:space="0" w:color="auto"/>
        <w:right w:val="none" w:sz="0" w:space="0" w:color="auto"/>
      </w:divBdr>
      <w:divsChild>
        <w:div w:id="1197885228">
          <w:marLeft w:val="0"/>
          <w:marRight w:val="0"/>
          <w:marTop w:val="0"/>
          <w:marBottom w:val="0"/>
          <w:divBdr>
            <w:top w:val="none" w:sz="0" w:space="0" w:color="auto"/>
            <w:left w:val="none" w:sz="0" w:space="0" w:color="auto"/>
            <w:bottom w:val="none" w:sz="0" w:space="0" w:color="auto"/>
            <w:right w:val="none" w:sz="0" w:space="0" w:color="auto"/>
          </w:divBdr>
          <w:divsChild>
            <w:div w:id="831527656">
              <w:marLeft w:val="0"/>
              <w:marRight w:val="0"/>
              <w:marTop w:val="0"/>
              <w:marBottom w:val="0"/>
              <w:divBdr>
                <w:top w:val="none" w:sz="0" w:space="0" w:color="auto"/>
                <w:left w:val="none" w:sz="0" w:space="0" w:color="auto"/>
                <w:bottom w:val="none" w:sz="0" w:space="0" w:color="auto"/>
                <w:right w:val="none" w:sz="0" w:space="0" w:color="auto"/>
              </w:divBdr>
              <w:divsChild>
                <w:div w:id="6045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image" Target="media/image2.jpeg"/><Relationship Id="rId26" Type="http://schemas.openxmlformats.org/officeDocument/2006/relationships/hyperlink" Target="https://www.gasgovernance.co.uk/0851/220224" TargetMode="External"/><Relationship Id="rId39" Type="http://schemas.openxmlformats.org/officeDocument/2006/relationships/hyperlink" Target="https://www.gasgovernance.co.uk/cacop" TargetMode="External"/><Relationship Id="rId3" Type="http://schemas.openxmlformats.org/officeDocument/2006/relationships/customXml" Target="../customXml/item3.xml"/><Relationship Id="rId21" Type="http://schemas.openxmlformats.org/officeDocument/2006/relationships/hyperlink" Target="mailto:david.morley@ovo.com" TargetMode="External"/><Relationship Id="rId34" Type="http://schemas.openxmlformats.org/officeDocument/2006/relationships/hyperlink" Target="https://www.gasgovernance.co.uk/0851/230524"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image" Target="media/image1.emf"/><Relationship Id="rId25" Type="http://schemas.openxmlformats.org/officeDocument/2006/relationships/hyperlink" Target="https://www.gasgovernance.co.uk/0851/250124" TargetMode="External"/><Relationship Id="rId33" Type="http://schemas.openxmlformats.org/officeDocument/2006/relationships/hyperlink" Target="https://www.gasgovernance.co.uk/0851/280324" TargetMode="External"/><Relationship Id="rId38" Type="http://schemas.openxmlformats.org/officeDocument/2006/relationships/header" Target="header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3.jpeg"/><Relationship Id="rId29" Type="http://schemas.openxmlformats.org/officeDocument/2006/relationships/hyperlink" Target="https://www.gasgovernance.co.uk/0851/231123"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asgovernance.co.uk/0851/111223" TargetMode="External"/><Relationship Id="rId32" Type="http://schemas.openxmlformats.org/officeDocument/2006/relationships/hyperlink" Target="https://www.gasgovernance.co.uk/0851/220224" TargetMode="External"/><Relationship Id="rId37" Type="http://schemas.openxmlformats.org/officeDocument/2006/relationships/footer" Target="footer2.xml"/><Relationship Id="rId40" Type="http://schemas.openxmlformats.org/officeDocument/2006/relationships/hyperlink" Target="https://www.gasgovernance.co.uk/0884" TargetMode="Externa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yperlink" Target="https://www.gasgovernance.co.uk/0851/231123" TargetMode="External"/><Relationship Id="rId28" Type="http://schemas.openxmlformats.org/officeDocument/2006/relationships/hyperlink" Target="https://www.gasgovernance.co.uk/0851/230524"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enquiries@gasgovernance.co.uk" TargetMode="External"/><Relationship Id="rId31" Type="http://schemas.openxmlformats.org/officeDocument/2006/relationships/hyperlink" Target="https://www.gasgovernance.co.uk/0851/25012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mailto:UKLink@xoserve.com" TargetMode="External"/><Relationship Id="rId27" Type="http://schemas.openxmlformats.org/officeDocument/2006/relationships/hyperlink" Target="https://www.gasgovernance.co.uk/0851/280324" TargetMode="External"/><Relationship Id="rId30" Type="http://schemas.openxmlformats.org/officeDocument/2006/relationships/hyperlink" Target="https://www.gasgovernance.co.uk/0851/111223" TargetMode="External"/><Relationship Id="rId35" Type="http://schemas.openxmlformats.org/officeDocument/2006/relationships/header" Target="header1.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35C7C2-51E9-394B-865D-5CF1BEB503EE}" type="doc">
      <dgm:prSet loTypeId="urn:microsoft.com/office/officeart/2005/8/layout/lProcess3" loCatId="" qsTypeId="urn:microsoft.com/office/officeart/2005/8/quickstyle/simple3" qsCatId="simple" csTypeId="urn:microsoft.com/office/officeart/2005/8/colors/accent0_2" csCatId="mainScheme" phldr="1"/>
      <dgm:spPr/>
      <dgm:t>
        <a:bodyPr/>
        <a:lstStyle/>
        <a:p>
          <a:endParaRPr lang="en-US"/>
        </a:p>
      </dgm:t>
    </dgm:pt>
    <dgm:pt modelId="{5BE3AFFD-0744-D545-9D0B-FED6D271D6BB}">
      <dgm:prSet phldrT="[Text]"/>
      <dgm:spPr>
        <a:xfrm>
          <a:off x="367041" y="3994"/>
          <a:ext cx="882003" cy="337242"/>
        </a:xfrm>
        <a:prstGeom prst="roundRect">
          <a:avLst/>
        </a:prstGeom>
        <a:noFill/>
        <a:ln w="9525" cap="flat" cmpd="sng" algn="ctr">
          <a:solidFill>
            <a:srgbClr val="993366">
              <a:alpha val="95000"/>
            </a:srgbClr>
          </a:solidFill>
          <a:prstDash val="solid"/>
        </a:ln>
        <a:effectLst/>
      </dgm:spPr>
      <dgm:t>
        <a:bodyPr/>
        <a:lstStyle/>
        <a:p>
          <a:pPr algn="l"/>
          <a:r>
            <a:rPr lang="en-US">
              <a:solidFill>
                <a:srgbClr val="993366"/>
              </a:solidFill>
              <a:latin typeface="Arial"/>
              <a:ea typeface="+mn-ea"/>
              <a:cs typeface="Arial"/>
            </a:rPr>
            <a:t>Request</a:t>
          </a:r>
        </a:p>
      </dgm:t>
    </dgm:pt>
    <dgm:pt modelId="{49B6E38E-A4F0-BB4A-9082-460B9A1001BB}" type="parTrans" cxnId="{F767FDA4-B27C-3E4C-B976-BEA6302D14AC}">
      <dgm:prSet/>
      <dgm:spPr/>
      <dgm:t>
        <a:bodyPr/>
        <a:lstStyle/>
        <a:p>
          <a:endParaRPr lang="en-US"/>
        </a:p>
      </dgm:t>
    </dgm:pt>
    <dgm:pt modelId="{AFA8EBC2-38CB-824B-863F-CC7215829219}" type="sibTrans" cxnId="{F767FDA4-B27C-3E4C-B976-BEA6302D14AC}">
      <dgm:prSet/>
      <dgm:spPr/>
      <dgm:t>
        <a:bodyPr/>
        <a:lstStyle/>
        <a:p>
          <a:endParaRPr lang="en-US"/>
        </a:p>
      </dgm:t>
    </dgm:pt>
    <dgm:pt modelId="{FE36DC7D-33C3-474A-84C4-F97FE5B7F95C}">
      <dgm:prSet phldrT="[Text]" custT="1"/>
      <dgm:spPr>
        <a:xfrm>
          <a:off x="0" y="397662"/>
          <a:ext cx="338401" cy="338399"/>
        </a:xfrm>
        <a:prstGeom prst="roundRect">
          <a:avLst/>
        </a:prstGeom>
        <a:solidFill>
          <a:srgbClr val="0096D7">
            <a:alpha val="90000"/>
          </a:srgbClr>
        </a:solidFill>
        <a:ln>
          <a:solidFill>
            <a:srgbClr val="0096D7">
              <a:alpha val="95000"/>
            </a:srgbClr>
          </a:solidFill>
        </a:ln>
        <a:effectLst/>
        <a:scene3d>
          <a:camera prst="orthographicFront"/>
          <a:lightRig rig="flat" dir="t"/>
        </a:scene3d>
        <a:sp3d prstMaterial="dkEdge"/>
      </dgm:spPr>
      <dgm:t>
        <a:bodyPr/>
        <a:lstStyle/>
        <a:p>
          <a:r>
            <a:rPr lang="en-US" sz="1400">
              <a:solidFill>
                <a:srgbClr val="FFFFFF"/>
              </a:solidFill>
              <a:latin typeface="Arial"/>
              <a:ea typeface="+mn-ea"/>
              <a:cs typeface="Arial"/>
            </a:rPr>
            <a:t>02</a:t>
          </a:r>
        </a:p>
      </dgm:t>
    </dgm:pt>
    <dgm:pt modelId="{39AE5F75-3014-C94A-A7A1-3B2D157D249D}" type="parTrans" cxnId="{3BF4BD7E-B18E-E344-8177-464AFC6434C1}">
      <dgm:prSet/>
      <dgm:spPr/>
      <dgm:t>
        <a:bodyPr/>
        <a:lstStyle/>
        <a:p>
          <a:endParaRPr lang="en-US"/>
        </a:p>
      </dgm:t>
    </dgm:pt>
    <dgm:pt modelId="{731994F3-BE38-E44D-A7F0-A4BC55991596}" type="sibTrans" cxnId="{3BF4BD7E-B18E-E344-8177-464AFC6434C1}">
      <dgm:prSet/>
      <dgm:spPr/>
      <dgm:t>
        <a:bodyPr/>
        <a:lstStyle/>
        <a:p>
          <a:endParaRPr lang="en-US"/>
        </a:p>
      </dgm:t>
    </dgm:pt>
    <dgm:pt modelId="{7D0B45A4-2442-6540-9DAF-B0FB130DD5F7}">
      <dgm:prSet phldrT="[Text]"/>
      <dgm:spPr>
        <a:xfrm>
          <a:off x="368057" y="398048"/>
          <a:ext cx="880987" cy="337627"/>
        </a:xfrm>
        <a:prstGeom prst="roundRect">
          <a:avLst/>
        </a:prstGeom>
        <a:solidFill>
          <a:srgbClr val="0096D7">
            <a:alpha val="90000"/>
          </a:srgbClr>
        </a:solidFill>
        <a:ln w="9525" cap="flat" cmpd="sng" algn="ctr">
          <a:solidFill>
            <a:srgbClr val="0096D7">
              <a:alpha val="95000"/>
            </a:srgbClr>
          </a:solidFill>
          <a:prstDash val="solid"/>
        </a:ln>
        <a:effectLst/>
      </dgm:spPr>
      <dgm:t>
        <a:bodyPr/>
        <a:lstStyle/>
        <a:p>
          <a:pPr algn="l"/>
          <a:r>
            <a:rPr lang="en-US">
              <a:solidFill>
                <a:srgbClr val="FFFFFF"/>
              </a:solidFill>
              <a:latin typeface="Arial"/>
              <a:ea typeface="+mn-ea"/>
              <a:cs typeface="Arial"/>
            </a:rPr>
            <a:t>Workgroup Report</a:t>
          </a:r>
        </a:p>
      </dgm:t>
    </dgm:pt>
    <dgm:pt modelId="{D2990E9F-00EA-AA48-8299-3BF2CAE557BB}" type="parTrans" cxnId="{D95B5513-FD1D-024D-A3E7-DB65839174C4}">
      <dgm:prSet/>
      <dgm:spPr/>
      <dgm:t>
        <a:bodyPr/>
        <a:lstStyle/>
        <a:p>
          <a:endParaRPr lang="en-US"/>
        </a:p>
      </dgm:t>
    </dgm:pt>
    <dgm:pt modelId="{446D302A-985B-074E-97D7-904E98899421}" type="sibTrans" cxnId="{D95B5513-FD1D-024D-A3E7-DB65839174C4}">
      <dgm:prSet/>
      <dgm:spPr/>
      <dgm:t>
        <a:bodyPr/>
        <a:lstStyle/>
        <a:p>
          <a:endParaRPr lang="en-US"/>
        </a:p>
      </dgm:t>
    </dgm:pt>
    <dgm:pt modelId="{7D3B8AB1-5EA8-DD4D-ACED-0CCAB6FDFAE6}">
      <dgm:prSet phldrT="[Text]" custT="1"/>
      <dgm:spPr>
        <a:xfrm>
          <a:off x="0" y="1159"/>
          <a:ext cx="336091" cy="336091"/>
        </a:xfrm>
        <a:prstGeom prst="roundRect">
          <a:avLst/>
        </a:prstGeom>
        <a:noFill/>
        <a:ln>
          <a:solidFill>
            <a:srgbClr val="993366">
              <a:alpha val="95000"/>
            </a:srgbClr>
          </a:solidFill>
        </a:ln>
        <a:effectLst>
          <a:softEdge rad="1104900"/>
        </a:effectLst>
        <a:scene3d>
          <a:camera prst="orthographicFront"/>
          <a:lightRig rig="flat" dir="t"/>
        </a:scene3d>
        <a:sp3d prstMaterial="dkEdge">
          <a:bevelT w="0" h="38100"/>
        </a:sp3d>
      </dgm:spPr>
      <dgm:t>
        <a:bodyPr/>
        <a:lstStyle/>
        <a:p>
          <a:r>
            <a:rPr lang="en-US" sz="1400">
              <a:solidFill>
                <a:srgbClr val="993366"/>
              </a:solidFill>
              <a:latin typeface="Arial"/>
              <a:ea typeface="+mn-ea"/>
              <a:cs typeface="Arial"/>
            </a:rPr>
            <a:t>01</a:t>
          </a:r>
        </a:p>
      </dgm:t>
    </dgm:pt>
    <dgm:pt modelId="{555EF976-CB3E-3740-9714-D4E964B9FB72}" type="sibTrans" cxnId="{03D52E04-0D26-0D4A-A28A-FFBF2BBE9ECF}">
      <dgm:prSet/>
      <dgm:spPr/>
      <dgm:t>
        <a:bodyPr/>
        <a:lstStyle/>
        <a:p>
          <a:endParaRPr lang="en-US"/>
        </a:p>
      </dgm:t>
    </dgm:pt>
    <dgm:pt modelId="{ED96D06F-9A1E-2743-9913-78FDF7A29C30}" type="parTrans" cxnId="{03D52E04-0D26-0D4A-A28A-FFBF2BBE9ECF}">
      <dgm:prSet/>
      <dgm:spPr/>
      <dgm:t>
        <a:bodyPr/>
        <a:lstStyle/>
        <a:p>
          <a:endParaRPr lang="en-US"/>
        </a:p>
      </dgm:t>
    </dgm:pt>
    <dgm:pt modelId="{8C22D270-2B1D-3647-BB97-6172866B4A32}">
      <dgm:prSet phldrT="[Text]"/>
      <dgm:spPr>
        <a:xfrm>
          <a:off x="368057" y="795694"/>
          <a:ext cx="880987" cy="338013"/>
        </a:xfrm>
        <a:prstGeom prst="roundRect">
          <a:avLst/>
        </a:prstGeom>
        <a:solidFill>
          <a:sysClr val="window" lastClr="FFFFFF">
            <a:alpha val="90000"/>
            <a:tint val="40000"/>
            <a:hueOff val="0"/>
            <a:satOff val="0"/>
            <a:lumOff val="0"/>
            <a:alphaOff val="0"/>
          </a:sysClr>
        </a:solidFill>
        <a:ln w="9525" cap="flat" cmpd="sng" algn="ctr">
          <a:solidFill>
            <a:srgbClr val="F59114">
              <a:alpha val="95000"/>
            </a:srgbClr>
          </a:solidFill>
          <a:prstDash val="solid"/>
        </a:ln>
        <a:effectLst/>
      </dgm:spPr>
      <dgm:t>
        <a:bodyPr/>
        <a:lstStyle/>
        <a:p>
          <a:pPr algn="l"/>
          <a:r>
            <a:rPr lang="en-US">
              <a:solidFill>
                <a:srgbClr val="F59114"/>
              </a:solidFill>
              <a:latin typeface="Arial"/>
              <a:ea typeface="+mn-ea"/>
              <a:cs typeface="Arial"/>
            </a:rPr>
            <a:t>Final Modification Report</a:t>
          </a:r>
        </a:p>
      </dgm:t>
    </dgm:pt>
    <dgm:pt modelId="{8F951A2D-8316-7942-B199-785B2B0AB0C3}">
      <dgm:prSet phldrT="[Text]" custT="1"/>
      <dgm:spPr>
        <a:xfrm>
          <a:off x="0" y="796080"/>
          <a:ext cx="336857" cy="337241"/>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rgbClr val="F59114">
              <a:alpha val="95000"/>
            </a:srgbClr>
          </a:solidFill>
        </a:ln>
        <a:effectLst/>
        <a:scene3d>
          <a:camera prst="orthographicFront"/>
          <a:lightRig rig="flat" dir="t"/>
        </a:scene3d>
        <a:sp3d prstMaterial="dkEdge"/>
      </dgm:spPr>
      <dgm:t>
        <a:bodyPr/>
        <a:lstStyle/>
        <a:p>
          <a:r>
            <a:rPr lang="en-US" sz="1400">
              <a:solidFill>
                <a:srgbClr val="F59114"/>
              </a:solidFill>
              <a:latin typeface="Arial"/>
              <a:ea typeface="+mn-ea"/>
              <a:cs typeface="Arial"/>
            </a:rPr>
            <a:t>03</a:t>
          </a:r>
        </a:p>
      </dgm:t>
    </dgm:pt>
    <dgm:pt modelId="{173CF78D-536E-C343-8B69-65E61BE510E1}" type="sibTrans" cxnId="{17DDB721-9B40-1E49-B058-473FC2A4DAE2}">
      <dgm:prSet/>
      <dgm:spPr/>
      <dgm:t>
        <a:bodyPr/>
        <a:lstStyle/>
        <a:p>
          <a:endParaRPr lang="en-US"/>
        </a:p>
      </dgm:t>
    </dgm:pt>
    <dgm:pt modelId="{3AFE9292-A099-244C-A617-20602CFCB1E3}" type="parTrans" cxnId="{17DDB721-9B40-1E49-B058-473FC2A4DAE2}">
      <dgm:prSet/>
      <dgm:spPr/>
      <dgm:t>
        <a:bodyPr/>
        <a:lstStyle/>
        <a:p>
          <a:endParaRPr lang="en-US"/>
        </a:p>
      </dgm:t>
    </dgm:pt>
    <dgm:pt modelId="{86A14A3F-6CBD-0642-8679-AE7C81FE3EC1}" type="sibTrans" cxnId="{C8F73A05-0B1B-CF43-8F42-A217319C0D40}">
      <dgm:prSet/>
      <dgm:spPr/>
      <dgm:t>
        <a:bodyPr/>
        <a:lstStyle/>
        <a:p>
          <a:endParaRPr lang="en-US"/>
        </a:p>
      </dgm:t>
    </dgm:pt>
    <dgm:pt modelId="{E3826E31-B95B-6145-8AE4-3CE78F54B81E}" type="parTrans" cxnId="{C8F73A05-0B1B-CF43-8F42-A217319C0D40}">
      <dgm:prSet/>
      <dgm:spPr/>
      <dgm:t>
        <a:bodyPr/>
        <a:lstStyle/>
        <a:p>
          <a:endParaRPr lang="en-US"/>
        </a:p>
      </dgm:t>
    </dgm:pt>
    <dgm:pt modelId="{A0B44F8A-6A2F-0044-9BB8-0A3469DF2734}">
      <dgm:prSet phldrT="[Text]" custT="1"/>
      <dgm:spPr>
        <a:xfrm>
          <a:off x="0" y="1193339"/>
          <a:ext cx="337241" cy="336857"/>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ysClr val="window" lastClr="FFFFFF">
              <a:alpha val="95000"/>
            </a:sysClr>
          </a:solidFill>
        </a:ln>
        <a:effectLst/>
        <a:scene3d>
          <a:camera prst="orthographicFront"/>
          <a:lightRig rig="flat" dir="t"/>
        </a:scene3d>
        <a:sp3d prstMaterial="dkEdge"/>
      </dgm:spPr>
      <dgm:t>
        <a:bodyPr/>
        <a:lstStyle/>
        <a:p>
          <a:r>
            <a:rPr lang="en-US" sz="1400">
              <a:solidFill>
                <a:sysClr val="window" lastClr="FFFFFF"/>
              </a:solidFill>
              <a:latin typeface="Arial"/>
              <a:ea typeface="+mn-ea"/>
              <a:cs typeface="Arial"/>
            </a:rPr>
            <a:t>04</a:t>
          </a:r>
        </a:p>
      </dgm:t>
    </dgm:pt>
    <dgm:pt modelId="{AEE3A9E3-7BE1-1C41-B42E-F4079641B9E8}" type="sibTrans" cxnId="{2AC9879B-3861-E542-B1FB-60ABBD61AB31}">
      <dgm:prSet/>
      <dgm:spPr/>
      <dgm:t>
        <a:bodyPr/>
        <a:lstStyle/>
        <a:p>
          <a:endParaRPr lang="en-US"/>
        </a:p>
      </dgm:t>
    </dgm:pt>
    <dgm:pt modelId="{322E361A-FB1B-0D47-80B8-6F8E1E98915A}" type="parTrans" cxnId="{2AC9879B-3861-E542-B1FB-60ABBD61AB31}">
      <dgm:prSet/>
      <dgm:spPr/>
      <dgm:t>
        <a:bodyPr/>
        <a:lstStyle/>
        <a:p>
          <a:endParaRPr lang="en-US"/>
        </a:p>
      </dgm:t>
    </dgm:pt>
    <dgm:pt modelId="{CBCF94E4-C372-C648-B533-E3C7976D39B7}" type="pres">
      <dgm:prSet presAssocID="{A935C7C2-51E9-394B-865D-5CF1BEB503EE}" presName="Name0" presStyleCnt="0">
        <dgm:presLayoutVars>
          <dgm:chPref val="3"/>
          <dgm:dir/>
          <dgm:animLvl val="lvl"/>
          <dgm:resizeHandles/>
        </dgm:presLayoutVars>
      </dgm:prSet>
      <dgm:spPr/>
    </dgm:pt>
    <dgm:pt modelId="{6974E495-C66D-B74A-8158-D06B249C137E}" type="pres">
      <dgm:prSet presAssocID="{7D3B8AB1-5EA8-DD4D-ACED-0CCAB6FDFAE6}" presName="horFlow" presStyleCnt="0"/>
      <dgm:spPr/>
    </dgm:pt>
    <dgm:pt modelId="{1DE6589B-7756-5243-A756-6830A54BB680}" type="pres">
      <dgm:prSet presAssocID="{7D3B8AB1-5EA8-DD4D-ACED-0CCAB6FDFAE6}" presName="bigChev" presStyleLbl="node1" presStyleIdx="0" presStyleCnt="4" custScaleX="31562" custScaleY="78905" custLinFactX="-8016" custLinFactNeighborX="-100000" custLinFactNeighborY="-48"/>
      <dgm:spPr>
        <a:xfrm>
          <a:off x="0" y="3566"/>
          <a:ext cx="332271" cy="332275"/>
        </a:xfrm>
        <a:prstGeom prst="roundRect">
          <a:avLst/>
        </a:prstGeom>
      </dgm:spPr>
    </dgm:pt>
    <dgm:pt modelId="{9043C52A-E63D-8149-8A79-39158C778D65}" type="pres">
      <dgm:prSet presAssocID="{49B6E38E-A4F0-BB4A-9082-460B9A1001BB}" presName="parTrans" presStyleCnt="0"/>
      <dgm:spPr/>
    </dgm:pt>
    <dgm:pt modelId="{55103E2B-E140-DA40-8077-094E745E8F05}" type="pres">
      <dgm:prSet presAssocID="{5BE3AFFD-0744-D545-9D0B-FED6D271D6BB}" presName="node" presStyleLbl="alignAccFollowNode1" presStyleIdx="0" presStyleCnt="3" custScaleX="99793" custScaleY="95392" custLinFactX="2476" custLinFactNeighborX="100000" custLinFactNeighborY="907">
        <dgm:presLayoutVars>
          <dgm:bulletEnabled val="1"/>
        </dgm:presLayoutVars>
      </dgm:prSet>
      <dgm:spPr>
        <a:prstGeom prst="roundRect">
          <a:avLst/>
        </a:prstGeom>
      </dgm:spPr>
    </dgm:pt>
    <dgm:pt modelId="{01DC6A27-04AE-0945-A20B-41F58A1B7F4F}" type="pres">
      <dgm:prSet presAssocID="{7D3B8AB1-5EA8-DD4D-ACED-0CCAB6FDFAE6}" presName="vSp" presStyleCnt="0"/>
      <dgm:spPr/>
    </dgm:pt>
    <dgm:pt modelId="{4B83D6C4-550C-444A-9954-89B557AB82E9}" type="pres">
      <dgm:prSet presAssocID="{FE36DC7D-33C3-474A-84C4-F97FE5B7F95C}" presName="horFlow" presStyleCnt="0"/>
      <dgm:spPr/>
    </dgm:pt>
    <dgm:pt modelId="{477BA8D3-8A7D-C94B-88A0-39B820B72CE0}" type="pres">
      <dgm:prSet presAssocID="{FE36DC7D-33C3-474A-84C4-F97FE5B7F95C}" presName="bigChev" presStyleLbl="node1" presStyleIdx="1" presStyleCnt="4" custScaleX="31779" custScaleY="79447" custLinFactX="-10065" custLinFactNeighborX="-100000"/>
      <dgm:spPr>
        <a:xfrm>
          <a:off x="0" y="401342"/>
          <a:ext cx="333219" cy="336062"/>
        </a:xfrm>
        <a:prstGeom prst="roundRect">
          <a:avLst/>
        </a:prstGeom>
      </dgm:spPr>
    </dgm:pt>
    <dgm:pt modelId="{D10C13D4-3269-994C-82C1-75B3C073B557}" type="pres">
      <dgm:prSet presAssocID="{D2990E9F-00EA-AA48-8299-3BF2CAE557BB}" presName="parTrans" presStyleCnt="0"/>
      <dgm:spPr/>
    </dgm:pt>
    <dgm:pt modelId="{50D2A4A2-A1F7-9C4D-8457-347EC5CF1DDC}" type="pres">
      <dgm:prSet presAssocID="{7D0B45A4-2442-6540-9DAF-B0FB130DD5F7}" presName="node" presStyleLbl="alignAccFollowNode1" presStyleIdx="1" presStyleCnt="3" custScaleX="99678" custScaleY="95501" custLinFactX="2249" custLinFactNeighborX="100000">
        <dgm:presLayoutVars>
          <dgm:bulletEnabled val="1"/>
        </dgm:presLayoutVars>
      </dgm:prSet>
      <dgm:spPr>
        <a:prstGeom prst="roundRect">
          <a:avLst/>
        </a:prstGeom>
      </dgm:spPr>
    </dgm:pt>
    <dgm:pt modelId="{61A6B003-AF47-4046-841B-DEAABAAB6256}" type="pres">
      <dgm:prSet presAssocID="{FE36DC7D-33C3-474A-84C4-F97FE5B7F95C}" presName="vSp" presStyleCnt="0"/>
      <dgm:spPr/>
    </dgm:pt>
    <dgm:pt modelId="{08745444-8660-124F-B9E3-F7CB72B8A9F6}" type="pres">
      <dgm:prSet presAssocID="{8F951A2D-8316-7942-B199-785B2B0AB0C3}" presName="horFlow" presStyleCnt="0"/>
      <dgm:spPr/>
    </dgm:pt>
    <dgm:pt modelId="{CDF19424-C7C4-9F40-84E9-8D4B4EB62BE8}" type="pres">
      <dgm:prSet presAssocID="{8F951A2D-8316-7942-B199-785B2B0AB0C3}" presName="bigChev" presStyleLbl="node1" presStyleIdx="2" presStyleCnt="4" custScaleX="31634" custScaleY="79175" custLinFactNeighborX="-88641"/>
      <dgm:spPr>
        <a:xfrm>
          <a:off x="0" y="800220"/>
          <a:ext cx="336066" cy="336062"/>
        </a:xfrm>
        <a:prstGeom prst="roundRect">
          <a:avLst/>
        </a:prstGeom>
      </dgm:spPr>
    </dgm:pt>
    <dgm:pt modelId="{7717A314-C3AA-034D-BD28-ECA9DB8EF134}" type="pres">
      <dgm:prSet presAssocID="{E3826E31-B95B-6145-8AE4-3CE78F54B81E}" presName="parTrans" presStyleCnt="0"/>
      <dgm:spPr/>
    </dgm:pt>
    <dgm:pt modelId="{CFDAD9C7-3A4F-DF48-A43E-D4DC637F1C2D}" type="pres">
      <dgm:prSet presAssocID="{8C22D270-2B1D-3647-BB97-6172866B4A32}" presName="node" presStyleLbl="alignAccFollowNode1" presStyleIdx="2" presStyleCnt="3" custScaleX="99678" custScaleY="95610" custLinFactX="2162" custLinFactNeighborX="100000">
        <dgm:presLayoutVars>
          <dgm:bulletEnabled val="1"/>
        </dgm:presLayoutVars>
      </dgm:prSet>
      <dgm:spPr>
        <a:prstGeom prst="roundRect">
          <a:avLst/>
        </a:prstGeom>
      </dgm:spPr>
    </dgm:pt>
    <dgm:pt modelId="{FE7A17E7-4371-8F43-991C-D33780A18970}" type="pres">
      <dgm:prSet presAssocID="{8F951A2D-8316-7942-B199-785B2B0AB0C3}" presName="vSp" presStyleCnt="0"/>
      <dgm:spPr/>
    </dgm:pt>
    <dgm:pt modelId="{B30DEA06-BB50-134C-A79D-C98A8A0DEC5A}" type="pres">
      <dgm:prSet presAssocID="{A0B44F8A-6A2F-0044-9BB8-0A3469DF2734}" presName="horFlow" presStyleCnt="0"/>
      <dgm:spPr/>
    </dgm:pt>
    <dgm:pt modelId="{DAD3E78C-AE02-7946-8AFD-B6C6799EE258}" type="pres">
      <dgm:prSet presAssocID="{A0B44F8A-6A2F-0044-9BB8-0A3469DF2734}" presName="bigChev" presStyleLbl="node1" presStyleIdx="3" presStyleCnt="4" custScaleX="31670" custScaleY="79085" custLinFactNeighborX="-88641"/>
      <dgm:spPr>
        <a:xfrm>
          <a:off x="0" y="1197687"/>
          <a:ext cx="336066" cy="338102"/>
        </a:xfrm>
        <a:prstGeom prst="roundRect">
          <a:avLst/>
        </a:prstGeom>
      </dgm:spPr>
    </dgm:pt>
  </dgm:ptLst>
  <dgm:cxnLst>
    <dgm:cxn modelId="{03D52E04-0D26-0D4A-A28A-FFBF2BBE9ECF}" srcId="{A935C7C2-51E9-394B-865D-5CF1BEB503EE}" destId="{7D3B8AB1-5EA8-DD4D-ACED-0CCAB6FDFAE6}" srcOrd="0" destOrd="0" parTransId="{ED96D06F-9A1E-2743-9913-78FDF7A29C30}" sibTransId="{555EF976-CB3E-3740-9714-D4E964B9FB72}"/>
    <dgm:cxn modelId="{C8F73A05-0B1B-CF43-8F42-A217319C0D40}" srcId="{8F951A2D-8316-7942-B199-785B2B0AB0C3}" destId="{8C22D270-2B1D-3647-BB97-6172866B4A32}" srcOrd="0" destOrd="0" parTransId="{E3826E31-B95B-6145-8AE4-3CE78F54B81E}" sibTransId="{86A14A3F-6CBD-0642-8679-AE7C81FE3EC1}"/>
    <dgm:cxn modelId="{D95B5513-FD1D-024D-A3E7-DB65839174C4}" srcId="{FE36DC7D-33C3-474A-84C4-F97FE5B7F95C}" destId="{7D0B45A4-2442-6540-9DAF-B0FB130DD5F7}" srcOrd="0" destOrd="0" parTransId="{D2990E9F-00EA-AA48-8299-3BF2CAE557BB}" sibTransId="{446D302A-985B-074E-97D7-904E98899421}"/>
    <dgm:cxn modelId="{BB62801C-DBDA-324E-AD01-C66DD4F4927C}" type="presOf" srcId="{8C22D270-2B1D-3647-BB97-6172866B4A32}" destId="{CFDAD9C7-3A4F-DF48-A43E-D4DC637F1C2D}" srcOrd="0" destOrd="0" presId="urn:microsoft.com/office/officeart/2005/8/layout/lProcess3"/>
    <dgm:cxn modelId="{17DDB721-9B40-1E49-B058-473FC2A4DAE2}" srcId="{A935C7C2-51E9-394B-865D-5CF1BEB503EE}" destId="{8F951A2D-8316-7942-B199-785B2B0AB0C3}" srcOrd="2" destOrd="0" parTransId="{3AFE9292-A099-244C-A617-20602CFCB1E3}" sibTransId="{173CF78D-536E-C343-8B69-65E61BE510E1}"/>
    <dgm:cxn modelId="{00D59A61-2305-8749-9394-5CD004A5719C}" type="presOf" srcId="{FE36DC7D-33C3-474A-84C4-F97FE5B7F95C}" destId="{477BA8D3-8A7D-C94B-88A0-39B820B72CE0}" srcOrd="0" destOrd="0" presId="urn:microsoft.com/office/officeart/2005/8/layout/lProcess3"/>
    <dgm:cxn modelId="{914C716F-DDDA-C54C-9CD9-3E631F2366F2}" type="presOf" srcId="{7D0B45A4-2442-6540-9DAF-B0FB130DD5F7}" destId="{50D2A4A2-A1F7-9C4D-8457-347EC5CF1DDC}" srcOrd="0" destOrd="0" presId="urn:microsoft.com/office/officeart/2005/8/layout/lProcess3"/>
    <dgm:cxn modelId="{3BF4BD7E-B18E-E344-8177-464AFC6434C1}" srcId="{A935C7C2-51E9-394B-865D-5CF1BEB503EE}" destId="{FE36DC7D-33C3-474A-84C4-F97FE5B7F95C}" srcOrd="1" destOrd="0" parTransId="{39AE5F75-3014-C94A-A7A1-3B2D157D249D}" sibTransId="{731994F3-BE38-E44D-A7F0-A4BC55991596}"/>
    <dgm:cxn modelId="{C023BF84-B7E3-EA41-AD13-46D613548654}" type="presOf" srcId="{7D3B8AB1-5EA8-DD4D-ACED-0CCAB6FDFAE6}" destId="{1DE6589B-7756-5243-A756-6830A54BB680}" srcOrd="0" destOrd="0" presId="urn:microsoft.com/office/officeart/2005/8/layout/lProcess3"/>
    <dgm:cxn modelId="{2AC9879B-3861-E542-B1FB-60ABBD61AB31}" srcId="{A935C7C2-51E9-394B-865D-5CF1BEB503EE}" destId="{A0B44F8A-6A2F-0044-9BB8-0A3469DF2734}" srcOrd="3" destOrd="0" parTransId="{322E361A-FB1B-0D47-80B8-6F8E1E98915A}" sibTransId="{AEE3A9E3-7BE1-1C41-B42E-F4079641B9E8}"/>
    <dgm:cxn modelId="{F767FDA4-B27C-3E4C-B976-BEA6302D14AC}" srcId="{7D3B8AB1-5EA8-DD4D-ACED-0CCAB6FDFAE6}" destId="{5BE3AFFD-0744-D545-9D0B-FED6D271D6BB}" srcOrd="0" destOrd="0" parTransId="{49B6E38E-A4F0-BB4A-9082-460B9A1001BB}" sibTransId="{AFA8EBC2-38CB-824B-863F-CC7215829219}"/>
    <dgm:cxn modelId="{FA8C5CA5-1794-784A-8D7E-BA764AE983D0}" type="presOf" srcId="{8F951A2D-8316-7942-B199-785B2B0AB0C3}" destId="{CDF19424-C7C4-9F40-84E9-8D4B4EB62BE8}" srcOrd="0" destOrd="0" presId="urn:microsoft.com/office/officeart/2005/8/layout/lProcess3"/>
    <dgm:cxn modelId="{A63CD5CA-6A48-614D-929E-F4CA082D00DE}" type="presOf" srcId="{A0B44F8A-6A2F-0044-9BB8-0A3469DF2734}" destId="{DAD3E78C-AE02-7946-8AFD-B6C6799EE258}" srcOrd="0" destOrd="0" presId="urn:microsoft.com/office/officeart/2005/8/layout/lProcess3"/>
    <dgm:cxn modelId="{E24154F1-1EF4-1145-8CAA-02641FE0B520}" type="presOf" srcId="{5BE3AFFD-0744-D545-9D0B-FED6D271D6BB}" destId="{55103E2B-E140-DA40-8077-094E745E8F05}" srcOrd="0" destOrd="0" presId="urn:microsoft.com/office/officeart/2005/8/layout/lProcess3"/>
    <dgm:cxn modelId="{E81693F1-2F01-E04D-A02D-195C11CEC5B5}" type="presOf" srcId="{A935C7C2-51E9-394B-865D-5CF1BEB503EE}" destId="{CBCF94E4-C372-C648-B533-E3C7976D39B7}" srcOrd="0" destOrd="0" presId="urn:microsoft.com/office/officeart/2005/8/layout/lProcess3"/>
    <dgm:cxn modelId="{C319D7A9-7AC1-8E46-8996-F2566FB68B63}" type="presParOf" srcId="{CBCF94E4-C372-C648-B533-E3C7976D39B7}" destId="{6974E495-C66D-B74A-8158-D06B249C137E}" srcOrd="0" destOrd="0" presId="urn:microsoft.com/office/officeart/2005/8/layout/lProcess3"/>
    <dgm:cxn modelId="{5959FCDD-94E5-8849-AAA1-7E964DC3DCC1}" type="presParOf" srcId="{6974E495-C66D-B74A-8158-D06B249C137E}" destId="{1DE6589B-7756-5243-A756-6830A54BB680}" srcOrd="0" destOrd="0" presId="urn:microsoft.com/office/officeart/2005/8/layout/lProcess3"/>
    <dgm:cxn modelId="{D70ABB2A-D938-CE48-A309-1D8426127A88}" type="presParOf" srcId="{6974E495-C66D-B74A-8158-D06B249C137E}" destId="{9043C52A-E63D-8149-8A79-39158C778D65}" srcOrd="1" destOrd="0" presId="urn:microsoft.com/office/officeart/2005/8/layout/lProcess3"/>
    <dgm:cxn modelId="{5835C73A-7A30-6D42-BFB1-E0F54E081695}" type="presParOf" srcId="{6974E495-C66D-B74A-8158-D06B249C137E}" destId="{55103E2B-E140-DA40-8077-094E745E8F05}" srcOrd="2" destOrd="0" presId="urn:microsoft.com/office/officeart/2005/8/layout/lProcess3"/>
    <dgm:cxn modelId="{B9E6E484-D44B-C44F-99DC-23256B70CFB4}" type="presParOf" srcId="{CBCF94E4-C372-C648-B533-E3C7976D39B7}" destId="{01DC6A27-04AE-0945-A20B-41F58A1B7F4F}" srcOrd="1" destOrd="0" presId="urn:microsoft.com/office/officeart/2005/8/layout/lProcess3"/>
    <dgm:cxn modelId="{EE3D9714-59CC-3348-9DAE-3C0B7FF367F6}" type="presParOf" srcId="{CBCF94E4-C372-C648-B533-E3C7976D39B7}" destId="{4B83D6C4-550C-444A-9954-89B557AB82E9}" srcOrd="2" destOrd="0" presId="urn:microsoft.com/office/officeart/2005/8/layout/lProcess3"/>
    <dgm:cxn modelId="{8711E9AB-522E-3849-807D-8375135B391D}" type="presParOf" srcId="{4B83D6C4-550C-444A-9954-89B557AB82E9}" destId="{477BA8D3-8A7D-C94B-88A0-39B820B72CE0}" srcOrd="0" destOrd="0" presId="urn:microsoft.com/office/officeart/2005/8/layout/lProcess3"/>
    <dgm:cxn modelId="{92FA688E-8ACF-8A4D-AE8B-BA508B9AA2A5}" type="presParOf" srcId="{4B83D6C4-550C-444A-9954-89B557AB82E9}" destId="{D10C13D4-3269-994C-82C1-75B3C073B557}" srcOrd="1" destOrd="0" presId="urn:microsoft.com/office/officeart/2005/8/layout/lProcess3"/>
    <dgm:cxn modelId="{F9659D98-60B1-214F-9A41-939F265948BF}" type="presParOf" srcId="{4B83D6C4-550C-444A-9954-89B557AB82E9}" destId="{50D2A4A2-A1F7-9C4D-8457-347EC5CF1DDC}" srcOrd="2" destOrd="0" presId="urn:microsoft.com/office/officeart/2005/8/layout/lProcess3"/>
    <dgm:cxn modelId="{746506A6-B969-0944-AC74-8A61CB55D2C2}" type="presParOf" srcId="{CBCF94E4-C372-C648-B533-E3C7976D39B7}" destId="{61A6B003-AF47-4046-841B-DEAABAAB6256}" srcOrd="3" destOrd="0" presId="urn:microsoft.com/office/officeart/2005/8/layout/lProcess3"/>
    <dgm:cxn modelId="{86AB64B8-ABE6-D244-869D-86BB83248E34}" type="presParOf" srcId="{CBCF94E4-C372-C648-B533-E3C7976D39B7}" destId="{08745444-8660-124F-B9E3-F7CB72B8A9F6}" srcOrd="4" destOrd="0" presId="urn:microsoft.com/office/officeart/2005/8/layout/lProcess3"/>
    <dgm:cxn modelId="{BA20B1F9-C603-3346-B94B-84A7566774D5}" type="presParOf" srcId="{08745444-8660-124F-B9E3-F7CB72B8A9F6}" destId="{CDF19424-C7C4-9F40-84E9-8D4B4EB62BE8}" srcOrd="0" destOrd="0" presId="urn:microsoft.com/office/officeart/2005/8/layout/lProcess3"/>
    <dgm:cxn modelId="{90C8E3EF-298D-BE49-8D43-8D53024634FF}" type="presParOf" srcId="{08745444-8660-124F-B9E3-F7CB72B8A9F6}" destId="{7717A314-C3AA-034D-BD28-ECA9DB8EF134}" srcOrd="1" destOrd="0" presId="urn:microsoft.com/office/officeart/2005/8/layout/lProcess3"/>
    <dgm:cxn modelId="{5FDCDB47-C79B-9E44-B252-8E67411528E7}" type="presParOf" srcId="{08745444-8660-124F-B9E3-F7CB72B8A9F6}" destId="{CFDAD9C7-3A4F-DF48-A43E-D4DC637F1C2D}" srcOrd="2" destOrd="0" presId="urn:microsoft.com/office/officeart/2005/8/layout/lProcess3"/>
    <dgm:cxn modelId="{505E2B49-0105-1C40-BF42-B556F5FC7983}" type="presParOf" srcId="{CBCF94E4-C372-C648-B533-E3C7976D39B7}" destId="{FE7A17E7-4371-8F43-991C-D33780A18970}" srcOrd="5" destOrd="0" presId="urn:microsoft.com/office/officeart/2005/8/layout/lProcess3"/>
    <dgm:cxn modelId="{7159BF31-4581-514D-B97F-28F56CB2541E}" type="presParOf" srcId="{CBCF94E4-C372-C648-B533-E3C7976D39B7}" destId="{B30DEA06-BB50-134C-A79D-C98A8A0DEC5A}" srcOrd="6" destOrd="0" presId="urn:microsoft.com/office/officeart/2005/8/layout/lProcess3"/>
    <dgm:cxn modelId="{2D732484-DC6F-9C40-B0D8-62190F8820A1}" type="presParOf" srcId="{B30DEA06-BB50-134C-A79D-C98A8A0DEC5A}" destId="{DAD3E78C-AE02-7946-8AFD-B6C6799EE258}" srcOrd="0" destOrd="0" presId="urn:microsoft.com/office/officeart/2005/8/layout/lProcess3"/>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E6589B-7756-5243-A756-6830A54BB680}">
      <dsp:nvSpPr>
        <dsp:cNvPr id="0" name=""/>
        <dsp:cNvSpPr/>
      </dsp:nvSpPr>
      <dsp:spPr>
        <a:xfrm>
          <a:off x="0" y="757"/>
          <a:ext cx="335150" cy="335150"/>
        </a:xfrm>
        <a:prstGeom prst="roundRect">
          <a:avLst/>
        </a:prstGeom>
        <a:noFill/>
        <a:ln>
          <a:solidFill>
            <a:srgbClr val="993366">
              <a:alpha val="95000"/>
            </a:srgbClr>
          </a:solidFill>
        </a:ln>
        <a:effectLst>
          <a:softEdge rad="1104900"/>
        </a:effectLst>
        <a:scene3d>
          <a:camera prst="orthographicFront"/>
          <a:lightRig rig="flat" dir="t"/>
        </a:scene3d>
        <a:sp3d prstMaterial="dkEdge">
          <a:bevelT w="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en-US" sz="1400" kern="1200">
              <a:solidFill>
                <a:srgbClr val="993366"/>
              </a:solidFill>
              <a:latin typeface="Arial"/>
              <a:ea typeface="+mn-ea"/>
              <a:cs typeface="Arial"/>
            </a:rPr>
            <a:t>01</a:t>
          </a:r>
        </a:p>
      </dsp:txBody>
      <dsp:txXfrm>
        <a:off x="16361" y="17118"/>
        <a:ext cx="302428" cy="302428"/>
      </dsp:txXfrm>
    </dsp:sp>
    <dsp:sp modelId="{55103E2B-E140-DA40-8077-094E745E8F05}">
      <dsp:nvSpPr>
        <dsp:cNvPr id="0" name=""/>
        <dsp:cNvSpPr/>
      </dsp:nvSpPr>
      <dsp:spPr>
        <a:xfrm>
          <a:off x="368874" y="3585"/>
          <a:ext cx="879535" cy="336298"/>
        </a:xfrm>
        <a:prstGeom prst="roundRect">
          <a:avLst/>
        </a:prstGeom>
        <a:noFill/>
        <a:ln w="9525" cap="flat" cmpd="sng" algn="ctr">
          <a:solidFill>
            <a:srgbClr val="993366">
              <a:alpha val="9500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l" defTabSz="355600">
            <a:lnSpc>
              <a:spcPct val="90000"/>
            </a:lnSpc>
            <a:spcBef>
              <a:spcPct val="0"/>
            </a:spcBef>
            <a:spcAft>
              <a:spcPct val="35000"/>
            </a:spcAft>
            <a:buNone/>
          </a:pPr>
          <a:r>
            <a:rPr lang="en-US" sz="800" kern="1200">
              <a:solidFill>
                <a:srgbClr val="993366"/>
              </a:solidFill>
              <a:latin typeface="Arial"/>
              <a:ea typeface="+mn-ea"/>
              <a:cs typeface="Arial"/>
            </a:rPr>
            <a:t>Request</a:t>
          </a:r>
        </a:p>
      </dsp:txBody>
      <dsp:txXfrm>
        <a:off x="385291" y="20002"/>
        <a:ext cx="846701" cy="303464"/>
      </dsp:txXfrm>
    </dsp:sp>
    <dsp:sp modelId="{477BA8D3-8A7D-C94B-88A0-39B820B72CE0}">
      <dsp:nvSpPr>
        <dsp:cNvPr id="0" name=""/>
        <dsp:cNvSpPr/>
      </dsp:nvSpPr>
      <dsp:spPr>
        <a:xfrm>
          <a:off x="0" y="396151"/>
          <a:ext cx="337454" cy="337452"/>
        </a:xfrm>
        <a:prstGeom prst="roundRect">
          <a:avLst/>
        </a:prstGeom>
        <a:solidFill>
          <a:srgbClr val="0096D7">
            <a:alpha val="90000"/>
          </a:srgbClr>
        </a:solidFill>
        <a:ln>
          <a:solidFill>
            <a:srgbClr val="0096D7">
              <a:alpha val="95000"/>
            </a:srgbClr>
          </a:solid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en-US" sz="1400" kern="1200">
              <a:solidFill>
                <a:srgbClr val="FFFFFF"/>
              </a:solidFill>
              <a:latin typeface="Arial"/>
              <a:ea typeface="+mn-ea"/>
              <a:cs typeface="Arial"/>
            </a:rPr>
            <a:t>02</a:t>
          </a:r>
        </a:p>
      </dsp:txBody>
      <dsp:txXfrm>
        <a:off x="16473" y="412624"/>
        <a:ext cx="304508" cy="304506"/>
      </dsp:txXfrm>
    </dsp:sp>
    <dsp:sp modelId="{50D2A4A2-A1F7-9C4D-8457-347EC5CF1DDC}">
      <dsp:nvSpPr>
        <dsp:cNvPr id="0" name=""/>
        <dsp:cNvSpPr/>
      </dsp:nvSpPr>
      <dsp:spPr>
        <a:xfrm>
          <a:off x="369887" y="396536"/>
          <a:ext cx="878522" cy="336683"/>
        </a:xfrm>
        <a:prstGeom prst="roundRect">
          <a:avLst/>
        </a:prstGeom>
        <a:solidFill>
          <a:srgbClr val="0096D7">
            <a:alpha val="90000"/>
          </a:srgbClr>
        </a:solidFill>
        <a:ln w="9525" cap="flat" cmpd="sng" algn="ctr">
          <a:solidFill>
            <a:srgbClr val="0096D7">
              <a:alpha val="9500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l" defTabSz="355600">
            <a:lnSpc>
              <a:spcPct val="90000"/>
            </a:lnSpc>
            <a:spcBef>
              <a:spcPct val="0"/>
            </a:spcBef>
            <a:spcAft>
              <a:spcPct val="35000"/>
            </a:spcAft>
            <a:buNone/>
          </a:pPr>
          <a:r>
            <a:rPr lang="en-US" sz="800" kern="1200">
              <a:solidFill>
                <a:srgbClr val="FFFFFF"/>
              </a:solidFill>
              <a:latin typeface="Arial"/>
              <a:ea typeface="+mn-ea"/>
              <a:cs typeface="Arial"/>
            </a:rPr>
            <a:t>Workgroup Report</a:t>
          </a:r>
        </a:p>
      </dsp:txBody>
      <dsp:txXfrm>
        <a:off x="386323" y="412972"/>
        <a:ext cx="845650" cy="303811"/>
      </dsp:txXfrm>
    </dsp:sp>
    <dsp:sp modelId="{CDF19424-C7C4-9F40-84E9-8D4B4EB62BE8}">
      <dsp:nvSpPr>
        <dsp:cNvPr id="0" name=""/>
        <dsp:cNvSpPr/>
      </dsp:nvSpPr>
      <dsp:spPr>
        <a:xfrm>
          <a:off x="0" y="793454"/>
          <a:ext cx="335915" cy="336297"/>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rgbClr val="F59114">
              <a:alpha val="95000"/>
            </a:srgbClr>
          </a:solid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en-US" sz="1400" kern="1200">
              <a:solidFill>
                <a:srgbClr val="F59114"/>
              </a:solidFill>
              <a:latin typeface="Arial"/>
              <a:ea typeface="+mn-ea"/>
              <a:cs typeface="Arial"/>
            </a:rPr>
            <a:t>03</a:t>
          </a:r>
        </a:p>
      </dsp:txBody>
      <dsp:txXfrm>
        <a:off x="16398" y="809852"/>
        <a:ext cx="303119" cy="303501"/>
      </dsp:txXfrm>
    </dsp:sp>
    <dsp:sp modelId="{CFDAD9C7-3A4F-DF48-A43E-D4DC637F1C2D}">
      <dsp:nvSpPr>
        <dsp:cNvPr id="0" name=""/>
        <dsp:cNvSpPr/>
      </dsp:nvSpPr>
      <dsp:spPr>
        <a:xfrm>
          <a:off x="369887" y="793069"/>
          <a:ext cx="878522" cy="337067"/>
        </a:xfrm>
        <a:prstGeom prst="roundRect">
          <a:avLst/>
        </a:prstGeom>
        <a:solidFill>
          <a:sysClr val="window" lastClr="FFFFFF">
            <a:alpha val="90000"/>
            <a:tint val="40000"/>
            <a:hueOff val="0"/>
            <a:satOff val="0"/>
            <a:lumOff val="0"/>
            <a:alphaOff val="0"/>
          </a:sysClr>
        </a:solidFill>
        <a:ln w="9525" cap="flat" cmpd="sng" algn="ctr">
          <a:solidFill>
            <a:srgbClr val="F59114">
              <a:alpha val="9500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l" defTabSz="355600">
            <a:lnSpc>
              <a:spcPct val="90000"/>
            </a:lnSpc>
            <a:spcBef>
              <a:spcPct val="0"/>
            </a:spcBef>
            <a:spcAft>
              <a:spcPct val="35000"/>
            </a:spcAft>
            <a:buNone/>
          </a:pPr>
          <a:r>
            <a:rPr lang="en-US" sz="800" kern="1200">
              <a:solidFill>
                <a:srgbClr val="F59114"/>
              </a:solidFill>
              <a:latin typeface="Arial"/>
              <a:ea typeface="+mn-ea"/>
              <a:cs typeface="Arial"/>
            </a:rPr>
            <a:t>Final Modification Report</a:t>
          </a:r>
        </a:p>
      </dsp:txBody>
      <dsp:txXfrm>
        <a:off x="386341" y="809523"/>
        <a:ext cx="845614" cy="304159"/>
      </dsp:txXfrm>
    </dsp:sp>
    <dsp:sp modelId="{DAD3E78C-AE02-7946-8AFD-B6C6799EE258}">
      <dsp:nvSpPr>
        <dsp:cNvPr id="0" name=""/>
        <dsp:cNvSpPr/>
      </dsp:nvSpPr>
      <dsp:spPr>
        <a:xfrm>
          <a:off x="0" y="1189602"/>
          <a:ext cx="336297" cy="335915"/>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ysClr val="window" lastClr="FFFFFF">
              <a:alpha val="95000"/>
            </a:sysClr>
          </a:solid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 lastClr="FFFFFF"/>
              </a:solidFill>
              <a:latin typeface="Arial"/>
              <a:ea typeface="+mn-ea"/>
              <a:cs typeface="Arial"/>
            </a:rPr>
            <a:t>04</a:t>
          </a:r>
        </a:p>
      </dsp:txBody>
      <dsp:txXfrm>
        <a:off x="16398" y="1206000"/>
        <a:ext cx="303501" cy="30311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021FE4EE17B41A5E67D1EB75DD99E" ma:contentTypeVersion="17" ma:contentTypeDescription="Create a new document." ma:contentTypeScope="" ma:versionID="ec6a2768c395e9a46b9e3f5e54fa15c4">
  <xsd:schema xmlns:xsd="http://www.w3.org/2001/XMLSchema" xmlns:xs="http://www.w3.org/2001/XMLSchema" xmlns:p="http://schemas.microsoft.com/office/2006/metadata/properties" xmlns:ns2="ca249c35-2c41-4717-8384-495d9b737fa7" xmlns:ns3="3ee84ff3-1fa2-4b0e-bbc1-9d3729ac2ba9" targetNamespace="http://schemas.microsoft.com/office/2006/metadata/properties" ma:root="true" ma:fieldsID="ee83ea3158b7fe38d5a357fbb9f9c78f" ns2:_="" ns3:_="">
    <xsd:import namespace="ca249c35-2c41-4717-8384-495d9b737fa7"/>
    <xsd:import namespace="3ee84ff3-1fa2-4b0e-bbc1-9d3729ac2b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49c35-2c41-4717-8384-495d9b73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ca249c35-2c41-4717-8384-495d9b737fa7">Pending</_Flow_SignoffStatus>
    <lcf76f155ced4ddcb4097134ff3c332f xmlns="ca249c35-2c41-4717-8384-495d9b737fa7">
      <Terms xmlns="http://schemas.microsoft.com/office/infopath/2007/PartnerControls"/>
    </lcf76f155ced4ddcb4097134ff3c332f>
    <TaxCatchAll xmlns="3ee84ff3-1fa2-4b0e-bbc1-9d3729ac2ba9" xsi:nil="true"/>
  </documentManagement>
</p:properties>
</file>

<file path=customXml/itemProps1.xml><?xml version="1.0" encoding="utf-8"?>
<ds:datastoreItem xmlns:ds="http://schemas.openxmlformats.org/officeDocument/2006/customXml" ds:itemID="{67204101-FB0A-4271-9956-A98982BA7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49c35-2c41-4717-8384-495d9b737fa7"/>
    <ds:schemaRef ds:uri="3ee84ff3-1fa2-4b0e-bbc1-9d3729ac2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6FA8D-D769-4526-8A80-252F732D97A6}">
  <ds:schemaRefs>
    <ds:schemaRef ds:uri="http://schemas.microsoft.com/office/2006/metadata/longProperties"/>
  </ds:schemaRefs>
</ds:datastoreItem>
</file>

<file path=customXml/itemProps3.xml><?xml version="1.0" encoding="utf-8"?>
<ds:datastoreItem xmlns:ds="http://schemas.openxmlformats.org/officeDocument/2006/customXml" ds:itemID="{32FBC47C-F03E-4177-8B08-C0ED1B50F0E1}">
  <ds:schemaRefs>
    <ds:schemaRef ds:uri="http://schemas.openxmlformats.org/officeDocument/2006/bibliography"/>
  </ds:schemaRefs>
</ds:datastoreItem>
</file>

<file path=customXml/itemProps4.xml><?xml version="1.0" encoding="utf-8"?>
<ds:datastoreItem xmlns:ds="http://schemas.openxmlformats.org/officeDocument/2006/customXml" ds:itemID="{C63C1178-EFD7-4042-971B-4F49A45F8AA2}">
  <ds:schemaRefs>
    <ds:schemaRef ds:uri="http://schemas.microsoft.com/sharepoint/v3/contenttype/forms"/>
  </ds:schemaRefs>
</ds:datastoreItem>
</file>

<file path=customXml/itemProps5.xml><?xml version="1.0" encoding="utf-8"?>
<ds:datastoreItem xmlns:ds="http://schemas.openxmlformats.org/officeDocument/2006/customXml" ds:itemID="{A4DA38B9-3DCC-4EC5-B488-876715154023}">
  <ds:schemaRefs>
    <ds:schemaRef ds:uri="http://schemas.microsoft.com/office/2006/metadata/properties"/>
    <ds:schemaRef ds:uri="http://schemas.microsoft.com/office/infopath/2007/PartnerControls"/>
    <ds:schemaRef ds:uri="ca249c35-2c41-4717-8384-495d9b737fa7"/>
    <ds:schemaRef ds:uri="3ee84ff3-1fa2-4b0e-bbc1-9d3729ac2ba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1909</Words>
  <Characters>12037</Characters>
  <Application>Microsoft Office Word</Application>
  <DocSecurity>0</DocSecurity>
  <Lines>415</Lines>
  <Paragraphs>340</Paragraphs>
  <ScaleCrop>false</ScaleCrop>
  <Manager/>
  <Company>Joint Office of Gas Transporters</Company>
  <LinksUpToDate>false</LinksUpToDate>
  <CharactersWithSpaces>13606</CharactersWithSpaces>
  <SharedDoc>false</SharedDoc>
  <HyperlinkBase/>
  <HLinks>
    <vt:vector size="30" baseType="variant">
      <vt:variant>
        <vt:i4>6094877</vt:i4>
      </vt:variant>
      <vt:variant>
        <vt:i4>30</vt:i4>
      </vt:variant>
      <vt:variant>
        <vt:i4>0</vt:i4>
      </vt:variant>
      <vt:variant>
        <vt:i4>5</vt:i4>
      </vt:variant>
      <vt:variant>
        <vt:lpwstr>https://www.gasgovernance.co.uk/cacop</vt:lpwstr>
      </vt:variant>
      <vt:variant>
        <vt:lpwstr/>
      </vt:variant>
      <vt:variant>
        <vt:i4>3080297</vt:i4>
      </vt:variant>
      <vt:variant>
        <vt:i4>27</vt:i4>
      </vt:variant>
      <vt:variant>
        <vt:i4>0</vt:i4>
      </vt:variant>
      <vt:variant>
        <vt:i4>5</vt:i4>
      </vt:variant>
      <vt:variant>
        <vt:lpwstr>https://www.ofgem.gov.uk/licences-codes-and-standards/codes/industry-codes-work/code-administration-code-practice-cacop</vt:lpwstr>
      </vt:variant>
      <vt:variant>
        <vt:lpwstr/>
      </vt:variant>
      <vt:variant>
        <vt:i4>6815836</vt:i4>
      </vt:variant>
      <vt:variant>
        <vt:i4>24</vt:i4>
      </vt:variant>
      <vt:variant>
        <vt:i4>0</vt:i4>
      </vt:variant>
      <vt:variant>
        <vt:i4>5</vt:i4>
      </vt:variant>
      <vt:variant>
        <vt:lpwstr>mailto:UKLink@xoserve.com</vt:lpwstr>
      </vt:variant>
      <vt:variant>
        <vt:lpwstr/>
      </vt:variant>
      <vt:variant>
        <vt:i4>1638517</vt:i4>
      </vt:variant>
      <vt:variant>
        <vt:i4>21</vt:i4>
      </vt:variant>
      <vt:variant>
        <vt:i4>0</vt:i4>
      </vt:variant>
      <vt:variant>
        <vt:i4>5</vt:i4>
      </vt:variant>
      <vt:variant>
        <vt:lpwstr>mailto:david.morley@ovo.com</vt:lpwstr>
      </vt:variant>
      <vt:variant>
        <vt:lpwstr/>
      </vt:variant>
      <vt:variant>
        <vt:i4>5767218</vt:i4>
      </vt:variant>
      <vt:variant>
        <vt:i4>18</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dc:title>
  <dc:subject/>
  <dc:creator>Helen Cuin</dc:creator>
  <cp:keywords/>
  <dc:description/>
  <cp:lastModifiedBy>Rebecca Hailes</cp:lastModifiedBy>
  <cp:revision>5</cp:revision>
  <cp:lastPrinted>2024-06-13T12:21:00Z</cp:lastPrinted>
  <dcterms:created xsi:type="dcterms:W3CDTF">2024-06-25T09:57:00Z</dcterms:created>
  <dcterms:modified xsi:type="dcterms:W3CDTF">2024-06-26T16:52:00Z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0x0101008A4021FE4EE17B41A5E67D1EB75DD99E</vt:lpwstr>
  </property>
  <property fmtid="{D5CDD505-2E9C-101B-9397-08002B2CF9AE}" pid="3" name="GrammarlyDocumentId">
    <vt:lpwstr>9f93a80e1e3aa63ae034a92f7254e890c00084a79db66b78315f04f837056714</vt:lpwstr>
  </property>
  <property fmtid="{D5CDD505-2E9C-101B-9397-08002B2CF9AE}" pid="4" name="MediaServiceImageTags">
    <vt:lpwstr/>
  </property>
</Properties>
</file>