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4"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224658" w:rsidRPr="00CA74C4" w14:paraId="68B8160F" w14:textId="77777777" w:rsidTr="00C6615E">
        <w:trPr>
          <w:trHeight w:val="690"/>
        </w:trPr>
        <w:tc>
          <w:tcPr>
            <w:tcW w:w="7973" w:type="dxa"/>
            <w:gridSpan w:val="2"/>
            <w:shd w:val="clear" w:color="auto" w:fill="auto"/>
          </w:tcPr>
          <w:p w14:paraId="0AD6D15B" w14:textId="74405BA4" w:rsidR="00224658" w:rsidRPr="00F24456" w:rsidRDefault="00224658" w:rsidP="00F24456">
            <w:pPr>
              <w:pStyle w:val="UNC2WGR"/>
            </w:pPr>
            <w:r w:rsidRPr="00224658">
              <w:t>UNC</w:t>
            </w:r>
            <w:r w:rsidR="00F24456">
              <w:t xml:space="preserve"> Workgroup Report</w:t>
            </w:r>
          </w:p>
        </w:tc>
        <w:tc>
          <w:tcPr>
            <w:tcW w:w="2161" w:type="dxa"/>
            <w:shd w:val="clear" w:color="auto" w:fill="auto"/>
          </w:tcPr>
          <w:p w14:paraId="6E2A52D1" w14:textId="77777777" w:rsidR="00224658" w:rsidRPr="00224658" w:rsidRDefault="00224658" w:rsidP="00F24456">
            <w:pPr>
              <w:pStyle w:val="UNCStage2"/>
            </w:pPr>
            <w:r w:rsidRPr="00224658">
              <w:t xml:space="preserve">At what stage is this </w:t>
            </w:r>
            <w:r w:rsidRPr="00714EDE">
              <w:t>document</w:t>
            </w:r>
            <w:r w:rsidRPr="00224658">
              <w:t xml:space="preserve"> in the process?</w:t>
            </w:r>
          </w:p>
        </w:tc>
      </w:tr>
      <w:tr w:rsidR="006F19E3" w:rsidRPr="00CA74C4" w14:paraId="4C4EC7E6" w14:textId="77777777" w:rsidTr="003261A6">
        <w:trPr>
          <w:trHeight w:val="2725"/>
        </w:trPr>
        <w:tc>
          <w:tcPr>
            <w:tcW w:w="7973" w:type="dxa"/>
            <w:gridSpan w:val="2"/>
            <w:shd w:val="clear" w:color="auto" w:fill="auto"/>
          </w:tcPr>
          <w:p w14:paraId="79331A48"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7008A3">
              <w:rPr>
                <w:rFonts w:cs="Arial"/>
                <w:color w:val="008576"/>
                <w:sz w:val="80"/>
                <w:szCs w:val="80"/>
              </w:rPr>
              <w:t>752</w:t>
            </w:r>
            <w:r w:rsidR="006F19E3" w:rsidRPr="00CA74C4">
              <w:rPr>
                <w:rFonts w:cs="Arial"/>
                <w:color w:val="008576"/>
                <w:sz w:val="80"/>
                <w:szCs w:val="80"/>
              </w:rPr>
              <w:t>:</w:t>
            </w:r>
          </w:p>
          <w:p w14:paraId="38843E62" w14:textId="77777777" w:rsidR="006F19E3" w:rsidRPr="00CA74C4" w:rsidRDefault="003F73D8" w:rsidP="007C1163">
            <w:pPr>
              <w:ind w:left="113" w:right="113"/>
              <w:rPr>
                <w:rFonts w:cs="Arial"/>
                <w:i/>
                <w:color w:val="00B274"/>
                <w:sz w:val="24"/>
              </w:rPr>
            </w:pPr>
            <w:r>
              <w:rPr>
                <w:rFonts w:cs="Arial"/>
                <w:color w:val="008000"/>
                <w:sz w:val="48"/>
                <w:szCs w:val="48"/>
              </w:rPr>
              <w:t xml:space="preserve">Introduction of Weekly </w:t>
            </w:r>
            <w:r w:rsidR="005D521A">
              <w:rPr>
                <w:rFonts w:cs="Arial"/>
                <w:color w:val="008000"/>
                <w:sz w:val="48"/>
                <w:szCs w:val="48"/>
              </w:rPr>
              <w:t xml:space="preserve">NTS </w:t>
            </w:r>
            <w:r>
              <w:rPr>
                <w:rFonts w:cs="Arial"/>
                <w:color w:val="008000"/>
                <w:sz w:val="48"/>
                <w:szCs w:val="48"/>
              </w:rPr>
              <w:t xml:space="preserve">Entry Capacity Auctions </w:t>
            </w:r>
          </w:p>
        </w:tc>
        <w:tc>
          <w:tcPr>
            <w:tcW w:w="2161" w:type="dxa"/>
            <w:shd w:val="clear" w:color="auto" w:fill="auto"/>
          </w:tcPr>
          <w:p w14:paraId="445A03C0" w14:textId="1ABDC15F" w:rsidR="006F19E3" w:rsidRPr="00CA74C4" w:rsidRDefault="00F24456" w:rsidP="007C1163">
            <w:pPr>
              <w:spacing w:line="240" w:lineRule="auto"/>
              <w:ind w:left="28" w:right="28"/>
              <w:rPr>
                <w:rFonts w:cs="Arial"/>
                <w:color w:val="008576"/>
                <w:szCs w:val="20"/>
              </w:rPr>
            </w:pPr>
            <w:r w:rsidRPr="004D08C9">
              <w:rPr>
                <w:rFonts w:cs="Arial"/>
                <w:noProof/>
                <w:lang w:val="en-US"/>
              </w:rPr>
              <w:drawing>
                <wp:inline distT="0" distB="0" distL="0" distR="0" wp14:anchorId="011A5A70" wp14:editId="3172C35E">
                  <wp:extent cx="1243330" cy="152717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330" cy="1527175"/>
                          </a:xfrm>
                          <a:prstGeom prst="rect">
                            <a:avLst/>
                          </a:prstGeom>
                          <a:noFill/>
                          <a:ln>
                            <a:noFill/>
                          </a:ln>
                        </pic:spPr>
                      </pic:pic>
                    </a:graphicData>
                  </a:graphic>
                </wp:inline>
              </w:drawing>
            </w:r>
          </w:p>
        </w:tc>
      </w:tr>
      <w:tr w:rsidR="006F19E3" w:rsidRPr="00CA74C4" w14:paraId="5EAE2363" w14:textId="77777777" w:rsidTr="003261A6">
        <w:trPr>
          <w:trHeight w:val="862"/>
        </w:trPr>
        <w:tc>
          <w:tcPr>
            <w:tcW w:w="10134" w:type="dxa"/>
            <w:gridSpan w:val="3"/>
            <w:shd w:val="clear" w:color="auto" w:fill="auto"/>
          </w:tcPr>
          <w:p w14:paraId="055792A8"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0BA1F12E" w14:textId="77777777" w:rsidR="006F19E3" w:rsidRPr="00CA74C4" w:rsidRDefault="003F73D8" w:rsidP="007C1163">
            <w:pPr>
              <w:ind w:left="113" w:right="113"/>
              <w:rPr>
                <w:rFonts w:cs="Arial"/>
              </w:rPr>
            </w:pPr>
            <w:r>
              <w:rPr>
                <w:rFonts w:cs="Arial"/>
                <w:sz w:val="24"/>
              </w:rPr>
              <w:t xml:space="preserve">To introduce </w:t>
            </w:r>
            <w:r w:rsidR="005D521A">
              <w:rPr>
                <w:rFonts w:cs="Arial"/>
                <w:sz w:val="24"/>
              </w:rPr>
              <w:t>Weekly NTS Entry Capacity Auctions to allow for more economic and efficient capacity bookings.</w:t>
            </w:r>
          </w:p>
        </w:tc>
      </w:tr>
      <w:tr w:rsidR="006F19E3" w:rsidRPr="00CA74C4" w14:paraId="7109A639" w14:textId="77777777" w:rsidTr="003261A6">
        <w:trPr>
          <w:trHeight w:val="899"/>
        </w:trPr>
        <w:tc>
          <w:tcPr>
            <w:tcW w:w="913" w:type="dxa"/>
            <w:shd w:val="clear" w:color="auto" w:fill="auto"/>
          </w:tcPr>
          <w:p w14:paraId="59907736" w14:textId="61C35BCF" w:rsidR="006F19E3" w:rsidRPr="00CA74C4" w:rsidRDefault="00916138" w:rsidP="007C1163">
            <w:pPr>
              <w:ind w:firstLine="9"/>
              <w:jc w:val="center"/>
              <w:rPr>
                <w:rFonts w:cs="Arial"/>
              </w:rPr>
            </w:pPr>
            <w:r>
              <w:rPr>
                <w:rFonts w:cs="Arial"/>
                <w:noProof/>
              </w:rPr>
              <w:drawing>
                <wp:inline distT="0" distB="0" distL="0" distR="0" wp14:anchorId="085EE78B" wp14:editId="0797B33A">
                  <wp:extent cx="466090" cy="466090"/>
                  <wp:effectExtent l="0" t="0" r="0" b="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tc>
        <w:tc>
          <w:tcPr>
            <w:tcW w:w="9221" w:type="dxa"/>
            <w:gridSpan w:val="2"/>
            <w:shd w:val="clear" w:color="auto" w:fill="auto"/>
          </w:tcPr>
          <w:p w14:paraId="05365620" w14:textId="6B9937C8" w:rsidR="00F24456" w:rsidRPr="00EB32BB" w:rsidRDefault="00F24456" w:rsidP="00F24456">
            <w:pPr>
              <w:pStyle w:val="BodyText3"/>
              <w:ind w:left="113" w:right="113"/>
              <w:rPr>
                <w:rFonts w:cs="Arial"/>
              </w:rPr>
            </w:pPr>
            <w:r w:rsidRPr="00D256DB">
              <w:rPr>
                <w:highlight w:val="yellow"/>
              </w:rPr>
              <w:t xml:space="preserve">The Workgroup recommends that this modification should </w:t>
            </w:r>
            <w:r w:rsidR="00D256DB" w:rsidRPr="00D256DB">
              <w:rPr>
                <w:highlight w:val="yellow"/>
              </w:rPr>
              <w:t>[</w:t>
            </w:r>
            <w:r w:rsidRPr="00D256DB">
              <w:rPr>
                <w:color w:val="FF0000"/>
                <w:highlight w:val="yellow"/>
              </w:rPr>
              <w:t>not</w:t>
            </w:r>
            <w:r w:rsidR="00D256DB" w:rsidRPr="00D256DB">
              <w:rPr>
                <w:color w:val="FF0000"/>
                <w:highlight w:val="yellow"/>
              </w:rPr>
              <w:t>]</w:t>
            </w:r>
            <w:r w:rsidRPr="00D256DB">
              <w:rPr>
                <w:color w:val="FF0000"/>
                <w:highlight w:val="yellow"/>
              </w:rPr>
              <w:t xml:space="preserve"> </w:t>
            </w:r>
            <w:r w:rsidRPr="00D256DB">
              <w:rPr>
                <w:highlight w:val="yellow"/>
              </w:rPr>
              <w:t xml:space="preserve">be </w:t>
            </w:r>
            <w:r w:rsidRPr="00D256DB">
              <w:rPr>
                <w:rFonts w:cs="Arial"/>
                <w:highlight w:val="yellow"/>
              </w:rPr>
              <w:t xml:space="preserve">subject </w:t>
            </w:r>
            <w:r w:rsidRPr="00D256DB">
              <w:rPr>
                <w:rFonts w:cs="Arial"/>
                <w:color w:val="000000"/>
                <w:highlight w:val="yellow"/>
              </w:rPr>
              <w:t>to</w:t>
            </w:r>
            <w:r w:rsidRPr="00D256DB">
              <w:rPr>
                <w:rFonts w:cs="Arial"/>
                <w:highlight w:val="yellow"/>
              </w:rPr>
              <w:t xml:space="preserve"> </w:t>
            </w:r>
            <w:r w:rsidR="00D256DB" w:rsidRPr="00D256DB">
              <w:rPr>
                <w:rFonts w:cs="Arial"/>
                <w:highlight w:val="yellow"/>
              </w:rPr>
              <w:t>S</w:t>
            </w:r>
            <w:r w:rsidRPr="00D256DB">
              <w:rPr>
                <w:rFonts w:cs="Arial"/>
                <w:highlight w:val="yellow"/>
              </w:rPr>
              <w:t>elf-</w:t>
            </w:r>
            <w:r w:rsidR="00D256DB" w:rsidRPr="00D256DB">
              <w:rPr>
                <w:rFonts w:cs="Arial"/>
                <w:highlight w:val="yellow"/>
              </w:rPr>
              <w:t>G</w:t>
            </w:r>
            <w:r w:rsidRPr="00D256DB">
              <w:rPr>
                <w:rFonts w:cs="Arial"/>
                <w:highlight w:val="yellow"/>
              </w:rPr>
              <w:t>overnance</w:t>
            </w:r>
          </w:p>
          <w:p w14:paraId="14ED5CB1" w14:textId="24F63A1A" w:rsidR="006F19E3" w:rsidRPr="00CA74C4" w:rsidRDefault="00F24456" w:rsidP="00F24456">
            <w:pPr>
              <w:pStyle w:val="BodyText3"/>
              <w:ind w:left="113" w:right="113"/>
              <w:rPr>
                <w:rFonts w:cs="Arial"/>
              </w:rPr>
            </w:pPr>
            <w:r w:rsidRPr="005B0B30">
              <w:rPr>
                <w:rFonts w:cs="Arial"/>
              </w:rPr>
              <w:t>The Panel will consider this Workgroup Report</w:t>
            </w:r>
            <w:r>
              <w:rPr>
                <w:rFonts w:cs="Arial"/>
              </w:rPr>
              <w:t xml:space="preserve"> on </w:t>
            </w:r>
            <w:r w:rsidR="00E136DD">
              <w:rPr>
                <w:rFonts w:cs="Arial"/>
              </w:rPr>
              <w:t>15 April 2021</w:t>
            </w:r>
            <w:r>
              <w:rPr>
                <w:rFonts w:cs="Arial"/>
              </w:rPr>
              <w:t>.  The Panel will consider the</w:t>
            </w:r>
            <w:r w:rsidRPr="00C11964">
              <w:rPr>
                <w:rFonts w:cs="Arial"/>
              </w:rPr>
              <w:t xml:space="preserve"> recommendation</w:t>
            </w:r>
            <w:r>
              <w:rPr>
                <w:rFonts w:cs="Arial"/>
              </w:rPr>
              <w:t>s and determine the appropriate next steps.</w:t>
            </w:r>
          </w:p>
        </w:tc>
      </w:tr>
      <w:tr w:rsidR="006F19E3" w:rsidRPr="00CA74C4" w14:paraId="370CC361" w14:textId="77777777" w:rsidTr="003261A6">
        <w:trPr>
          <w:trHeight w:val="739"/>
        </w:trPr>
        <w:tc>
          <w:tcPr>
            <w:tcW w:w="913" w:type="dxa"/>
            <w:shd w:val="clear" w:color="auto" w:fill="auto"/>
          </w:tcPr>
          <w:p w14:paraId="1A3AD431" w14:textId="31B9FA2F" w:rsidR="006F19E3" w:rsidRPr="00CA74C4" w:rsidRDefault="00916138" w:rsidP="007C1163">
            <w:pPr>
              <w:spacing w:before="60" w:after="60"/>
              <w:ind w:firstLine="9"/>
              <w:jc w:val="center"/>
              <w:rPr>
                <w:rFonts w:cs="Arial"/>
              </w:rPr>
            </w:pPr>
            <w:r>
              <w:rPr>
                <w:rFonts w:cs="Arial"/>
                <w:noProof/>
              </w:rPr>
              <w:drawing>
                <wp:inline distT="0" distB="0" distL="0" distR="0" wp14:anchorId="6C4A8E32" wp14:editId="2BF6AF90">
                  <wp:extent cx="466090" cy="466090"/>
                  <wp:effectExtent l="0" t="0" r="0" b="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7">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tc>
        <w:tc>
          <w:tcPr>
            <w:tcW w:w="9221" w:type="dxa"/>
            <w:gridSpan w:val="2"/>
            <w:shd w:val="clear" w:color="auto" w:fill="auto"/>
          </w:tcPr>
          <w:p w14:paraId="5DEB1C76" w14:textId="77777777" w:rsidR="006F19E3" w:rsidRPr="00CA74C4" w:rsidRDefault="006F19E3" w:rsidP="007C1163">
            <w:pPr>
              <w:pStyle w:val="BodyText3"/>
              <w:ind w:left="113" w:right="113"/>
              <w:rPr>
                <w:rFonts w:cs="Arial"/>
              </w:rPr>
            </w:pPr>
            <w:r w:rsidRPr="00CA74C4">
              <w:rPr>
                <w:rFonts w:cs="Arial"/>
              </w:rPr>
              <w:t>High Impact:</w:t>
            </w:r>
          </w:p>
          <w:p w14:paraId="1FAFD1B5" w14:textId="77777777" w:rsidR="006F19E3" w:rsidRPr="00CA74C4" w:rsidRDefault="00200427" w:rsidP="007C1163">
            <w:pPr>
              <w:ind w:left="113" w:right="113"/>
              <w:rPr>
                <w:rFonts w:cs="Arial"/>
              </w:rPr>
            </w:pPr>
            <w:r>
              <w:rPr>
                <w:rFonts w:cs="Arial"/>
                <w:sz w:val="24"/>
              </w:rPr>
              <w:t>None</w:t>
            </w:r>
          </w:p>
        </w:tc>
      </w:tr>
      <w:tr w:rsidR="006F19E3" w:rsidRPr="00CA74C4" w14:paraId="765B313B" w14:textId="77777777" w:rsidTr="003261A6">
        <w:trPr>
          <w:trHeight w:val="582"/>
        </w:trPr>
        <w:tc>
          <w:tcPr>
            <w:tcW w:w="913" w:type="dxa"/>
            <w:shd w:val="clear" w:color="auto" w:fill="auto"/>
          </w:tcPr>
          <w:p w14:paraId="7FB023AC" w14:textId="75561EF4" w:rsidR="006F19E3" w:rsidRPr="00CA74C4" w:rsidRDefault="00916138" w:rsidP="007C1163">
            <w:pPr>
              <w:spacing w:before="60" w:after="60"/>
              <w:ind w:firstLine="9"/>
              <w:jc w:val="center"/>
              <w:rPr>
                <w:rFonts w:cs="Arial"/>
              </w:rPr>
            </w:pPr>
            <w:r>
              <w:rPr>
                <w:rFonts w:cs="Arial"/>
                <w:noProof/>
              </w:rPr>
              <w:drawing>
                <wp:inline distT="0" distB="0" distL="0" distR="0" wp14:anchorId="7DF0FF4A" wp14:editId="689348A0">
                  <wp:extent cx="448310" cy="44831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8">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c>
          <w:tcPr>
            <w:tcW w:w="9221" w:type="dxa"/>
            <w:gridSpan w:val="2"/>
            <w:shd w:val="clear" w:color="auto" w:fill="auto"/>
          </w:tcPr>
          <w:p w14:paraId="2355699C" w14:textId="77777777" w:rsidR="007008A3" w:rsidRDefault="006F19E3" w:rsidP="007C1163">
            <w:pPr>
              <w:ind w:left="113" w:right="113"/>
              <w:rPr>
                <w:rFonts w:cs="Arial"/>
                <w:sz w:val="24"/>
              </w:rPr>
            </w:pPr>
            <w:r w:rsidRPr="007008A3">
              <w:rPr>
                <w:rFonts w:cs="Arial"/>
                <w:sz w:val="24"/>
                <w:szCs w:val="32"/>
              </w:rPr>
              <w:t>Medium Impact:</w:t>
            </w:r>
            <w:r w:rsidR="00187E2F" w:rsidRPr="007008A3">
              <w:rPr>
                <w:rFonts w:cs="Arial"/>
                <w:i/>
                <w:color w:val="00B274"/>
                <w:sz w:val="24"/>
                <w:szCs w:val="32"/>
              </w:rPr>
              <w:t xml:space="preserve"> </w:t>
            </w:r>
          </w:p>
          <w:p w14:paraId="1EC13D59" w14:textId="77777777" w:rsidR="006F19E3" w:rsidRPr="007F5304" w:rsidRDefault="007F5304" w:rsidP="007C1163">
            <w:pPr>
              <w:ind w:left="113" w:right="113"/>
              <w:rPr>
                <w:rFonts w:cs="Arial"/>
                <w:color w:val="FF0000"/>
              </w:rPr>
            </w:pPr>
            <w:r w:rsidRPr="003336FA">
              <w:rPr>
                <w:rFonts w:cs="Arial"/>
                <w:sz w:val="24"/>
              </w:rPr>
              <w:t>National Grid NTS</w:t>
            </w:r>
          </w:p>
        </w:tc>
      </w:tr>
      <w:tr w:rsidR="006F19E3" w:rsidRPr="00CA74C4" w14:paraId="7EAED1D5" w14:textId="77777777" w:rsidTr="003261A6">
        <w:trPr>
          <w:trHeight w:val="484"/>
        </w:trPr>
        <w:tc>
          <w:tcPr>
            <w:tcW w:w="913" w:type="dxa"/>
            <w:shd w:val="clear" w:color="auto" w:fill="auto"/>
          </w:tcPr>
          <w:p w14:paraId="237CA397" w14:textId="7756CAFC" w:rsidR="006F19E3" w:rsidRPr="00CA74C4" w:rsidRDefault="00916138" w:rsidP="007C1163">
            <w:pPr>
              <w:spacing w:before="60" w:after="60"/>
              <w:ind w:firstLine="11"/>
              <w:jc w:val="center"/>
              <w:rPr>
                <w:rFonts w:cs="Arial"/>
              </w:rPr>
            </w:pPr>
            <w:r>
              <w:rPr>
                <w:rFonts w:cs="Arial"/>
                <w:noProof/>
              </w:rPr>
              <w:drawing>
                <wp:inline distT="0" distB="0" distL="0" distR="0" wp14:anchorId="175693FE" wp14:editId="2097B711">
                  <wp:extent cx="466090" cy="466090"/>
                  <wp:effectExtent l="0" t="0" r="0" b="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tc>
        <w:tc>
          <w:tcPr>
            <w:tcW w:w="9221" w:type="dxa"/>
            <w:gridSpan w:val="2"/>
            <w:shd w:val="clear" w:color="auto" w:fill="auto"/>
          </w:tcPr>
          <w:p w14:paraId="7F9C94C5" w14:textId="77777777" w:rsidR="006F19E3" w:rsidRPr="00CA74C4" w:rsidRDefault="006F19E3" w:rsidP="007C1163">
            <w:pPr>
              <w:pStyle w:val="BodyText3"/>
              <w:ind w:left="113" w:right="113"/>
              <w:rPr>
                <w:rFonts w:cs="Arial"/>
              </w:rPr>
            </w:pPr>
            <w:r w:rsidRPr="00CA74C4">
              <w:rPr>
                <w:rFonts w:cs="Arial"/>
              </w:rPr>
              <w:t>Low Impact:</w:t>
            </w:r>
            <w:r w:rsidR="00187E2F" w:rsidRPr="00CA74C4">
              <w:rPr>
                <w:rFonts w:cs="Arial"/>
                <w:i/>
                <w:color w:val="00B274"/>
              </w:rPr>
              <w:t xml:space="preserve"> </w:t>
            </w:r>
          </w:p>
          <w:p w14:paraId="35043D42" w14:textId="77777777" w:rsidR="006F19E3" w:rsidRPr="00CA74C4" w:rsidRDefault="00547AD0" w:rsidP="007C1163">
            <w:pPr>
              <w:ind w:left="113" w:right="113"/>
              <w:rPr>
                <w:rFonts w:cs="Arial"/>
              </w:rPr>
            </w:pPr>
            <w:r>
              <w:rPr>
                <w:rFonts w:cs="Arial"/>
                <w:sz w:val="24"/>
              </w:rPr>
              <w:t>Shippers</w:t>
            </w:r>
          </w:p>
        </w:tc>
      </w:tr>
    </w:tbl>
    <w:p w14:paraId="13B4D5D0" w14:textId="0AE8623F" w:rsidR="005079E0" w:rsidRPr="00CA74C4" w:rsidRDefault="00916138" w:rsidP="005B378E">
      <w:pPr>
        <w:rPr>
          <w:rFonts w:cs="Arial"/>
        </w:rPr>
      </w:pPr>
      <w:r>
        <w:rPr>
          <w:noProof/>
        </w:rPr>
        <mc:AlternateContent>
          <mc:Choice Requires="wps">
            <w:drawing>
              <wp:anchor distT="0" distB="0" distL="114300" distR="114300" simplePos="0" relativeHeight="251657728" behindDoc="0" locked="0" layoutInCell="1" allowOverlap="1" wp14:anchorId="604D0E85" wp14:editId="060863C6">
                <wp:simplePos x="0" y="0"/>
                <wp:positionH relativeFrom="column">
                  <wp:posOffset>-228600</wp:posOffset>
                </wp:positionH>
                <wp:positionV relativeFrom="paragraph">
                  <wp:posOffset>7810500</wp:posOffset>
                </wp:positionV>
                <wp:extent cx="6617970" cy="125158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5ECE" w14:textId="77777777" w:rsidR="00547AD0" w:rsidRPr="009A03A4" w:rsidRDefault="00547AD0"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3C8BDE27"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5CD6456C"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3323679" w14:textId="77777777" w:rsidR="00547AD0" w:rsidRPr="00623022" w:rsidRDefault="00547AD0"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20" w:history="1">
                              <w:r w:rsidRPr="003C2E56">
                                <w:rPr>
                                  <w:rStyle w:val="Hyperlink"/>
                                  <w:rFonts w:cs="Arial"/>
                                  <w:i/>
                                </w:rPr>
                                <w:t>enquiries@gasgovernance.co.uk</w:t>
                              </w:r>
                            </w:hyperlink>
                            <w:r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04D0E85"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M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S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" filled="f" stroked="f">
                <v:path arrowok="t"/>
                <v:textbox>
                  <w:txbxContent>
                    <w:p w14:paraId="57D25ECE" w14:textId="77777777" w:rsidR="00547AD0" w:rsidRPr="009A03A4" w:rsidRDefault="00547AD0"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3C8BDE27"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5CD6456C"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3323679" w14:textId="77777777" w:rsidR="00547AD0" w:rsidRPr="00623022" w:rsidRDefault="00547AD0"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21" w:history="1">
                        <w:r w:rsidRPr="003C2E56">
                          <w:rPr>
                            <w:rStyle w:val="Hyperlink"/>
                            <w:rFonts w:cs="Arial"/>
                            <w:i/>
                          </w:rPr>
                          <w:t>enquiries@gasgovernance.co.uk</w:t>
                        </w:r>
                      </w:hyperlink>
                      <w:r w:rsidRPr="003C2E56">
                        <w:rPr>
                          <w:rFonts w:cs="Arial"/>
                          <w:i/>
                          <w:color w:val="00B274"/>
                        </w:rPr>
                        <w:t xml:space="preserve"> or 0121 288 2107.</w:t>
                      </w:r>
                    </w:p>
                  </w:txbxContent>
                </v:textbox>
              </v:shape>
            </w:pict>
          </mc:Fallback>
        </mc:AlternateContent>
      </w:r>
    </w:p>
    <w:tbl>
      <w:tblPr>
        <w:tblW w:w="10163" w:type="dxa"/>
        <w:tblInd w:w="-261" w:type="dxa"/>
        <w:tblLayout w:type="fixed"/>
        <w:tblLook w:val="04A0" w:firstRow="1" w:lastRow="0" w:firstColumn="1" w:lastColumn="0" w:noHBand="0" w:noVBand="1"/>
      </w:tblPr>
      <w:tblGrid>
        <w:gridCol w:w="8017"/>
        <w:gridCol w:w="2146"/>
      </w:tblGrid>
      <w:tr w:rsidR="00F10E14" w:rsidRPr="00CA74C4" w14:paraId="117197F3"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1B7B42BD" w14:textId="77777777" w:rsidR="00F10E14" w:rsidRPr="00CA74C4" w:rsidRDefault="00F10E14" w:rsidP="00F24456">
            <w:pPr>
              <w:pStyle w:val="Contents02"/>
              <w:rPr>
                <w:noProof/>
              </w:rPr>
            </w:pPr>
            <w:r w:rsidRPr="00CA74C4">
              <w:rPr>
                <w:noProof/>
              </w:rPr>
              <w:lastRenderedPageBreak/>
              <w:t>Contents</w:t>
            </w:r>
          </w:p>
          <w:p w14:paraId="62BC0CA6" w14:textId="3D9E7FE2" w:rsidR="008F48D5" w:rsidRPr="00CA74C4" w:rsidRDefault="00F10E14" w:rsidP="00F24456">
            <w:pPr>
              <w:pStyle w:val="TOCContents02WGR"/>
              <w:rPr>
                <w:rFonts w:eastAsia="MS Mincho"/>
                <w:color w:val="auto"/>
                <w:lang w:eastAsia="ja-JP"/>
              </w:rPr>
            </w:pPr>
            <w:r w:rsidRPr="00CA74C4">
              <w:fldChar w:fldCharType="begin"/>
            </w:r>
            <w:r w:rsidRPr="00CA74C4">
              <w:instrText xml:space="preserve"> TOC \o "1-1" </w:instrText>
            </w:r>
            <w:r w:rsidRPr="00CA74C4">
              <w:fldChar w:fldCharType="separate"/>
            </w:r>
            <w:r w:rsidR="008F48D5" w:rsidRPr="00CA74C4">
              <w:t>1</w:t>
            </w:r>
            <w:r w:rsidR="008F48D5" w:rsidRPr="00CA74C4">
              <w:rPr>
                <w:rFonts w:eastAsia="MS Mincho"/>
                <w:color w:val="auto"/>
                <w:lang w:eastAsia="ja-JP"/>
              </w:rPr>
              <w:tab/>
            </w:r>
            <w:r w:rsidR="008F48D5" w:rsidRPr="00CA74C4">
              <w:t>Summary</w:t>
            </w:r>
            <w:r w:rsidR="008F48D5" w:rsidRPr="00CA74C4">
              <w:tab/>
            </w:r>
            <w:r w:rsidR="008F48D5" w:rsidRPr="00CA74C4">
              <w:fldChar w:fldCharType="begin"/>
            </w:r>
            <w:r w:rsidR="008F48D5" w:rsidRPr="00CA74C4">
              <w:instrText xml:space="preserve"> PAGEREF _Toc318966117 \h </w:instrText>
            </w:r>
            <w:r w:rsidR="008F48D5" w:rsidRPr="00CA74C4">
              <w:fldChar w:fldCharType="separate"/>
            </w:r>
            <w:r w:rsidR="00821E16">
              <w:t>3</w:t>
            </w:r>
            <w:r w:rsidR="008F48D5" w:rsidRPr="00CA74C4">
              <w:fldChar w:fldCharType="end"/>
            </w:r>
          </w:p>
          <w:p w14:paraId="633E1ACA" w14:textId="0E47CB31" w:rsidR="008F48D5" w:rsidRPr="00CA74C4" w:rsidRDefault="008F48D5" w:rsidP="00F24456">
            <w:pPr>
              <w:pStyle w:val="TOCContents02WGR"/>
              <w:rPr>
                <w:rFonts w:eastAsia="MS Mincho"/>
                <w:color w:val="auto"/>
                <w:lang w:eastAsia="ja-JP"/>
              </w:rPr>
            </w:pPr>
            <w:r w:rsidRPr="00CA74C4">
              <w:t>2</w:t>
            </w:r>
            <w:r w:rsidRPr="00CA74C4">
              <w:rPr>
                <w:rFonts w:eastAsia="MS Mincho"/>
                <w:color w:val="auto"/>
                <w:lang w:eastAsia="ja-JP"/>
              </w:rPr>
              <w:tab/>
            </w:r>
            <w:r w:rsidRPr="00CA74C4">
              <w:t>Governance</w:t>
            </w:r>
            <w:r w:rsidRPr="00CA74C4">
              <w:tab/>
            </w:r>
            <w:r w:rsidRPr="00CA74C4">
              <w:fldChar w:fldCharType="begin"/>
            </w:r>
            <w:r w:rsidRPr="00CA74C4">
              <w:instrText xml:space="preserve"> PAGEREF _Toc318966118 \h </w:instrText>
            </w:r>
            <w:r w:rsidRPr="00CA74C4">
              <w:fldChar w:fldCharType="separate"/>
            </w:r>
            <w:r w:rsidR="00821E16">
              <w:t>3</w:t>
            </w:r>
            <w:r w:rsidRPr="00CA74C4">
              <w:fldChar w:fldCharType="end"/>
            </w:r>
          </w:p>
          <w:p w14:paraId="60969318" w14:textId="1ACB2E9A" w:rsidR="008F48D5" w:rsidRPr="00CA74C4" w:rsidRDefault="008F48D5" w:rsidP="00F24456">
            <w:pPr>
              <w:pStyle w:val="TOCContents02WGR"/>
              <w:rPr>
                <w:rFonts w:eastAsia="MS Mincho"/>
                <w:color w:val="auto"/>
                <w:lang w:eastAsia="ja-JP"/>
              </w:rPr>
            </w:pPr>
            <w:r w:rsidRPr="00CA74C4">
              <w:t>3</w:t>
            </w:r>
            <w:r w:rsidRPr="00CA74C4">
              <w:rPr>
                <w:rFonts w:eastAsia="MS Mincho"/>
                <w:color w:val="auto"/>
                <w:lang w:eastAsia="ja-JP"/>
              </w:rPr>
              <w:tab/>
            </w:r>
            <w:r w:rsidRPr="00CA74C4">
              <w:t>Why Change?</w:t>
            </w:r>
            <w:r w:rsidRPr="00CA74C4">
              <w:tab/>
            </w:r>
            <w:r w:rsidRPr="00CA74C4">
              <w:fldChar w:fldCharType="begin"/>
            </w:r>
            <w:r w:rsidRPr="00CA74C4">
              <w:instrText xml:space="preserve"> PAGEREF _Toc318966119 \h </w:instrText>
            </w:r>
            <w:r w:rsidRPr="00CA74C4">
              <w:fldChar w:fldCharType="separate"/>
            </w:r>
            <w:r w:rsidR="00821E16">
              <w:t>3</w:t>
            </w:r>
            <w:r w:rsidRPr="00CA74C4">
              <w:fldChar w:fldCharType="end"/>
            </w:r>
          </w:p>
          <w:p w14:paraId="0B95E626" w14:textId="236866CE" w:rsidR="008F48D5" w:rsidRPr="00CA74C4" w:rsidRDefault="008F48D5" w:rsidP="00F24456">
            <w:pPr>
              <w:pStyle w:val="TOCContents02WGR"/>
              <w:rPr>
                <w:rFonts w:eastAsia="MS Mincho"/>
                <w:color w:val="auto"/>
                <w:lang w:eastAsia="ja-JP"/>
              </w:rPr>
            </w:pPr>
            <w:r w:rsidRPr="00CA74C4">
              <w:t>4</w:t>
            </w:r>
            <w:r w:rsidRPr="00CA74C4">
              <w:rPr>
                <w:rFonts w:eastAsia="MS Mincho"/>
                <w:color w:val="auto"/>
                <w:lang w:eastAsia="ja-JP"/>
              </w:rPr>
              <w:tab/>
            </w:r>
            <w:r w:rsidRPr="00CA74C4">
              <w:t>Code Specific Matters</w:t>
            </w:r>
            <w:r w:rsidRPr="00CA74C4">
              <w:tab/>
            </w:r>
            <w:r w:rsidRPr="00CA74C4">
              <w:fldChar w:fldCharType="begin"/>
            </w:r>
            <w:r w:rsidRPr="00CA74C4">
              <w:instrText xml:space="preserve"> PAGEREF _Toc318966120 \h </w:instrText>
            </w:r>
            <w:r w:rsidRPr="00CA74C4">
              <w:fldChar w:fldCharType="separate"/>
            </w:r>
            <w:r w:rsidR="00821E16">
              <w:t>6</w:t>
            </w:r>
            <w:r w:rsidRPr="00CA74C4">
              <w:fldChar w:fldCharType="end"/>
            </w:r>
          </w:p>
          <w:p w14:paraId="10AAFEE6" w14:textId="6E405351" w:rsidR="008F48D5" w:rsidRPr="00CA74C4" w:rsidRDefault="008F48D5" w:rsidP="00F24456">
            <w:pPr>
              <w:pStyle w:val="TOCContents02WGR"/>
              <w:rPr>
                <w:rFonts w:eastAsia="MS Mincho"/>
                <w:color w:val="auto"/>
                <w:lang w:eastAsia="ja-JP"/>
              </w:rPr>
            </w:pPr>
            <w:r w:rsidRPr="00CA74C4">
              <w:t>5</w:t>
            </w:r>
            <w:r w:rsidRPr="00CA74C4">
              <w:rPr>
                <w:rFonts w:eastAsia="MS Mincho"/>
                <w:color w:val="auto"/>
                <w:lang w:eastAsia="ja-JP"/>
              </w:rPr>
              <w:tab/>
            </w:r>
            <w:r w:rsidRPr="00CA74C4">
              <w:t>Solution</w:t>
            </w:r>
            <w:r w:rsidRPr="00CA74C4">
              <w:tab/>
            </w:r>
            <w:r w:rsidRPr="00CA74C4">
              <w:fldChar w:fldCharType="begin"/>
            </w:r>
            <w:r w:rsidRPr="00CA74C4">
              <w:instrText xml:space="preserve"> PAGEREF _Toc318966121 \h </w:instrText>
            </w:r>
            <w:r w:rsidRPr="00CA74C4">
              <w:fldChar w:fldCharType="separate"/>
            </w:r>
            <w:r w:rsidR="00821E16">
              <w:t>6</w:t>
            </w:r>
            <w:r w:rsidRPr="00CA74C4">
              <w:fldChar w:fldCharType="end"/>
            </w:r>
          </w:p>
          <w:p w14:paraId="0B016EC9" w14:textId="24C307F8" w:rsidR="008F48D5" w:rsidRPr="00CA74C4" w:rsidRDefault="008F48D5" w:rsidP="00F24456">
            <w:pPr>
              <w:pStyle w:val="TOCContents02WGR"/>
              <w:rPr>
                <w:rFonts w:eastAsia="MS Mincho"/>
                <w:color w:val="auto"/>
                <w:lang w:eastAsia="ja-JP"/>
              </w:rPr>
            </w:pPr>
            <w:r w:rsidRPr="00CA74C4">
              <w:t>6</w:t>
            </w:r>
            <w:r w:rsidRPr="00CA74C4">
              <w:rPr>
                <w:rFonts w:eastAsia="MS Mincho"/>
                <w:color w:val="auto"/>
                <w:lang w:eastAsia="ja-JP"/>
              </w:rPr>
              <w:tab/>
            </w:r>
            <w:r w:rsidRPr="00CA74C4">
              <w:t>Impacts &amp; Other Considerations</w:t>
            </w:r>
            <w:r w:rsidRPr="00CA74C4">
              <w:tab/>
            </w:r>
            <w:r w:rsidRPr="00CA74C4">
              <w:fldChar w:fldCharType="begin"/>
            </w:r>
            <w:r w:rsidRPr="00CA74C4">
              <w:instrText xml:space="preserve"> PAGEREF _Toc318966122 \h </w:instrText>
            </w:r>
            <w:r w:rsidRPr="00CA74C4">
              <w:fldChar w:fldCharType="separate"/>
            </w:r>
            <w:r w:rsidR="00821E16">
              <w:t>6</w:t>
            </w:r>
            <w:r w:rsidRPr="00CA74C4">
              <w:fldChar w:fldCharType="end"/>
            </w:r>
          </w:p>
          <w:p w14:paraId="5103D575" w14:textId="76259187" w:rsidR="008F48D5" w:rsidRPr="00CA74C4" w:rsidRDefault="008F48D5" w:rsidP="00F24456">
            <w:pPr>
              <w:pStyle w:val="TOCContents02WGR"/>
              <w:rPr>
                <w:rFonts w:eastAsia="MS Mincho"/>
                <w:color w:val="auto"/>
                <w:lang w:eastAsia="ja-JP"/>
              </w:rPr>
            </w:pPr>
            <w:r w:rsidRPr="00CA74C4">
              <w:t>7</w:t>
            </w:r>
            <w:r w:rsidRPr="00CA74C4">
              <w:rPr>
                <w:rFonts w:eastAsia="MS Mincho"/>
                <w:color w:val="auto"/>
                <w:lang w:eastAsia="ja-JP"/>
              </w:rPr>
              <w:tab/>
            </w:r>
            <w:r w:rsidRPr="00CA74C4">
              <w:t>Relevant Objectives</w:t>
            </w:r>
            <w:r w:rsidRPr="00CA74C4">
              <w:tab/>
            </w:r>
            <w:r w:rsidRPr="00CA74C4">
              <w:fldChar w:fldCharType="begin"/>
            </w:r>
            <w:r w:rsidRPr="00CA74C4">
              <w:instrText xml:space="preserve"> PAGEREF _Toc318966123 \h </w:instrText>
            </w:r>
            <w:r w:rsidRPr="00CA74C4">
              <w:fldChar w:fldCharType="separate"/>
            </w:r>
            <w:r w:rsidR="00821E16">
              <w:t>7</w:t>
            </w:r>
            <w:r w:rsidRPr="00CA74C4">
              <w:fldChar w:fldCharType="end"/>
            </w:r>
          </w:p>
          <w:p w14:paraId="1B20CB70" w14:textId="0FCA94DA" w:rsidR="008F48D5" w:rsidRPr="00CA74C4" w:rsidRDefault="008F48D5" w:rsidP="00F24456">
            <w:pPr>
              <w:pStyle w:val="TOCContents02WGR"/>
              <w:rPr>
                <w:rFonts w:eastAsia="MS Mincho"/>
                <w:color w:val="auto"/>
                <w:lang w:eastAsia="ja-JP"/>
              </w:rPr>
            </w:pPr>
            <w:r w:rsidRPr="00CA74C4">
              <w:t>8</w:t>
            </w:r>
            <w:r w:rsidRPr="00CA74C4">
              <w:rPr>
                <w:rFonts w:eastAsia="MS Mincho"/>
                <w:color w:val="auto"/>
                <w:lang w:eastAsia="ja-JP"/>
              </w:rPr>
              <w:tab/>
            </w:r>
            <w:r w:rsidRPr="00CA74C4">
              <w:t>Implementation</w:t>
            </w:r>
            <w:r w:rsidRPr="00CA74C4">
              <w:tab/>
            </w:r>
            <w:r w:rsidRPr="00CA74C4">
              <w:fldChar w:fldCharType="begin"/>
            </w:r>
            <w:r w:rsidRPr="00CA74C4">
              <w:instrText xml:space="preserve"> PAGEREF _Toc318966124 \h </w:instrText>
            </w:r>
            <w:r w:rsidRPr="00CA74C4">
              <w:fldChar w:fldCharType="separate"/>
            </w:r>
            <w:r w:rsidR="00821E16">
              <w:t>8</w:t>
            </w:r>
            <w:r w:rsidRPr="00CA74C4">
              <w:fldChar w:fldCharType="end"/>
            </w:r>
          </w:p>
          <w:p w14:paraId="54294AAC" w14:textId="18918A87" w:rsidR="008F48D5" w:rsidRPr="00CA74C4" w:rsidRDefault="008F48D5" w:rsidP="00F24456">
            <w:pPr>
              <w:pStyle w:val="TOCContents02WGR"/>
              <w:rPr>
                <w:rFonts w:eastAsia="MS Mincho"/>
                <w:color w:val="auto"/>
                <w:lang w:eastAsia="ja-JP"/>
              </w:rPr>
            </w:pPr>
            <w:r w:rsidRPr="00CA74C4">
              <w:t>9</w:t>
            </w:r>
            <w:r w:rsidRPr="00CA74C4">
              <w:rPr>
                <w:rFonts w:eastAsia="MS Mincho"/>
                <w:color w:val="auto"/>
                <w:lang w:eastAsia="ja-JP"/>
              </w:rPr>
              <w:tab/>
            </w:r>
            <w:r w:rsidRPr="00CA74C4">
              <w:t>Legal Text</w:t>
            </w:r>
            <w:r w:rsidRPr="00CA74C4">
              <w:tab/>
            </w:r>
            <w:r w:rsidRPr="00CA74C4">
              <w:fldChar w:fldCharType="begin"/>
            </w:r>
            <w:r w:rsidRPr="00CA74C4">
              <w:instrText xml:space="preserve"> PAGEREF _Toc318966125 \h </w:instrText>
            </w:r>
            <w:r w:rsidRPr="00CA74C4">
              <w:fldChar w:fldCharType="separate"/>
            </w:r>
            <w:r w:rsidR="00821E16">
              <w:t>8</w:t>
            </w:r>
            <w:r w:rsidRPr="00CA74C4">
              <w:fldChar w:fldCharType="end"/>
            </w:r>
          </w:p>
          <w:p w14:paraId="4F229129" w14:textId="104FC4ED" w:rsidR="008F48D5" w:rsidRPr="00CA74C4" w:rsidRDefault="008F48D5" w:rsidP="00F24456">
            <w:pPr>
              <w:pStyle w:val="TOCContents02WGR"/>
              <w:rPr>
                <w:rFonts w:eastAsia="MS Mincho"/>
                <w:color w:val="auto"/>
                <w:lang w:eastAsia="ja-JP"/>
              </w:rPr>
            </w:pPr>
            <w:r w:rsidRPr="00CA74C4">
              <w:t>10</w:t>
            </w:r>
            <w:r w:rsidRPr="00CA74C4">
              <w:rPr>
                <w:rFonts w:eastAsia="MS Mincho"/>
                <w:color w:val="auto"/>
                <w:lang w:eastAsia="ja-JP"/>
              </w:rPr>
              <w:tab/>
            </w:r>
            <w:r w:rsidRPr="00CA74C4">
              <w:t>Recommendations</w:t>
            </w:r>
            <w:r w:rsidRPr="00CA74C4">
              <w:tab/>
            </w:r>
            <w:r w:rsidRPr="00CA74C4">
              <w:fldChar w:fldCharType="begin"/>
            </w:r>
            <w:r w:rsidRPr="00CA74C4">
              <w:instrText xml:space="preserve"> PAGEREF _Toc318966126 \h </w:instrText>
            </w:r>
            <w:r w:rsidRPr="00CA74C4">
              <w:fldChar w:fldCharType="separate"/>
            </w:r>
            <w:r w:rsidR="00821E16">
              <w:t>8</w:t>
            </w:r>
            <w:r w:rsidRPr="00CA74C4">
              <w:fldChar w:fldCharType="end"/>
            </w:r>
          </w:p>
          <w:p w14:paraId="7C27A237" w14:textId="77777777" w:rsidR="00F10E14" w:rsidRPr="00CA74C4" w:rsidRDefault="00F10E14" w:rsidP="00F24456">
            <w:pPr>
              <w:pStyle w:val="TOCContents02WGR"/>
            </w:pPr>
            <w:r w:rsidRPr="00CA74C4">
              <w:fldChar w:fldCharType="end"/>
            </w:r>
          </w:p>
          <w:p w14:paraId="17870D65" w14:textId="77777777" w:rsidR="00F10E14" w:rsidRPr="00CA74C4" w:rsidRDefault="008F48D5" w:rsidP="00F24456">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CA74C4" w14:paraId="7A398C63" w14:textId="77777777" w:rsidTr="00E81739">
              <w:tc>
                <w:tcPr>
                  <w:tcW w:w="7933" w:type="dxa"/>
                  <w:gridSpan w:val="2"/>
                  <w:shd w:val="clear" w:color="auto" w:fill="auto"/>
                </w:tcPr>
                <w:p w14:paraId="3319A772" w14:textId="4E613545" w:rsidR="00AA69EF" w:rsidRPr="00CA74C4" w:rsidRDefault="00F24456" w:rsidP="000B5CFC">
                  <w:pPr>
                    <w:spacing w:before="40" w:after="40"/>
                    <w:rPr>
                      <w:rFonts w:cs="Arial"/>
                      <w:szCs w:val="20"/>
                    </w:rPr>
                  </w:pPr>
                  <w:r>
                    <w:rPr>
                      <w:rFonts w:cs="Arial"/>
                      <w:b/>
                      <w:szCs w:val="20"/>
                    </w:rPr>
                    <w:t>Modification</w:t>
                  </w:r>
                  <w:r w:rsidR="00AA69EF" w:rsidRPr="00CA74C4">
                    <w:rPr>
                      <w:rFonts w:cs="Arial"/>
                      <w:b/>
                      <w:szCs w:val="20"/>
                    </w:rPr>
                    <w:t xml:space="preserve"> timetable</w:t>
                  </w:r>
                  <w:r w:rsidR="000B5CFC" w:rsidRPr="00CA74C4">
                    <w:rPr>
                      <w:rFonts w:cs="Arial"/>
                      <w:b/>
                      <w:szCs w:val="20"/>
                    </w:rPr>
                    <w:t>:</w:t>
                  </w:r>
                  <w:r w:rsidR="00AA69EF" w:rsidRPr="00CA74C4">
                    <w:rPr>
                      <w:rFonts w:cs="Arial"/>
                      <w:i/>
                      <w:szCs w:val="20"/>
                    </w:rPr>
                    <w:t xml:space="preserve"> </w:t>
                  </w:r>
                </w:p>
              </w:tc>
            </w:tr>
            <w:tr w:rsidR="007E718E" w:rsidRPr="00CA74C4" w14:paraId="073FF13B" w14:textId="77777777" w:rsidTr="00E81739">
              <w:tc>
                <w:tcPr>
                  <w:tcW w:w="4673" w:type="dxa"/>
                  <w:shd w:val="clear" w:color="auto" w:fill="auto"/>
                </w:tcPr>
                <w:p w14:paraId="0CCBB937" w14:textId="77777777" w:rsidR="007E718E" w:rsidRPr="00CA74C4" w:rsidRDefault="007E718E" w:rsidP="00F14EC4">
                  <w:pPr>
                    <w:tabs>
                      <w:tab w:val="left" w:pos="171"/>
                    </w:tabs>
                    <w:spacing w:before="40" w:after="40"/>
                    <w:rPr>
                      <w:rFonts w:cs="Arial"/>
                      <w:szCs w:val="20"/>
                    </w:rPr>
                  </w:pPr>
                  <w:r w:rsidRPr="00CA74C4">
                    <w:rPr>
                      <w:rFonts w:cs="Arial"/>
                      <w:szCs w:val="20"/>
                    </w:rPr>
                    <w:t>Initial consideration by Workgroup</w:t>
                  </w:r>
                </w:p>
              </w:tc>
              <w:tc>
                <w:tcPr>
                  <w:tcW w:w="3260" w:type="dxa"/>
                  <w:shd w:val="clear" w:color="auto" w:fill="auto"/>
                  <w:vAlign w:val="center"/>
                </w:tcPr>
                <w:p w14:paraId="7E8D2135" w14:textId="77777777" w:rsidR="007E718E" w:rsidRPr="00CA74C4" w:rsidRDefault="00250BE9" w:rsidP="00F14EC4">
                  <w:pPr>
                    <w:spacing w:before="40" w:after="40"/>
                    <w:rPr>
                      <w:rFonts w:cs="Arial"/>
                      <w:szCs w:val="20"/>
                    </w:rPr>
                  </w:pPr>
                  <w:r>
                    <w:rPr>
                      <w:rFonts w:cs="Arial"/>
                      <w:szCs w:val="20"/>
                    </w:rPr>
                    <w:t>02 February 2021</w:t>
                  </w:r>
                </w:p>
              </w:tc>
            </w:tr>
            <w:tr w:rsidR="00250BE9" w:rsidRPr="00CA74C4" w14:paraId="6D2EE363" w14:textId="77777777" w:rsidTr="00E81739">
              <w:tc>
                <w:tcPr>
                  <w:tcW w:w="4673" w:type="dxa"/>
                  <w:shd w:val="clear" w:color="auto" w:fill="auto"/>
                </w:tcPr>
                <w:p w14:paraId="3B162B64" w14:textId="77777777" w:rsidR="00250BE9" w:rsidRPr="00CA74C4" w:rsidRDefault="00250BE9" w:rsidP="00F14EC4">
                  <w:pPr>
                    <w:tabs>
                      <w:tab w:val="left" w:pos="171"/>
                    </w:tabs>
                    <w:spacing w:before="40" w:after="40"/>
                    <w:rPr>
                      <w:rFonts w:cs="Arial"/>
                      <w:szCs w:val="20"/>
                    </w:rPr>
                  </w:pPr>
                  <w:r w:rsidRPr="00CA74C4">
                    <w:rPr>
                      <w:rFonts w:cs="Arial"/>
                      <w:szCs w:val="20"/>
                    </w:rPr>
                    <w:t>Workgroup Report presented to Panel</w:t>
                  </w:r>
                </w:p>
              </w:tc>
              <w:tc>
                <w:tcPr>
                  <w:tcW w:w="3260" w:type="dxa"/>
                  <w:shd w:val="clear" w:color="auto" w:fill="auto"/>
                  <w:vAlign w:val="center"/>
                </w:tcPr>
                <w:p w14:paraId="5C8B75B1" w14:textId="77777777" w:rsidR="00250BE9" w:rsidRPr="00CA74C4" w:rsidRDefault="00250BE9" w:rsidP="00F14EC4">
                  <w:pPr>
                    <w:spacing w:before="40" w:after="40"/>
                    <w:rPr>
                      <w:rFonts w:cs="Arial"/>
                      <w:szCs w:val="20"/>
                    </w:rPr>
                  </w:pPr>
                  <w:r>
                    <w:rPr>
                      <w:rFonts w:cs="Arial"/>
                      <w:szCs w:val="20"/>
                    </w:rPr>
                    <w:t>15 April 2021</w:t>
                  </w:r>
                </w:p>
              </w:tc>
            </w:tr>
            <w:tr w:rsidR="00250BE9" w:rsidRPr="00CA74C4" w14:paraId="3B992763" w14:textId="77777777" w:rsidTr="00E81739">
              <w:tc>
                <w:tcPr>
                  <w:tcW w:w="4673" w:type="dxa"/>
                  <w:shd w:val="clear" w:color="auto" w:fill="auto"/>
                </w:tcPr>
                <w:p w14:paraId="3AD62FDF" w14:textId="77777777" w:rsidR="00250BE9" w:rsidRPr="00CA74C4" w:rsidRDefault="00250BE9" w:rsidP="00F14EC4">
                  <w:pPr>
                    <w:tabs>
                      <w:tab w:val="left" w:pos="171"/>
                    </w:tabs>
                    <w:spacing w:before="40" w:after="40"/>
                    <w:rPr>
                      <w:rFonts w:cs="Arial"/>
                      <w:szCs w:val="20"/>
                    </w:rPr>
                  </w:pPr>
                  <w:r w:rsidRPr="00CA74C4">
                    <w:rPr>
                      <w:rFonts w:cs="Arial"/>
                      <w:szCs w:val="20"/>
                    </w:rPr>
                    <w:t>Draft Modification Report issued for consultation</w:t>
                  </w:r>
                </w:p>
              </w:tc>
              <w:tc>
                <w:tcPr>
                  <w:tcW w:w="3260" w:type="dxa"/>
                  <w:shd w:val="clear" w:color="auto" w:fill="auto"/>
                  <w:vAlign w:val="center"/>
                </w:tcPr>
                <w:p w14:paraId="45F74EDC" w14:textId="77777777" w:rsidR="00250BE9" w:rsidRPr="00CA74C4" w:rsidRDefault="00250BE9" w:rsidP="00F14EC4">
                  <w:pPr>
                    <w:spacing w:before="40" w:after="40"/>
                    <w:rPr>
                      <w:rFonts w:cs="Arial"/>
                      <w:szCs w:val="20"/>
                    </w:rPr>
                  </w:pPr>
                  <w:r>
                    <w:rPr>
                      <w:rFonts w:cs="Arial"/>
                      <w:szCs w:val="20"/>
                    </w:rPr>
                    <w:t>16 April 2021</w:t>
                  </w:r>
                </w:p>
              </w:tc>
            </w:tr>
            <w:tr w:rsidR="00250BE9" w:rsidRPr="00CA74C4" w14:paraId="0076C966" w14:textId="77777777" w:rsidTr="00E81739">
              <w:tc>
                <w:tcPr>
                  <w:tcW w:w="4673" w:type="dxa"/>
                  <w:shd w:val="clear" w:color="auto" w:fill="auto"/>
                </w:tcPr>
                <w:p w14:paraId="7D88D628" w14:textId="77777777" w:rsidR="00250BE9" w:rsidRPr="00CA74C4" w:rsidRDefault="00250BE9" w:rsidP="00F14EC4">
                  <w:pPr>
                    <w:tabs>
                      <w:tab w:val="left" w:pos="171"/>
                    </w:tabs>
                    <w:spacing w:before="40" w:after="40"/>
                    <w:rPr>
                      <w:rFonts w:cs="Arial"/>
                      <w:szCs w:val="20"/>
                    </w:rPr>
                  </w:pPr>
                  <w:r w:rsidRPr="00CA74C4">
                    <w:rPr>
                      <w:rFonts w:cs="Arial"/>
                      <w:szCs w:val="20"/>
                    </w:rPr>
                    <w:t>Consultation Close-out for representations</w:t>
                  </w:r>
                </w:p>
              </w:tc>
              <w:tc>
                <w:tcPr>
                  <w:tcW w:w="3260" w:type="dxa"/>
                  <w:shd w:val="clear" w:color="auto" w:fill="auto"/>
                  <w:vAlign w:val="center"/>
                </w:tcPr>
                <w:p w14:paraId="058CAA88" w14:textId="77777777" w:rsidR="00250BE9" w:rsidRPr="00CA74C4" w:rsidRDefault="00056F64" w:rsidP="00F14EC4">
                  <w:pPr>
                    <w:spacing w:before="40" w:after="40"/>
                    <w:rPr>
                      <w:rFonts w:cs="Arial"/>
                      <w:szCs w:val="20"/>
                    </w:rPr>
                  </w:pPr>
                  <w:r>
                    <w:rPr>
                      <w:rFonts w:cs="Arial"/>
                      <w:szCs w:val="20"/>
                    </w:rPr>
                    <w:t>10</w:t>
                  </w:r>
                  <w:r w:rsidR="00250BE9">
                    <w:rPr>
                      <w:rFonts w:cs="Arial"/>
                      <w:szCs w:val="20"/>
                    </w:rPr>
                    <w:t xml:space="preserve"> May 2021</w:t>
                  </w:r>
                </w:p>
              </w:tc>
            </w:tr>
            <w:tr w:rsidR="00250BE9" w:rsidRPr="00CA74C4" w14:paraId="12FDA4FC" w14:textId="77777777" w:rsidTr="00E81739">
              <w:tc>
                <w:tcPr>
                  <w:tcW w:w="4673" w:type="dxa"/>
                  <w:shd w:val="clear" w:color="auto" w:fill="auto"/>
                </w:tcPr>
                <w:p w14:paraId="6819050D" w14:textId="77777777" w:rsidR="00250BE9" w:rsidRPr="00CA74C4" w:rsidRDefault="00250BE9" w:rsidP="00F14EC4">
                  <w:pPr>
                    <w:tabs>
                      <w:tab w:val="left" w:pos="171"/>
                    </w:tabs>
                    <w:spacing w:before="40" w:after="40"/>
                    <w:rPr>
                      <w:rFonts w:cs="Arial"/>
                      <w:szCs w:val="20"/>
                    </w:rPr>
                  </w:pPr>
                  <w:r w:rsidRPr="00CA74C4">
                    <w:rPr>
                      <w:rFonts w:cs="Arial"/>
                      <w:szCs w:val="20"/>
                    </w:rPr>
                    <w:t>Final Modification Report available for Panel</w:t>
                  </w:r>
                </w:p>
              </w:tc>
              <w:tc>
                <w:tcPr>
                  <w:tcW w:w="3260" w:type="dxa"/>
                  <w:shd w:val="clear" w:color="auto" w:fill="auto"/>
                  <w:vAlign w:val="center"/>
                </w:tcPr>
                <w:p w14:paraId="22E3AA01" w14:textId="77777777" w:rsidR="00250BE9" w:rsidRPr="00CA74C4" w:rsidRDefault="00250BE9" w:rsidP="00F14EC4">
                  <w:pPr>
                    <w:spacing w:before="40" w:after="40"/>
                    <w:rPr>
                      <w:rFonts w:cs="Arial"/>
                      <w:szCs w:val="20"/>
                    </w:rPr>
                  </w:pPr>
                  <w:r>
                    <w:rPr>
                      <w:rFonts w:cs="Arial"/>
                      <w:szCs w:val="20"/>
                    </w:rPr>
                    <w:t>1</w:t>
                  </w:r>
                  <w:r w:rsidR="008E27C4">
                    <w:rPr>
                      <w:rFonts w:cs="Arial"/>
                      <w:szCs w:val="20"/>
                    </w:rPr>
                    <w:t>2</w:t>
                  </w:r>
                  <w:r>
                    <w:rPr>
                      <w:rFonts w:cs="Arial"/>
                      <w:szCs w:val="20"/>
                    </w:rPr>
                    <w:t xml:space="preserve"> May 2021</w:t>
                  </w:r>
                </w:p>
              </w:tc>
            </w:tr>
            <w:tr w:rsidR="00250BE9" w:rsidRPr="00CA74C4" w14:paraId="6F747789" w14:textId="77777777" w:rsidTr="00E81739">
              <w:tc>
                <w:tcPr>
                  <w:tcW w:w="4673" w:type="dxa"/>
                  <w:shd w:val="clear" w:color="auto" w:fill="auto"/>
                </w:tcPr>
                <w:p w14:paraId="27AF0900" w14:textId="77777777" w:rsidR="00250BE9" w:rsidRPr="00CA74C4" w:rsidRDefault="00250BE9" w:rsidP="00F14EC4">
                  <w:pPr>
                    <w:tabs>
                      <w:tab w:val="left" w:pos="171"/>
                    </w:tabs>
                    <w:spacing w:before="40" w:after="40"/>
                    <w:rPr>
                      <w:rFonts w:cs="Arial"/>
                      <w:szCs w:val="20"/>
                    </w:rPr>
                  </w:pPr>
                  <w:r w:rsidRPr="00CA74C4">
                    <w:rPr>
                      <w:rFonts w:cs="Arial"/>
                      <w:szCs w:val="20"/>
                    </w:rPr>
                    <w:t>Modification Panel decision</w:t>
                  </w:r>
                </w:p>
              </w:tc>
              <w:tc>
                <w:tcPr>
                  <w:tcW w:w="3260" w:type="dxa"/>
                  <w:shd w:val="clear" w:color="auto" w:fill="auto"/>
                  <w:vAlign w:val="center"/>
                </w:tcPr>
                <w:p w14:paraId="00F91A59" w14:textId="77777777" w:rsidR="00250BE9" w:rsidRPr="00CA74C4" w:rsidRDefault="00250BE9" w:rsidP="00F14EC4">
                  <w:pPr>
                    <w:spacing w:before="40" w:after="40"/>
                    <w:rPr>
                      <w:rFonts w:cs="Arial"/>
                      <w:szCs w:val="20"/>
                    </w:rPr>
                  </w:pPr>
                  <w:r>
                    <w:rPr>
                      <w:rFonts w:cs="Arial"/>
                      <w:szCs w:val="20"/>
                    </w:rPr>
                    <w:t>20 May 2021</w:t>
                  </w:r>
                </w:p>
              </w:tc>
            </w:tr>
            <w:tr w:rsidR="00250BE9" w:rsidRPr="00CA74C4" w14:paraId="098A0F0B" w14:textId="77777777" w:rsidTr="00E81739">
              <w:tc>
                <w:tcPr>
                  <w:tcW w:w="4673" w:type="dxa"/>
                  <w:shd w:val="clear" w:color="auto" w:fill="auto"/>
                </w:tcPr>
                <w:p w14:paraId="621AAD3E" w14:textId="77777777" w:rsidR="00250BE9" w:rsidRPr="00CA74C4" w:rsidRDefault="00250BE9" w:rsidP="00B81F70">
                  <w:pPr>
                    <w:tabs>
                      <w:tab w:val="left" w:pos="171"/>
                    </w:tabs>
                    <w:spacing w:before="40" w:after="40"/>
                    <w:rPr>
                      <w:rFonts w:cs="Arial"/>
                      <w:szCs w:val="20"/>
                    </w:rPr>
                  </w:pPr>
                </w:p>
              </w:tc>
              <w:tc>
                <w:tcPr>
                  <w:tcW w:w="3260" w:type="dxa"/>
                  <w:shd w:val="clear" w:color="auto" w:fill="auto"/>
                  <w:vAlign w:val="center"/>
                </w:tcPr>
                <w:p w14:paraId="34750D40" w14:textId="77777777" w:rsidR="00250BE9" w:rsidRPr="00CA74C4" w:rsidRDefault="00250BE9" w:rsidP="00F14EC4">
                  <w:pPr>
                    <w:spacing w:before="40" w:after="40"/>
                    <w:rPr>
                      <w:rFonts w:cs="Arial"/>
                      <w:szCs w:val="20"/>
                    </w:rPr>
                  </w:pPr>
                </w:p>
              </w:tc>
            </w:tr>
            <w:tr w:rsidR="00250BE9" w:rsidRPr="00CA74C4" w14:paraId="1519ECDB" w14:textId="77777777" w:rsidTr="00E81739">
              <w:trPr>
                <w:trHeight w:val="93"/>
              </w:trPr>
              <w:tc>
                <w:tcPr>
                  <w:tcW w:w="4673" w:type="dxa"/>
                  <w:shd w:val="clear" w:color="auto" w:fill="auto"/>
                </w:tcPr>
                <w:p w14:paraId="106FD4B8" w14:textId="77777777" w:rsidR="00250BE9" w:rsidRPr="00CA74C4" w:rsidRDefault="00250BE9" w:rsidP="00F14EC4">
                  <w:pPr>
                    <w:tabs>
                      <w:tab w:val="left" w:pos="171"/>
                    </w:tabs>
                    <w:spacing w:before="40" w:after="40"/>
                    <w:rPr>
                      <w:rFonts w:cs="Arial"/>
                      <w:szCs w:val="20"/>
                    </w:rPr>
                  </w:pPr>
                </w:p>
              </w:tc>
              <w:tc>
                <w:tcPr>
                  <w:tcW w:w="3260" w:type="dxa"/>
                  <w:shd w:val="clear" w:color="auto" w:fill="auto"/>
                  <w:vAlign w:val="center"/>
                </w:tcPr>
                <w:p w14:paraId="2D404168" w14:textId="77777777" w:rsidR="00250BE9" w:rsidRPr="00CA74C4" w:rsidRDefault="00250BE9" w:rsidP="00F14EC4">
                  <w:pPr>
                    <w:spacing w:before="40" w:after="40"/>
                    <w:rPr>
                      <w:rFonts w:cs="Arial"/>
                      <w:szCs w:val="20"/>
                    </w:rPr>
                  </w:pPr>
                </w:p>
              </w:tc>
            </w:tr>
          </w:tbl>
          <w:p w14:paraId="1EA03845" w14:textId="77777777" w:rsidR="006551B8" w:rsidRPr="00CA74C4" w:rsidRDefault="006551B8" w:rsidP="007E718E">
            <w:pPr>
              <w:pStyle w:val="BodyTextFirstIndent"/>
              <w:ind w:firstLine="0"/>
              <w:rPr>
                <w:rFonts w:cs="Arial"/>
              </w:rPr>
            </w:pPr>
          </w:p>
          <w:p w14:paraId="039B7714" w14:textId="77777777" w:rsidR="008F48D5" w:rsidRPr="00CA74C4" w:rsidRDefault="008F48D5" w:rsidP="007E718E">
            <w:pPr>
              <w:pStyle w:val="BodyTextFirstIndent"/>
              <w:ind w:firstLine="0"/>
              <w:rPr>
                <w:rFonts w:cs="Arial"/>
              </w:rPr>
            </w:pPr>
          </w:p>
          <w:p w14:paraId="7E33DCBB" w14:textId="77777777" w:rsidR="008F48D5" w:rsidRPr="00CA74C4" w:rsidRDefault="008F48D5" w:rsidP="007008A3">
            <w:pPr>
              <w:pStyle w:val="BodyTextFirstIndent"/>
              <w:tabs>
                <w:tab w:val="left" w:pos="3430"/>
              </w:tabs>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6A7E10E" w14:textId="454F8335" w:rsidR="00F10E14" w:rsidRPr="00CA74C4" w:rsidRDefault="00916138" w:rsidP="002D4AED">
            <w:pPr>
              <w:pStyle w:val="BodyText"/>
              <w:spacing w:before="60" w:after="60" w:line="240" w:lineRule="auto"/>
              <w:rPr>
                <w:rFonts w:cs="Arial"/>
                <w:szCs w:val="20"/>
              </w:rPr>
            </w:pPr>
            <w:r>
              <w:rPr>
                <w:rFonts w:cs="Arial"/>
                <w:noProof/>
                <w:szCs w:val="20"/>
              </w:rPr>
              <w:drawing>
                <wp:inline distT="0" distB="0" distL="0" distR="0" wp14:anchorId="721AE1C1" wp14:editId="225C2DA3">
                  <wp:extent cx="274320" cy="27432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7F00141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DDF122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1C849F3"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7BC99257"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33E973C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110545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A810D56" w14:textId="29765039" w:rsidR="00F10E14" w:rsidRPr="00CA74C4" w:rsidRDefault="00916138"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7CBC4666" wp14:editId="44772294">
                  <wp:extent cx="283210" cy="28321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2D4AED" w:rsidRPr="002D4AED">
              <w:rPr>
                <w:rFonts w:cs="Arial"/>
                <w:b/>
                <w:color w:val="008576"/>
                <w:szCs w:val="20"/>
                <w:lang w:val="en-US"/>
              </w:rPr>
              <w:t xml:space="preserve"> </w:t>
            </w:r>
            <w:hyperlink r:id="rId24" w:history="1">
              <w:r w:rsidR="002D4AED" w:rsidRPr="002D4AED">
                <w:rPr>
                  <w:rStyle w:val="Hyperlink"/>
                  <w:rFonts w:cs="Arial"/>
                  <w:b/>
                  <w:szCs w:val="20"/>
                  <w:lang w:val="en-US"/>
                </w:rPr>
                <w:t>enquiries@gasgovernance.co.uk</w:t>
              </w:r>
            </w:hyperlink>
          </w:p>
        </w:tc>
      </w:tr>
      <w:tr w:rsidR="00F10E14" w:rsidRPr="00CA74C4" w14:paraId="270E3BB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E0AB95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C73F1C1" w14:textId="07BEEDCD" w:rsidR="00F10E14" w:rsidRPr="00CA74C4" w:rsidRDefault="00916138"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02D16BA" wp14:editId="68184FEC">
                  <wp:extent cx="283210" cy="28321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7821678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816146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199859"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1AF65B83" w14:textId="77777777" w:rsidR="00F10E14" w:rsidRPr="00CA74C4" w:rsidRDefault="003F73D8" w:rsidP="002D4AED">
            <w:pPr>
              <w:spacing w:before="60" w:after="60" w:line="240" w:lineRule="auto"/>
              <w:rPr>
                <w:rFonts w:cs="Arial"/>
                <w:b/>
                <w:color w:val="008576"/>
                <w:szCs w:val="20"/>
              </w:rPr>
            </w:pPr>
            <w:r>
              <w:rPr>
                <w:rFonts w:cs="Arial"/>
                <w:b/>
                <w:color w:val="008576"/>
                <w:szCs w:val="20"/>
              </w:rPr>
              <w:t>Adam Bates</w:t>
            </w:r>
            <w:r w:rsidR="008E27C4">
              <w:rPr>
                <w:rFonts w:cs="Arial"/>
                <w:b/>
                <w:color w:val="008576"/>
                <w:szCs w:val="20"/>
              </w:rPr>
              <w:t>, South Hook Gas Company Ltd</w:t>
            </w:r>
          </w:p>
        </w:tc>
      </w:tr>
      <w:tr w:rsidR="00F10E14" w:rsidRPr="00CA74C4" w14:paraId="22BAE14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48CEBE6"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42B232" w14:textId="22179E2F" w:rsidR="00F10E14" w:rsidRPr="00CA74C4" w:rsidRDefault="00916138" w:rsidP="002D4AED">
            <w:pPr>
              <w:pStyle w:val="BodyText"/>
              <w:spacing w:before="60" w:after="60" w:line="240" w:lineRule="auto"/>
              <w:rPr>
                <w:rFonts w:cs="Arial"/>
                <w:b/>
                <w:color w:val="008576"/>
                <w:szCs w:val="20"/>
              </w:rPr>
            </w:pPr>
            <w:r>
              <w:rPr>
                <w:rFonts w:cs="Arial"/>
                <w:b/>
                <w:noProof/>
                <w:color w:val="008576"/>
                <w:szCs w:val="20"/>
              </w:rPr>
              <w:drawing>
                <wp:inline distT="0" distB="0" distL="0" distR="0" wp14:anchorId="2B38A65C" wp14:editId="567D5AF7">
                  <wp:extent cx="283210" cy="283210"/>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mail_us_go_on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F10E14" w:rsidRPr="00CA74C4">
              <w:rPr>
                <w:rFonts w:cs="Arial"/>
                <w:b/>
                <w:color w:val="008576"/>
                <w:szCs w:val="20"/>
              </w:rPr>
              <w:t xml:space="preserve"> </w:t>
            </w:r>
            <w:hyperlink r:id="rId26" w:history="1">
              <w:r w:rsidR="003F73D8" w:rsidRPr="00F32751">
                <w:rPr>
                  <w:rStyle w:val="Hyperlink"/>
                  <w:rFonts w:cs="Arial"/>
                  <w:b/>
                  <w:szCs w:val="20"/>
                </w:rPr>
                <w:t>abates@southhookgas.com</w:t>
              </w:r>
            </w:hyperlink>
            <w:r w:rsidR="003F73D8">
              <w:rPr>
                <w:rFonts w:cs="Arial"/>
                <w:b/>
                <w:color w:val="008576"/>
                <w:szCs w:val="20"/>
              </w:rPr>
              <w:t xml:space="preserve"> </w:t>
            </w:r>
          </w:p>
        </w:tc>
      </w:tr>
      <w:tr w:rsidR="00F10E14" w:rsidRPr="00CA74C4" w14:paraId="2EF3250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6608A8C"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0B01A70" w14:textId="52495346" w:rsidR="00F10E14" w:rsidRPr="00CA74C4" w:rsidRDefault="00916138"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03B3AC61" wp14:editId="1C10F9BC">
                  <wp:extent cx="283210" cy="28321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F10E14" w:rsidRPr="00CA74C4">
              <w:rPr>
                <w:rFonts w:cs="Arial"/>
                <w:b/>
                <w:color w:val="008576"/>
                <w:szCs w:val="20"/>
              </w:rPr>
              <w:t xml:space="preserve"> </w:t>
            </w:r>
            <w:r w:rsidR="003F73D8">
              <w:rPr>
                <w:rFonts w:cs="Arial"/>
                <w:b/>
                <w:color w:val="008576"/>
                <w:szCs w:val="20"/>
              </w:rPr>
              <w:t>07787524566</w:t>
            </w:r>
          </w:p>
        </w:tc>
      </w:tr>
      <w:tr w:rsidR="00F10E14" w:rsidRPr="00CA74C4" w14:paraId="73EFC74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0DFB45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1635AF" w14:textId="77777777" w:rsidR="00F10E14" w:rsidRPr="002A7B38" w:rsidRDefault="002D4AED" w:rsidP="002D4AED">
            <w:pPr>
              <w:spacing w:before="60" w:after="60" w:line="240" w:lineRule="auto"/>
              <w:rPr>
                <w:rFonts w:cs="Arial"/>
                <w:color w:val="008576"/>
                <w:szCs w:val="20"/>
              </w:rPr>
            </w:pPr>
            <w:r w:rsidRPr="002A7B38">
              <w:rPr>
                <w:rFonts w:cs="Arial"/>
                <w:color w:val="008576"/>
                <w:szCs w:val="20"/>
              </w:rPr>
              <w:t>Transporter</w:t>
            </w:r>
            <w:r w:rsidR="00F10E14" w:rsidRPr="002A7B38">
              <w:rPr>
                <w:rFonts w:cs="Arial"/>
                <w:color w:val="008576"/>
                <w:szCs w:val="20"/>
              </w:rPr>
              <w:t>:</w:t>
            </w:r>
          </w:p>
          <w:p w14:paraId="2C1670BD" w14:textId="77777777" w:rsidR="00F10E14" w:rsidRPr="00CA74C4" w:rsidRDefault="00056F64" w:rsidP="002D4AED">
            <w:pPr>
              <w:pStyle w:val="BodyText"/>
              <w:spacing w:before="60" w:after="60" w:line="240" w:lineRule="auto"/>
              <w:rPr>
                <w:rFonts w:cs="Arial"/>
                <w:color w:val="008576"/>
                <w:szCs w:val="20"/>
              </w:rPr>
            </w:pPr>
            <w:r>
              <w:rPr>
                <w:rFonts w:cs="Arial"/>
                <w:b/>
                <w:color w:val="008576"/>
                <w:szCs w:val="20"/>
              </w:rPr>
              <w:t>Darren Lond</w:t>
            </w:r>
            <w:r w:rsidR="007008A3">
              <w:rPr>
                <w:rFonts w:cs="Arial"/>
                <w:b/>
                <w:color w:val="008576"/>
                <w:szCs w:val="20"/>
              </w:rPr>
              <w:t xml:space="preserve">, </w:t>
            </w:r>
            <w:r>
              <w:rPr>
                <w:rFonts w:cs="Arial"/>
                <w:b/>
                <w:color w:val="008576"/>
                <w:szCs w:val="20"/>
              </w:rPr>
              <w:t xml:space="preserve">National Grid </w:t>
            </w:r>
            <w:r w:rsidR="002A7B38">
              <w:rPr>
                <w:rFonts w:cs="Arial"/>
                <w:b/>
                <w:color w:val="008576"/>
                <w:szCs w:val="20"/>
              </w:rPr>
              <w:t xml:space="preserve"> </w:t>
            </w:r>
          </w:p>
        </w:tc>
      </w:tr>
      <w:tr w:rsidR="00F10E14" w:rsidRPr="00CA74C4" w14:paraId="1646C097"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0BD70C5"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E9C1E65" w14:textId="40C248BC" w:rsidR="00F10E14" w:rsidRPr="00CA74C4" w:rsidRDefault="00916138" w:rsidP="002D4AED">
            <w:pPr>
              <w:pStyle w:val="BodyText"/>
              <w:spacing w:before="60" w:after="60"/>
              <w:rPr>
                <w:rFonts w:cs="Arial"/>
                <w:b/>
                <w:color w:val="008576"/>
                <w:szCs w:val="20"/>
              </w:rPr>
            </w:pPr>
            <w:r>
              <w:rPr>
                <w:rFonts w:cs="Arial"/>
                <w:b/>
                <w:noProof/>
                <w:color w:val="008576"/>
                <w:szCs w:val="20"/>
              </w:rPr>
              <w:drawing>
                <wp:inline distT="0" distB="0" distL="0" distR="0" wp14:anchorId="5FC124A3" wp14:editId="463A2C4C">
                  <wp:extent cx="283210" cy="28321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F10E14" w:rsidRPr="00CA74C4">
              <w:rPr>
                <w:rFonts w:cs="Arial"/>
                <w:b/>
                <w:color w:val="008576"/>
                <w:szCs w:val="20"/>
              </w:rPr>
              <w:t xml:space="preserve"> </w:t>
            </w:r>
            <w:hyperlink r:id="rId27" w:history="1">
              <w:r w:rsidR="007008A3" w:rsidRPr="001F6E2C">
                <w:rPr>
                  <w:rStyle w:val="Hyperlink"/>
                  <w:rFonts w:cs="Arial"/>
                  <w:b/>
                  <w:szCs w:val="20"/>
                </w:rPr>
                <w:t>darren.lond@nationalgrid.com</w:t>
              </w:r>
            </w:hyperlink>
            <w:r w:rsidR="007008A3">
              <w:rPr>
                <w:rFonts w:cs="Arial"/>
                <w:b/>
                <w:color w:val="008576"/>
                <w:szCs w:val="20"/>
              </w:rPr>
              <w:t xml:space="preserve"> </w:t>
            </w:r>
          </w:p>
        </w:tc>
      </w:tr>
      <w:tr w:rsidR="00F10E14" w:rsidRPr="00CA74C4" w14:paraId="6697FC67"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35727AA"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1997130" w14:textId="0D2CD879" w:rsidR="00F10E14" w:rsidRPr="00CA74C4" w:rsidRDefault="00916138" w:rsidP="002D4AED">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2279B877" wp14:editId="6EE2C858">
                  <wp:extent cx="283210" cy="28321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F10E14" w:rsidRPr="00CA74C4">
              <w:rPr>
                <w:rFonts w:cs="Arial"/>
                <w:b/>
                <w:color w:val="008576"/>
                <w:szCs w:val="20"/>
              </w:rPr>
              <w:t xml:space="preserve"> </w:t>
            </w:r>
            <w:r w:rsidR="00056F64">
              <w:rPr>
                <w:rFonts w:cs="Arial"/>
                <w:b/>
                <w:color w:val="008576"/>
                <w:szCs w:val="20"/>
              </w:rPr>
              <w:t>0</w:t>
            </w:r>
            <w:r w:rsidR="00056F64" w:rsidRPr="00056F64">
              <w:rPr>
                <w:rFonts w:cs="Arial"/>
                <w:b/>
                <w:color w:val="008576"/>
                <w:szCs w:val="20"/>
              </w:rPr>
              <w:t>7769 724 892</w:t>
            </w:r>
          </w:p>
        </w:tc>
      </w:tr>
      <w:tr w:rsidR="005B0B30" w:rsidRPr="00CA74C4" w14:paraId="46EE9C57"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6FBADD92"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ED3284A"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35BDA1A2"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2D8DF469"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4AF0A34D"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B597D1" w14:textId="4B94883E" w:rsidR="005B0B30" w:rsidRPr="00CA74C4" w:rsidRDefault="00916138" w:rsidP="00CB5E73">
            <w:pPr>
              <w:pStyle w:val="BodyText"/>
              <w:spacing w:before="60" w:after="60"/>
              <w:rPr>
                <w:rFonts w:cs="Arial"/>
                <w:b/>
                <w:color w:val="008576"/>
                <w:szCs w:val="20"/>
              </w:rPr>
            </w:pPr>
            <w:r>
              <w:rPr>
                <w:rFonts w:cs="Arial"/>
                <w:b/>
                <w:noProof/>
                <w:color w:val="008576"/>
                <w:szCs w:val="20"/>
              </w:rPr>
              <w:drawing>
                <wp:inline distT="0" distB="0" distL="0" distR="0" wp14:anchorId="391A14E7" wp14:editId="76162BA0">
                  <wp:extent cx="283210" cy="28321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5B0B30" w:rsidRPr="00CA74C4">
              <w:rPr>
                <w:rFonts w:cs="Arial"/>
                <w:b/>
                <w:color w:val="008576"/>
                <w:szCs w:val="20"/>
              </w:rPr>
              <w:t xml:space="preserve"> </w:t>
            </w:r>
            <w:hyperlink r:id="rId28" w:history="1">
              <w:r w:rsidR="00CB5E73" w:rsidRPr="00CB5E73">
                <w:rPr>
                  <w:rStyle w:val="Hyperlink"/>
                  <w:rFonts w:cs="Arial"/>
                  <w:b/>
                  <w:szCs w:val="20"/>
                </w:rPr>
                <w:t>UKLink@xoserve.com</w:t>
              </w:r>
            </w:hyperlink>
          </w:p>
        </w:tc>
      </w:tr>
      <w:tr w:rsidR="002D4AED" w:rsidRPr="00CA74C4" w14:paraId="4ABFBBC0"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39E61E8F"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2F398D" w14:textId="77777777" w:rsidR="002D4AED" w:rsidRPr="00CA74C4" w:rsidRDefault="002D4AED" w:rsidP="005649CA">
            <w:pPr>
              <w:pStyle w:val="BodyText"/>
              <w:spacing w:before="60" w:after="60"/>
              <w:rPr>
                <w:rFonts w:cs="Arial"/>
                <w:b/>
                <w:noProof/>
                <w:color w:val="008576"/>
                <w:szCs w:val="20"/>
                <w:lang w:val="en-US" w:eastAsia="en-US"/>
              </w:rPr>
            </w:pPr>
          </w:p>
        </w:tc>
      </w:tr>
    </w:tbl>
    <w:p w14:paraId="3892934F" w14:textId="77777777" w:rsidR="00435CF2" w:rsidRPr="00CA74C4" w:rsidRDefault="00435CF2">
      <w:pPr>
        <w:rPr>
          <w:rFonts w:cs="Arial"/>
        </w:rPr>
      </w:pPr>
    </w:p>
    <w:p w14:paraId="6A2A2061" w14:textId="77777777" w:rsidR="00FA4B61" w:rsidRDefault="00FA4B61">
      <w:pPr>
        <w:rPr>
          <w:rFonts w:cs="Arial"/>
        </w:rPr>
      </w:pPr>
    </w:p>
    <w:p w14:paraId="6D290B8B" w14:textId="77777777" w:rsidR="007008A3" w:rsidRPr="00CA74C4" w:rsidRDefault="007008A3">
      <w:pPr>
        <w:rPr>
          <w:rFonts w:cs="Arial"/>
        </w:rPr>
      </w:pPr>
    </w:p>
    <w:p w14:paraId="5AACB953" w14:textId="77777777" w:rsidR="00143041" w:rsidRPr="00CA74C4" w:rsidRDefault="004C6117" w:rsidP="00C20DD9">
      <w:pPr>
        <w:pStyle w:val="Heading02"/>
      </w:pPr>
      <w:bookmarkStart w:id="0" w:name="_Toc188527263"/>
      <w:bookmarkStart w:id="1" w:name="_Toc318966117"/>
      <w:r w:rsidRPr="00CA74C4">
        <w:t>Summary</w:t>
      </w:r>
      <w:bookmarkEnd w:id="0"/>
      <w:bookmarkEnd w:id="1"/>
    </w:p>
    <w:p w14:paraId="2F4E794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709031C5" w14:textId="77777777" w:rsidR="00E949E2" w:rsidRDefault="00E949E2" w:rsidP="00C83D64">
      <w:pPr>
        <w:jc w:val="both"/>
        <w:rPr>
          <w:rFonts w:cs="Arial"/>
        </w:rPr>
      </w:pPr>
      <w:r>
        <w:rPr>
          <w:rFonts w:cs="Arial"/>
        </w:rPr>
        <w:t xml:space="preserve">Under the “ticket to ride” principle that underpins the GB capacity regime, Shippers are required to book a unit of </w:t>
      </w:r>
      <w:r w:rsidR="00056F64">
        <w:rPr>
          <w:rFonts w:cs="Arial"/>
        </w:rPr>
        <w:t>National Transmission System (</w:t>
      </w:r>
      <w:r>
        <w:rPr>
          <w:rFonts w:cs="Arial"/>
        </w:rPr>
        <w:t>NTS</w:t>
      </w:r>
      <w:r w:rsidR="00056F64">
        <w:rPr>
          <w:rFonts w:cs="Arial"/>
        </w:rPr>
        <w:t>)</w:t>
      </w:r>
      <w:r>
        <w:rPr>
          <w:rFonts w:cs="Arial"/>
        </w:rPr>
        <w:t xml:space="preserve"> Entry Capacity (via one of the auctions prescribed within U</w:t>
      </w:r>
      <w:r w:rsidR="00056F64">
        <w:rPr>
          <w:rFonts w:cs="Arial"/>
        </w:rPr>
        <w:t xml:space="preserve">niform </w:t>
      </w:r>
      <w:r>
        <w:rPr>
          <w:rFonts w:cs="Arial"/>
        </w:rPr>
        <w:t>N</w:t>
      </w:r>
      <w:r w:rsidR="00056F64">
        <w:rPr>
          <w:rFonts w:cs="Arial"/>
        </w:rPr>
        <w:t xml:space="preserve">etwork </w:t>
      </w:r>
      <w:r>
        <w:rPr>
          <w:rFonts w:cs="Arial"/>
        </w:rPr>
        <w:t>C</w:t>
      </w:r>
      <w:r w:rsidR="00056F64">
        <w:rPr>
          <w:rFonts w:cs="Arial"/>
        </w:rPr>
        <w:t xml:space="preserve">ode (UNC) </w:t>
      </w:r>
      <w:r>
        <w:rPr>
          <w:rFonts w:cs="Arial"/>
        </w:rPr>
        <w:t>T</w:t>
      </w:r>
      <w:r w:rsidR="00056F64">
        <w:rPr>
          <w:rFonts w:cs="Arial"/>
        </w:rPr>
        <w:t xml:space="preserve">ransporter </w:t>
      </w:r>
      <w:r>
        <w:rPr>
          <w:rFonts w:cs="Arial"/>
        </w:rPr>
        <w:t>P</w:t>
      </w:r>
      <w:r w:rsidR="00056F64">
        <w:rPr>
          <w:rFonts w:cs="Arial"/>
        </w:rPr>
        <w:t xml:space="preserve">rincipals </w:t>
      </w:r>
      <w:r>
        <w:rPr>
          <w:rFonts w:cs="Arial"/>
        </w:rPr>
        <w:t>D</w:t>
      </w:r>
      <w:r w:rsidR="00056F64">
        <w:rPr>
          <w:rFonts w:cs="Arial"/>
        </w:rPr>
        <w:t>ocument (TPD)</w:t>
      </w:r>
      <w:r>
        <w:rPr>
          <w:rFonts w:cs="Arial"/>
        </w:rPr>
        <w:t xml:space="preserve"> Section B) for every unit of gas entered onto the NTS. </w:t>
      </w:r>
    </w:p>
    <w:p w14:paraId="66D2589C" w14:textId="77777777" w:rsidR="00E949E2" w:rsidRDefault="00E949E2" w:rsidP="00C83D64">
      <w:pPr>
        <w:jc w:val="both"/>
        <w:rPr>
          <w:rFonts w:cs="Arial"/>
        </w:rPr>
      </w:pPr>
      <w:r>
        <w:rPr>
          <w:rFonts w:cs="Arial"/>
        </w:rPr>
        <w:t>Under the current arrangements, only monthly or quarterly products are available outside of the daily product which restricts Shippers ability to book capacity efficiently where they:</w:t>
      </w:r>
    </w:p>
    <w:p w14:paraId="2E9E573A" w14:textId="77777777" w:rsidR="00E949E2" w:rsidRDefault="00E949E2" w:rsidP="00C83D64">
      <w:pPr>
        <w:numPr>
          <w:ilvl w:val="0"/>
          <w:numId w:val="44"/>
        </w:numPr>
        <w:jc w:val="both"/>
        <w:rPr>
          <w:rFonts w:cs="Arial"/>
        </w:rPr>
      </w:pPr>
      <w:r>
        <w:rPr>
          <w:rFonts w:cs="Arial"/>
        </w:rPr>
        <w:t xml:space="preserve">cannot rely on the Daily System Entry Capacity auctions because of the potential withholding of capacity by National Grid </w:t>
      </w:r>
      <w:r w:rsidR="00200427">
        <w:rPr>
          <w:rFonts w:cs="Arial"/>
        </w:rPr>
        <w:t>because of</w:t>
      </w:r>
      <w:r>
        <w:rPr>
          <w:rFonts w:cs="Arial"/>
        </w:rPr>
        <w:t xml:space="preserve"> a constraint</w:t>
      </w:r>
      <w:r w:rsidR="00056F64">
        <w:rPr>
          <w:rFonts w:cs="Arial"/>
        </w:rPr>
        <w:t>;</w:t>
      </w:r>
      <w:r>
        <w:rPr>
          <w:rFonts w:cs="Arial"/>
        </w:rPr>
        <w:t xml:space="preserve"> or </w:t>
      </w:r>
    </w:p>
    <w:p w14:paraId="0B851DE5" w14:textId="77777777" w:rsidR="00E949E2" w:rsidRDefault="00E949E2" w:rsidP="00C83D64">
      <w:pPr>
        <w:numPr>
          <w:ilvl w:val="0"/>
          <w:numId w:val="44"/>
        </w:numPr>
        <w:jc w:val="both"/>
        <w:rPr>
          <w:rFonts w:cs="Arial"/>
        </w:rPr>
      </w:pPr>
      <w:r>
        <w:rPr>
          <w:rFonts w:cs="Arial"/>
        </w:rPr>
        <w:t>want to purchase capacity ahead of the Gas Day for planning purposes</w:t>
      </w:r>
      <w:r w:rsidR="00056F64">
        <w:rPr>
          <w:rFonts w:cs="Arial"/>
        </w:rPr>
        <w:t>.</w:t>
      </w:r>
    </w:p>
    <w:p w14:paraId="0CD89B28" w14:textId="77777777" w:rsidR="004C6117" w:rsidRPr="00CA74C4" w:rsidRDefault="004C6117" w:rsidP="00C83D64">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6CC51383" w14:textId="77777777" w:rsidR="00E949E2" w:rsidRDefault="00E949E2" w:rsidP="00C83D64">
      <w:pPr>
        <w:jc w:val="both"/>
        <w:rPr>
          <w:rFonts w:cs="Arial"/>
        </w:rPr>
      </w:pPr>
      <w:r>
        <w:rPr>
          <w:rFonts w:cs="Arial"/>
        </w:rPr>
        <w:t xml:space="preserve">Any inefficient capacity bookings made </w:t>
      </w:r>
      <w:r w:rsidR="00B0247A">
        <w:rPr>
          <w:rFonts w:cs="Arial"/>
        </w:rPr>
        <w:t xml:space="preserve">by </w:t>
      </w:r>
      <w:r>
        <w:rPr>
          <w:rFonts w:cs="Arial"/>
        </w:rPr>
        <w:t xml:space="preserve">Shippers not only </w:t>
      </w:r>
      <w:r w:rsidRPr="00E949E2">
        <w:rPr>
          <w:rFonts w:cs="Arial"/>
        </w:rPr>
        <w:t>unnecessarily</w:t>
      </w:r>
      <w:r>
        <w:rPr>
          <w:rFonts w:cs="Arial"/>
        </w:rPr>
        <w:t xml:space="preserve"> increase their overall cost of acquiring capacity </w:t>
      </w:r>
      <w:r w:rsidR="00B0247A">
        <w:rPr>
          <w:rFonts w:cs="Arial"/>
        </w:rPr>
        <w:t xml:space="preserve">but </w:t>
      </w:r>
      <w:r>
        <w:rPr>
          <w:rFonts w:cs="Arial"/>
        </w:rPr>
        <w:t>also restrict the amount of capacity available at the daily auctions for other Shippers</w:t>
      </w:r>
      <w:r w:rsidR="00200427">
        <w:rPr>
          <w:rFonts w:cs="Arial"/>
        </w:rPr>
        <w:t>.</w:t>
      </w:r>
    </w:p>
    <w:p w14:paraId="5F8A7B74" w14:textId="77777777" w:rsidR="00E949E2" w:rsidRDefault="00E949E2" w:rsidP="00C83D64">
      <w:pPr>
        <w:jc w:val="both"/>
        <w:rPr>
          <w:rFonts w:cs="Arial"/>
        </w:rPr>
      </w:pPr>
      <w:r>
        <w:rPr>
          <w:rFonts w:cs="Arial"/>
        </w:rPr>
        <w:t xml:space="preserve">The cost associated with these inefficient bookings has recently been </w:t>
      </w:r>
      <w:r w:rsidR="00B0247A">
        <w:rPr>
          <w:rFonts w:cs="Arial"/>
        </w:rPr>
        <w:t xml:space="preserve">increased </w:t>
      </w:r>
      <w:r>
        <w:rPr>
          <w:rFonts w:cs="Arial"/>
        </w:rPr>
        <w:t>by the implementation of UNC Modification 0678A</w:t>
      </w:r>
      <w:r w:rsidR="007B2D23">
        <w:rPr>
          <w:rFonts w:cs="Arial"/>
        </w:rPr>
        <w:t xml:space="preserve"> - </w:t>
      </w:r>
      <w:r w:rsidR="007B2D23" w:rsidRPr="007B2D23">
        <w:rPr>
          <w:rFonts w:cs="Arial"/>
        </w:rPr>
        <w:t>Amendments to Gas Transmission Charging Regime (Postage Stamp</w:t>
      </w:r>
      <w:r w:rsidR="007B2D23">
        <w:rPr>
          <w:rFonts w:cs="Arial"/>
        </w:rPr>
        <w:t>)</w:t>
      </w:r>
      <w:r>
        <w:rPr>
          <w:rFonts w:cs="Arial"/>
        </w:rPr>
        <w:t xml:space="preserve">, which removed the commodity charge element (only payable on flows) and </w:t>
      </w:r>
      <w:r w:rsidR="006A624C">
        <w:rPr>
          <w:rFonts w:cs="Arial"/>
        </w:rPr>
        <w:t xml:space="preserve">at all </w:t>
      </w:r>
      <w:r w:rsidR="00347E25">
        <w:rPr>
          <w:rFonts w:cs="Arial"/>
        </w:rPr>
        <w:t>E</w:t>
      </w:r>
      <w:r w:rsidR="006A624C">
        <w:rPr>
          <w:rFonts w:cs="Arial"/>
        </w:rPr>
        <w:t xml:space="preserve">ntry </w:t>
      </w:r>
      <w:r w:rsidR="00347E25">
        <w:rPr>
          <w:rFonts w:cs="Arial"/>
        </w:rPr>
        <w:t>P</w:t>
      </w:r>
      <w:r w:rsidR="006A624C">
        <w:rPr>
          <w:rFonts w:cs="Arial"/>
        </w:rPr>
        <w:t>o</w:t>
      </w:r>
      <w:r w:rsidR="005835F0">
        <w:rPr>
          <w:rFonts w:cs="Arial"/>
        </w:rPr>
        <w:t>i</w:t>
      </w:r>
      <w:r w:rsidR="006A624C">
        <w:rPr>
          <w:rFonts w:cs="Arial"/>
        </w:rPr>
        <w:t xml:space="preserve">nts </w:t>
      </w:r>
      <w:r>
        <w:rPr>
          <w:rFonts w:cs="Arial"/>
        </w:rPr>
        <w:t>increase</w:t>
      </w:r>
      <w:r w:rsidR="006A624C">
        <w:rPr>
          <w:rFonts w:cs="Arial"/>
        </w:rPr>
        <w:t>s</w:t>
      </w:r>
      <w:r>
        <w:rPr>
          <w:rFonts w:cs="Arial"/>
        </w:rPr>
        <w:t xml:space="preserve"> the reserve price applicable to any capacity bookings. </w:t>
      </w:r>
    </w:p>
    <w:p w14:paraId="5EAEFC83" w14:textId="77777777" w:rsidR="004C6117" w:rsidRPr="00CA74C4" w:rsidRDefault="004C6117" w:rsidP="00C83D64">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7A1A1297" w14:textId="77777777" w:rsidR="0094005C" w:rsidRDefault="00E949E2" w:rsidP="00C83D64">
      <w:pPr>
        <w:jc w:val="both"/>
        <w:rPr>
          <w:rFonts w:cs="Arial"/>
        </w:rPr>
      </w:pPr>
      <w:r>
        <w:rPr>
          <w:rFonts w:cs="Arial"/>
        </w:rPr>
        <w:t xml:space="preserve">This Modification seeks to implement a Weekly NTS Entry Capacity auction which allows Shippers an additional opportunity to book capacity </w:t>
      </w:r>
      <w:r w:rsidR="005835F0">
        <w:rPr>
          <w:rFonts w:cs="Arial"/>
        </w:rPr>
        <w:t xml:space="preserve">more </w:t>
      </w:r>
      <w:r>
        <w:rPr>
          <w:rFonts w:cs="Arial"/>
        </w:rPr>
        <w:t xml:space="preserve">efficiently, outside of the current Monthly, Daily and Daily Interruptible products. </w:t>
      </w:r>
    </w:p>
    <w:p w14:paraId="5548255D" w14:textId="77777777" w:rsidR="004C6117" w:rsidRPr="00CA74C4" w:rsidRDefault="0094005C" w:rsidP="00C83D64">
      <w:pPr>
        <w:jc w:val="both"/>
        <w:rPr>
          <w:rFonts w:cs="Arial"/>
        </w:rPr>
      </w:pPr>
      <w:r>
        <w:rPr>
          <w:rFonts w:cs="Arial"/>
        </w:rPr>
        <w:t xml:space="preserve">This </w:t>
      </w:r>
      <w:r w:rsidR="003048A5">
        <w:rPr>
          <w:rFonts w:cs="Arial"/>
        </w:rPr>
        <w:t xml:space="preserve">proposed </w:t>
      </w:r>
      <w:r>
        <w:rPr>
          <w:rFonts w:cs="Arial"/>
        </w:rPr>
        <w:t xml:space="preserve">Weekly NTS Entry Capacity auction will run independently of the current NTS Entry Capacity auctions and is not intended to have any adverse impacts on the current auctions. </w:t>
      </w:r>
    </w:p>
    <w:p w14:paraId="4BCE3A06" w14:textId="77777777" w:rsidR="00E6212D" w:rsidRPr="00CA74C4" w:rsidRDefault="00E6212D" w:rsidP="00C20DD9">
      <w:pPr>
        <w:pStyle w:val="Heading02"/>
      </w:pPr>
      <w:bookmarkStart w:id="2" w:name="_Toc318966118"/>
      <w:r w:rsidRPr="00CA74C4">
        <w:t>Governance</w:t>
      </w:r>
      <w:bookmarkEnd w:id="2"/>
    </w:p>
    <w:p w14:paraId="4194DED5" w14:textId="77777777"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sidR="007F5304">
        <w:rPr>
          <w:rFonts w:ascii="Arial" w:eastAsia="Times New Roman" w:hAnsi="Arial" w:cs="Arial"/>
          <w:i w:val="0"/>
          <w:iCs w:val="0"/>
          <w:color w:val="008576"/>
          <w:sz w:val="24"/>
          <w:szCs w:val="28"/>
        </w:rPr>
        <w:t>S</w:t>
      </w:r>
      <w:r w:rsidR="003C2E56" w:rsidRPr="00CA74C4">
        <w:rPr>
          <w:rFonts w:ascii="Arial" w:eastAsia="Times New Roman" w:hAnsi="Arial" w:cs="Arial"/>
          <w:i w:val="0"/>
          <w:iCs w:val="0"/>
          <w:color w:val="008576"/>
          <w:sz w:val="24"/>
          <w:szCs w:val="28"/>
        </w:rPr>
        <w:t>elf-Governance</w:t>
      </w:r>
    </w:p>
    <w:p w14:paraId="07356561" w14:textId="77777777" w:rsidR="00C34DCE" w:rsidRPr="00520903" w:rsidRDefault="00C34DCE" w:rsidP="00C83D64">
      <w:pPr>
        <w:jc w:val="both"/>
        <w:rPr>
          <w:color w:val="000000" w:themeColor="text1"/>
        </w:rPr>
      </w:pPr>
      <w:r w:rsidRPr="00520903">
        <w:rPr>
          <w:color w:val="000000" w:themeColor="text1"/>
        </w:rPr>
        <w:t xml:space="preserve">Application of Self-Governance is sought because the changes proposed are unlikely to have an adverse effect on competition in the shipping, transportation or supply of gas conveyed through pipes or any commercial activities connected with the shipping, transportation or supply of gas conveyed through pipes. </w:t>
      </w:r>
    </w:p>
    <w:p w14:paraId="267EDF1B" w14:textId="77777777" w:rsidR="003C2E56" w:rsidRDefault="007F5304" w:rsidP="00C83D64">
      <w:pPr>
        <w:jc w:val="both"/>
      </w:pPr>
      <w:r w:rsidRPr="00520903">
        <w:rPr>
          <w:color w:val="000000" w:themeColor="text1"/>
        </w:rPr>
        <w:t>The</w:t>
      </w:r>
      <w:r w:rsidR="00347E25" w:rsidRPr="00520903">
        <w:rPr>
          <w:color w:val="000000" w:themeColor="text1"/>
        </w:rPr>
        <w:t xml:space="preserve"> Modification</w:t>
      </w:r>
      <w:r w:rsidR="003048A5" w:rsidRPr="00520903">
        <w:rPr>
          <w:color w:val="000000" w:themeColor="text1"/>
        </w:rPr>
        <w:t xml:space="preserve"> </w:t>
      </w:r>
      <w:r w:rsidR="00C34DCE" w:rsidRPr="00520903">
        <w:rPr>
          <w:color w:val="000000" w:themeColor="text1"/>
        </w:rPr>
        <w:t xml:space="preserve">is unlikely </w:t>
      </w:r>
      <w:r w:rsidRPr="00520903">
        <w:rPr>
          <w:color w:val="000000" w:themeColor="text1"/>
        </w:rPr>
        <w:t xml:space="preserve">to discriminate between different classes of parties to the </w:t>
      </w:r>
      <w:r w:rsidR="003048A5" w:rsidRPr="00520903">
        <w:rPr>
          <w:color w:val="000000" w:themeColor="text1"/>
        </w:rPr>
        <w:t>UNC</w:t>
      </w:r>
      <w:r w:rsidR="00C34DCE" w:rsidRPr="00520903">
        <w:rPr>
          <w:color w:val="000000" w:themeColor="text1"/>
        </w:rPr>
        <w:t xml:space="preserve"> or Gas Shippers due to the changes having the same </w:t>
      </w:r>
      <w:r w:rsidR="00C34DCE">
        <w:t xml:space="preserve">impact on UNC parties as per the current rules </w:t>
      </w:r>
      <w:r w:rsidR="00B0247A">
        <w:t xml:space="preserve">for </w:t>
      </w:r>
      <w:r w:rsidR="00C34DCE">
        <w:t xml:space="preserve">NTS Entry Capacity Auctions. </w:t>
      </w:r>
    </w:p>
    <w:p w14:paraId="6C41D05E"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p>
    <w:p w14:paraId="33E3A3E1" w14:textId="77777777" w:rsidR="007008A3" w:rsidRDefault="005054CF" w:rsidP="007008A3">
      <w:pPr>
        <w:pStyle w:val="BodyText3"/>
        <w:ind w:right="113"/>
        <w:rPr>
          <w:rFonts w:cs="Arial"/>
          <w:sz w:val="20"/>
          <w:szCs w:val="20"/>
        </w:rPr>
      </w:pPr>
      <w:bookmarkStart w:id="3" w:name="_Toc318966119"/>
      <w:r w:rsidRPr="00F20FAB">
        <w:rPr>
          <w:sz w:val="20"/>
          <w:szCs w:val="20"/>
        </w:rPr>
        <w:t xml:space="preserve">This </w:t>
      </w:r>
      <w:r w:rsidR="00347E25">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p>
    <w:p w14:paraId="3F12C0C9" w14:textId="69E35FFC" w:rsidR="005054CF" w:rsidRPr="00520903" w:rsidRDefault="005054CF" w:rsidP="007008A3">
      <w:pPr>
        <w:pStyle w:val="BodyText3"/>
        <w:numPr>
          <w:ilvl w:val="0"/>
          <w:numId w:val="45"/>
        </w:numPr>
        <w:ind w:right="113"/>
        <w:rPr>
          <w:rFonts w:cs="Arial"/>
          <w:color w:val="000000" w:themeColor="text1"/>
          <w:sz w:val="20"/>
          <w:szCs w:val="20"/>
        </w:rPr>
      </w:pPr>
      <w:r w:rsidRPr="00520903">
        <w:rPr>
          <w:rFonts w:cs="Arial"/>
          <w:color w:val="000000" w:themeColor="text1"/>
          <w:sz w:val="20"/>
          <w:szCs w:val="20"/>
        </w:rPr>
        <w:t xml:space="preserve">be considered a non-material change and subject to </w:t>
      </w:r>
      <w:r w:rsidR="00520903">
        <w:rPr>
          <w:rFonts w:cs="Arial"/>
          <w:color w:val="000000" w:themeColor="text1"/>
          <w:sz w:val="20"/>
          <w:szCs w:val="20"/>
        </w:rPr>
        <w:t>S</w:t>
      </w:r>
      <w:r w:rsidR="00305810" w:rsidRPr="00520903">
        <w:rPr>
          <w:rFonts w:cs="Arial"/>
          <w:color w:val="000000" w:themeColor="text1"/>
          <w:sz w:val="20"/>
          <w:szCs w:val="20"/>
        </w:rPr>
        <w:t>elf-</w:t>
      </w:r>
      <w:r w:rsidR="00520903">
        <w:rPr>
          <w:rFonts w:cs="Arial"/>
          <w:color w:val="000000" w:themeColor="text1"/>
          <w:sz w:val="20"/>
          <w:szCs w:val="20"/>
        </w:rPr>
        <w:t>G</w:t>
      </w:r>
      <w:r w:rsidR="00305810" w:rsidRPr="00520903">
        <w:rPr>
          <w:rFonts w:cs="Arial"/>
          <w:color w:val="000000" w:themeColor="text1"/>
          <w:sz w:val="20"/>
          <w:szCs w:val="20"/>
        </w:rPr>
        <w:t>overnance.</w:t>
      </w:r>
      <w:r w:rsidRPr="00520903">
        <w:rPr>
          <w:rFonts w:cs="Arial"/>
          <w:color w:val="000000" w:themeColor="text1"/>
          <w:sz w:val="20"/>
          <w:szCs w:val="20"/>
        </w:rPr>
        <w:t xml:space="preserve"> </w:t>
      </w:r>
    </w:p>
    <w:p w14:paraId="4D7AB4E3" w14:textId="12D4DF23"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 xml:space="preserve">assessed by a </w:t>
      </w:r>
      <w:r w:rsidR="00305810" w:rsidRPr="00F20FAB">
        <w:rPr>
          <w:rFonts w:cs="Arial"/>
          <w:sz w:val="20"/>
          <w:szCs w:val="20"/>
        </w:rPr>
        <w:t>Workgroup.</w:t>
      </w:r>
    </w:p>
    <w:p w14:paraId="777A4872" w14:textId="77777777" w:rsidR="004C6117" w:rsidRPr="00CA74C4" w:rsidRDefault="004C6117" w:rsidP="00C20DD9">
      <w:pPr>
        <w:pStyle w:val="Heading02"/>
      </w:pPr>
      <w:r w:rsidRPr="00CA74C4">
        <w:t>Why Change?</w:t>
      </w:r>
      <w:bookmarkEnd w:id="3"/>
    </w:p>
    <w:p w14:paraId="293A3168" w14:textId="77777777" w:rsidR="00432932" w:rsidRPr="00CA74C4" w:rsidRDefault="003336FA" w:rsidP="00432932">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Introduction</w:t>
      </w:r>
    </w:p>
    <w:p w14:paraId="38861D27" w14:textId="77777777" w:rsidR="009E7FAD" w:rsidRDefault="008A79FE" w:rsidP="00C83D64">
      <w:pPr>
        <w:jc w:val="both"/>
        <w:rPr>
          <w:rFonts w:cs="Arial"/>
        </w:rPr>
      </w:pPr>
      <w:r>
        <w:rPr>
          <w:rFonts w:cs="Arial"/>
        </w:rPr>
        <w:t xml:space="preserve">NTS Entry Capacity is </w:t>
      </w:r>
      <w:r w:rsidR="00A36E4F">
        <w:rPr>
          <w:rFonts w:cs="Arial"/>
        </w:rPr>
        <w:t>required to be purchased</w:t>
      </w:r>
      <w:r w:rsidR="009E7FAD">
        <w:rPr>
          <w:rStyle w:val="FootnoteReference"/>
          <w:rFonts w:cs="Arial"/>
        </w:rPr>
        <w:footnoteReference w:id="2"/>
      </w:r>
      <w:r w:rsidR="00A36E4F">
        <w:rPr>
          <w:rFonts w:cs="Arial"/>
        </w:rPr>
        <w:t xml:space="preserve"> to allow a Shipper to enter gas onto the NTS and is </w:t>
      </w:r>
      <w:r>
        <w:rPr>
          <w:rFonts w:cs="Arial"/>
        </w:rPr>
        <w:t xml:space="preserve">made available </w:t>
      </w:r>
      <w:r w:rsidR="006A624C">
        <w:rPr>
          <w:rFonts w:cs="Arial"/>
        </w:rPr>
        <w:t>through</w:t>
      </w:r>
      <w:r>
        <w:rPr>
          <w:rFonts w:cs="Arial"/>
        </w:rPr>
        <w:t xml:space="preserve"> </w:t>
      </w:r>
      <w:r w:rsidR="00A36E4F">
        <w:rPr>
          <w:rFonts w:cs="Arial"/>
        </w:rPr>
        <w:t>various</w:t>
      </w:r>
      <w:r>
        <w:rPr>
          <w:rFonts w:cs="Arial"/>
        </w:rPr>
        <w:t xml:space="preserve"> </w:t>
      </w:r>
      <w:r w:rsidR="008F55C3">
        <w:rPr>
          <w:rFonts w:cs="Arial"/>
        </w:rPr>
        <w:t xml:space="preserve">NTS Entry Capacity </w:t>
      </w:r>
      <w:r w:rsidR="00A36E4F">
        <w:rPr>
          <w:rFonts w:cs="Arial"/>
        </w:rPr>
        <w:t>a</w:t>
      </w:r>
      <w:r w:rsidR="008F55C3">
        <w:rPr>
          <w:rFonts w:cs="Arial"/>
        </w:rPr>
        <w:t>uctions</w:t>
      </w:r>
      <w:r w:rsidR="00A36E4F">
        <w:rPr>
          <w:rFonts w:cs="Arial"/>
        </w:rPr>
        <w:t>,</w:t>
      </w:r>
      <w:r w:rsidR="008F55C3">
        <w:rPr>
          <w:rFonts w:cs="Arial"/>
        </w:rPr>
        <w:t xml:space="preserve"> </w:t>
      </w:r>
      <w:r w:rsidR="00A36E4F">
        <w:rPr>
          <w:rFonts w:cs="Arial"/>
        </w:rPr>
        <w:t xml:space="preserve">which are prescribed </w:t>
      </w:r>
      <w:r w:rsidR="008F55C3">
        <w:rPr>
          <w:rFonts w:cs="Arial"/>
        </w:rPr>
        <w:t xml:space="preserve">within UNC TPD Section </w:t>
      </w:r>
      <w:r w:rsidR="005543AE" w:rsidRPr="00FC02D9">
        <w:rPr>
          <w:rFonts w:cs="Arial"/>
        </w:rPr>
        <w:t>B</w:t>
      </w:r>
      <w:r w:rsidR="008F55C3">
        <w:rPr>
          <w:rFonts w:cs="Arial"/>
        </w:rPr>
        <w:t xml:space="preserve">2 </w:t>
      </w:r>
      <w:r>
        <w:rPr>
          <w:rFonts w:cs="Arial"/>
        </w:rPr>
        <w:t>(</w:t>
      </w:r>
      <w:r w:rsidR="008F55C3">
        <w:rPr>
          <w:rFonts w:cs="Arial"/>
        </w:rPr>
        <w:t>summarised within Table 1</w:t>
      </w:r>
      <w:r>
        <w:rPr>
          <w:rFonts w:cs="Arial"/>
        </w:rPr>
        <w:t>)</w:t>
      </w:r>
      <w:r w:rsidR="008F55C3">
        <w:rPr>
          <w:rFonts w:cs="Arial"/>
        </w:rPr>
        <w:t>.</w:t>
      </w:r>
      <w:r>
        <w:rPr>
          <w:rFonts w:cs="Arial"/>
        </w:rPr>
        <w:t xml:space="preserve"> </w:t>
      </w:r>
    </w:p>
    <w:p w14:paraId="0C1927C1" w14:textId="77777777" w:rsidR="006D2870" w:rsidRDefault="009E7FAD" w:rsidP="00C83D64">
      <w:pPr>
        <w:jc w:val="both"/>
        <w:rPr>
          <w:rFonts w:cs="Arial"/>
        </w:rPr>
      </w:pPr>
      <w:r>
        <w:rPr>
          <w:rFonts w:cs="Arial"/>
        </w:rPr>
        <w:t xml:space="preserve">Following </w:t>
      </w:r>
      <w:r w:rsidR="00A36E4F">
        <w:rPr>
          <w:rFonts w:cs="Arial"/>
        </w:rPr>
        <w:t>the implementation of UNC Modification 0678A</w:t>
      </w:r>
      <w:r>
        <w:rPr>
          <w:rStyle w:val="FootnoteReference"/>
          <w:rFonts w:cs="Arial"/>
        </w:rPr>
        <w:footnoteReference w:id="3"/>
      </w:r>
      <w:r>
        <w:rPr>
          <w:rFonts w:cs="Arial"/>
        </w:rPr>
        <w:t xml:space="preserve">, which changed the charging methodology associated with NTS Capacity, it is widely acknowledged that Shippers are now incentivised to book capacity </w:t>
      </w:r>
      <w:r w:rsidR="00175EFB">
        <w:rPr>
          <w:rFonts w:cs="Arial"/>
        </w:rPr>
        <w:t xml:space="preserve">more efficiently, whereby </w:t>
      </w:r>
      <w:r w:rsidR="006D2870">
        <w:rPr>
          <w:rFonts w:cs="Arial"/>
        </w:rPr>
        <w:t>their</w:t>
      </w:r>
      <w:r w:rsidR="00175EFB">
        <w:rPr>
          <w:rFonts w:cs="Arial"/>
        </w:rPr>
        <w:t xml:space="preserve"> capacity bookings</w:t>
      </w:r>
      <w:r w:rsidR="006A624C">
        <w:rPr>
          <w:rFonts w:cs="Arial"/>
        </w:rPr>
        <w:t xml:space="preserve"> will</w:t>
      </w:r>
      <w:r w:rsidR="00175EFB">
        <w:rPr>
          <w:rFonts w:cs="Arial"/>
        </w:rPr>
        <w:t xml:space="preserve"> better reflect their anticipated gas flows. </w:t>
      </w:r>
    </w:p>
    <w:p w14:paraId="3C16CEA3" w14:textId="77777777" w:rsidR="007E61EC" w:rsidRDefault="006D2870" w:rsidP="00C83D64">
      <w:pPr>
        <w:jc w:val="both"/>
        <w:rPr>
          <w:rFonts w:cs="Arial"/>
        </w:rPr>
      </w:pPr>
      <w:r>
        <w:rPr>
          <w:rFonts w:cs="Arial"/>
        </w:rPr>
        <w:t>Currently</w:t>
      </w:r>
      <w:r w:rsidR="007E61EC">
        <w:rPr>
          <w:rFonts w:cs="Arial"/>
        </w:rPr>
        <w:t>,</w:t>
      </w:r>
      <w:r>
        <w:rPr>
          <w:rFonts w:cs="Arial"/>
        </w:rPr>
        <w:t xml:space="preserve"> only quarterly, </w:t>
      </w:r>
      <w:r w:rsidR="0008414D">
        <w:rPr>
          <w:rFonts w:cs="Arial"/>
        </w:rPr>
        <w:t>monthly,</w:t>
      </w:r>
      <w:r>
        <w:rPr>
          <w:rFonts w:cs="Arial"/>
        </w:rPr>
        <w:t xml:space="preserve"> and daily NTS Entry Capacity products are available, which is not </w:t>
      </w:r>
      <w:r w:rsidR="0008414D">
        <w:rPr>
          <w:rFonts w:cs="Arial"/>
        </w:rPr>
        <w:t>necessarily reflective of how gas is traded and</w:t>
      </w:r>
      <w:r w:rsidR="007E61EC">
        <w:rPr>
          <w:rFonts w:cs="Arial"/>
        </w:rPr>
        <w:t xml:space="preserve"> subsequently</w:t>
      </w:r>
      <w:r w:rsidR="0008414D">
        <w:rPr>
          <w:rFonts w:cs="Arial"/>
        </w:rPr>
        <w:t xml:space="preserve"> flow</w:t>
      </w:r>
      <w:r w:rsidR="005543AE">
        <w:rPr>
          <w:rFonts w:cs="Arial"/>
        </w:rPr>
        <w:t>ed</w:t>
      </w:r>
      <w:r w:rsidR="0008414D">
        <w:rPr>
          <w:rFonts w:cs="Arial"/>
        </w:rPr>
        <w:t xml:space="preserve"> onto the NTS</w:t>
      </w:r>
      <w:r w:rsidR="007E61EC">
        <w:rPr>
          <w:rFonts w:cs="Arial"/>
        </w:rPr>
        <w:t>, especially for flexible assets such as LNG Terminal</w:t>
      </w:r>
      <w:r w:rsidR="00B30626">
        <w:rPr>
          <w:rFonts w:cs="Arial"/>
        </w:rPr>
        <w:t>s</w:t>
      </w:r>
      <w:r w:rsidR="007E61EC">
        <w:rPr>
          <w:rFonts w:cs="Arial"/>
        </w:rPr>
        <w:t xml:space="preserve"> and Storage</w:t>
      </w:r>
      <w:r w:rsidR="0008414D">
        <w:rPr>
          <w:rFonts w:cs="Arial"/>
        </w:rPr>
        <w:t xml:space="preserve">. Therefore, if a Shipper has </w:t>
      </w:r>
      <w:r w:rsidR="007E61EC">
        <w:rPr>
          <w:rFonts w:cs="Arial"/>
        </w:rPr>
        <w:t>expected</w:t>
      </w:r>
      <w:r w:rsidR="0008414D">
        <w:rPr>
          <w:rFonts w:cs="Arial"/>
        </w:rPr>
        <w:t xml:space="preserve"> gas flows which are not rateable across a quarterly or monthly strip, they are required to rely on either the Daily System Capacity auction or book capacity in the Quarterly / Monthly System Capacity auctions</w:t>
      </w:r>
      <w:r w:rsidR="007E61EC">
        <w:rPr>
          <w:rFonts w:cs="Arial"/>
        </w:rPr>
        <w:t xml:space="preserve">, which leads to additional costs of acquiring NTS Entry Capacity versus that which should be required. </w:t>
      </w:r>
    </w:p>
    <w:p w14:paraId="52020D8B" w14:textId="77777777" w:rsidR="007E61EC" w:rsidRDefault="007E61EC" w:rsidP="007E61EC"/>
    <w:p w14:paraId="33CE6E88" w14:textId="1DE7231A" w:rsidR="00BC6F59" w:rsidRPr="00BC6F59" w:rsidRDefault="00BC6F59" w:rsidP="00BC6F59">
      <w:pPr>
        <w:pStyle w:val="Caption"/>
        <w:keepNext/>
        <w:rPr>
          <w:b w:val="0"/>
          <w:bCs w:val="0"/>
          <w:color w:val="auto"/>
        </w:rPr>
      </w:pPr>
      <w:r w:rsidRPr="00BC6F59">
        <w:rPr>
          <w:color w:val="auto"/>
        </w:rPr>
        <w:t xml:space="preserve">Table </w:t>
      </w:r>
      <w:r w:rsidRPr="00BC6F59">
        <w:rPr>
          <w:color w:val="auto"/>
        </w:rPr>
        <w:fldChar w:fldCharType="begin"/>
      </w:r>
      <w:r w:rsidRPr="00BC6F59">
        <w:rPr>
          <w:color w:val="auto"/>
        </w:rPr>
        <w:instrText xml:space="preserve"> SEQ Table \* ARABIC </w:instrText>
      </w:r>
      <w:r w:rsidRPr="00BC6F59">
        <w:rPr>
          <w:color w:val="auto"/>
        </w:rPr>
        <w:fldChar w:fldCharType="separate"/>
      </w:r>
      <w:r w:rsidR="00821E16">
        <w:rPr>
          <w:noProof/>
          <w:color w:val="auto"/>
        </w:rPr>
        <w:t>1</w:t>
      </w:r>
      <w:r w:rsidRPr="00BC6F59">
        <w:rPr>
          <w:color w:val="auto"/>
        </w:rPr>
        <w:fldChar w:fldCharType="end"/>
      </w:r>
      <w:r w:rsidRPr="00BC6F59">
        <w:rPr>
          <w:b w:val="0"/>
          <w:bCs w:val="0"/>
          <w:color w:val="auto"/>
        </w:rPr>
        <w:t xml:space="preserve">: Summary of NTS </w:t>
      </w:r>
      <w:r w:rsidR="005543AE">
        <w:rPr>
          <w:b w:val="0"/>
          <w:bCs w:val="0"/>
          <w:color w:val="auto"/>
        </w:rPr>
        <w:t xml:space="preserve">Entry </w:t>
      </w:r>
      <w:r w:rsidRPr="00BC6F59">
        <w:rPr>
          <w:b w:val="0"/>
          <w:bCs w:val="0"/>
          <w:color w:val="auto"/>
        </w:rPr>
        <w:t>Capacity Auctions</w:t>
      </w:r>
    </w:p>
    <w:tbl>
      <w:tblPr>
        <w:tblW w:w="9560" w:type="dxa"/>
        <w:jc w:val="center"/>
        <w:tblCellMar>
          <w:left w:w="0" w:type="dxa"/>
          <w:right w:w="0" w:type="dxa"/>
        </w:tblCellMar>
        <w:tblLook w:val="0420" w:firstRow="1" w:lastRow="0" w:firstColumn="0" w:lastColumn="0" w:noHBand="0" w:noVBand="1"/>
      </w:tblPr>
      <w:tblGrid>
        <w:gridCol w:w="1920"/>
        <w:gridCol w:w="2020"/>
        <w:gridCol w:w="2280"/>
        <w:gridCol w:w="3340"/>
      </w:tblGrid>
      <w:tr w:rsidR="00BC6F59" w:rsidRPr="00BC6F59" w14:paraId="2021DEA4" w14:textId="77777777" w:rsidTr="00BC6F59">
        <w:trPr>
          <w:trHeight w:val="584"/>
          <w:jc w:val="center"/>
        </w:trPr>
        <w:tc>
          <w:tcPr>
            <w:tcW w:w="1920" w:type="dxa"/>
            <w:tcBorders>
              <w:top w:val="single" w:sz="8" w:space="0" w:color="FFFFFF"/>
              <w:left w:val="single" w:sz="8" w:space="0" w:color="FFFFFF"/>
              <w:bottom w:val="single" w:sz="24" w:space="0" w:color="FFFFFF"/>
              <w:right w:val="single" w:sz="8" w:space="0" w:color="FFFFFF"/>
            </w:tcBorders>
            <w:shd w:val="clear" w:color="auto" w:fill="64B1BC"/>
            <w:tcMar>
              <w:top w:w="72" w:type="dxa"/>
              <w:left w:w="144" w:type="dxa"/>
              <w:bottom w:w="72" w:type="dxa"/>
              <w:right w:w="144" w:type="dxa"/>
            </w:tcMar>
            <w:vAlign w:val="center"/>
            <w:hideMark/>
          </w:tcPr>
          <w:p w14:paraId="11731380" w14:textId="77777777" w:rsidR="00BC6F59" w:rsidRPr="00BC6F59" w:rsidRDefault="00BC6F59" w:rsidP="00BC6F59">
            <w:pPr>
              <w:spacing w:before="0" w:after="0" w:line="240" w:lineRule="auto"/>
              <w:rPr>
                <w:rFonts w:cs="Arial"/>
                <w:b/>
                <w:bCs/>
                <w:sz w:val="36"/>
                <w:szCs w:val="36"/>
              </w:rPr>
            </w:pPr>
            <w:r w:rsidRPr="00BC6F59">
              <w:rPr>
                <w:rFonts w:cs="Arial"/>
                <w:b/>
                <w:bCs/>
                <w:color w:val="FFFFFF"/>
                <w:kern w:val="24"/>
                <w:szCs w:val="20"/>
                <w:lang w:val="en-US"/>
              </w:rPr>
              <w:t>Capacity Product</w:t>
            </w:r>
          </w:p>
        </w:tc>
        <w:tc>
          <w:tcPr>
            <w:tcW w:w="2020" w:type="dxa"/>
            <w:tcBorders>
              <w:top w:val="single" w:sz="8" w:space="0" w:color="FFFFFF"/>
              <w:left w:val="single" w:sz="8" w:space="0" w:color="FFFFFF"/>
              <w:bottom w:val="single" w:sz="24" w:space="0" w:color="FFFFFF"/>
              <w:right w:val="single" w:sz="8" w:space="0" w:color="FFFFFF"/>
            </w:tcBorders>
            <w:shd w:val="clear" w:color="auto" w:fill="64B1BC"/>
            <w:tcMar>
              <w:top w:w="72" w:type="dxa"/>
              <w:left w:w="144" w:type="dxa"/>
              <w:bottom w:w="72" w:type="dxa"/>
              <w:right w:w="144" w:type="dxa"/>
            </w:tcMar>
            <w:vAlign w:val="center"/>
            <w:hideMark/>
          </w:tcPr>
          <w:p w14:paraId="06BFE2E8" w14:textId="77777777" w:rsidR="00BC6F59" w:rsidRPr="00BC6F59" w:rsidRDefault="00BC6F59" w:rsidP="00BC6F59">
            <w:pPr>
              <w:spacing w:before="0" w:after="0" w:line="240" w:lineRule="auto"/>
              <w:rPr>
                <w:rFonts w:cs="Arial"/>
                <w:b/>
                <w:bCs/>
                <w:sz w:val="36"/>
                <w:szCs w:val="36"/>
              </w:rPr>
            </w:pPr>
            <w:r w:rsidRPr="00BC6F59">
              <w:rPr>
                <w:rFonts w:cs="Arial"/>
                <w:b/>
                <w:bCs/>
                <w:color w:val="FFFFFF"/>
                <w:kern w:val="24"/>
                <w:szCs w:val="20"/>
                <w:lang w:val="en-US"/>
              </w:rPr>
              <w:t>Product</w:t>
            </w:r>
          </w:p>
        </w:tc>
        <w:tc>
          <w:tcPr>
            <w:tcW w:w="2280" w:type="dxa"/>
            <w:tcBorders>
              <w:top w:val="single" w:sz="8" w:space="0" w:color="FFFFFF"/>
              <w:left w:val="single" w:sz="8" w:space="0" w:color="FFFFFF"/>
              <w:bottom w:val="single" w:sz="24" w:space="0" w:color="FFFFFF"/>
              <w:right w:val="single" w:sz="8" w:space="0" w:color="FFFFFF"/>
            </w:tcBorders>
            <w:shd w:val="clear" w:color="auto" w:fill="64B1BC"/>
            <w:tcMar>
              <w:top w:w="72" w:type="dxa"/>
              <w:left w:w="144" w:type="dxa"/>
              <w:bottom w:w="72" w:type="dxa"/>
              <w:right w:w="144" w:type="dxa"/>
            </w:tcMar>
            <w:vAlign w:val="center"/>
            <w:hideMark/>
          </w:tcPr>
          <w:p w14:paraId="0A7083C0" w14:textId="77777777" w:rsidR="00BC6F59" w:rsidRPr="00BC6F59" w:rsidRDefault="00BC6F59" w:rsidP="00BC6F59">
            <w:pPr>
              <w:spacing w:before="0" w:after="0" w:line="240" w:lineRule="auto"/>
              <w:rPr>
                <w:rFonts w:cs="Arial"/>
                <w:b/>
                <w:bCs/>
                <w:sz w:val="36"/>
                <w:szCs w:val="36"/>
              </w:rPr>
            </w:pPr>
            <w:r w:rsidRPr="00BC6F59">
              <w:rPr>
                <w:rFonts w:cs="Arial"/>
                <w:b/>
                <w:bCs/>
                <w:color w:val="FFFFFF"/>
                <w:kern w:val="24"/>
                <w:szCs w:val="20"/>
                <w:lang w:val="en-US"/>
              </w:rPr>
              <w:t>Timeline</w:t>
            </w:r>
          </w:p>
        </w:tc>
        <w:tc>
          <w:tcPr>
            <w:tcW w:w="3340" w:type="dxa"/>
            <w:tcBorders>
              <w:top w:val="single" w:sz="8" w:space="0" w:color="FFFFFF"/>
              <w:left w:val="single" w:sz="8" w:space="0" w:color="FFFFFF"/>
              <w:bottom w:val="single" w:sz="24" w:space="0" w:color="FFFFFF"/>
              <w:right w:val="single" w:sz="8" w:space="0" w:color="FFFFFF"/>
            </w:tcBorders>
            <w:shd w:val="clear" w:color="auto" w:fill="64B1BC"/>
            <w:tcMar>
              <w:top w:w="72" w:type="dxa"/>
              <w:left w:w="144" w:type="dxa"/>
              <w:bottom w:w="72" w:type="dxa"/>
              <w:right w:w="144" w:type="dxa"/>
            </w:tcMar>
            <w:vAlign w:val="center"/>
            <w:hideMark/>
          </w:tcPr>
          <w:p w14:paraId="197B0956" w14:textId="77777777" w:rsidR="00BC6F59" w:rsidRPr="00BC6F59" w:rsidRDefault="00BC6F59" w:rsidP="00BC6F59">
            <w:pPr>
              <w:spacing w:before="0" w:after="0" w:line="240" w:lineRule="auto"/>
              <w:rPr>
                <w:rFonts w:cs="Arial"/>
                <w:b/>
                <w:bCs/>
                <w:sz w:val="36"/>
                <w:szCs w:val="36"/>
              </w:rPr>
            </w:pPr>
            <w:r w:rsidRPr="00BC6F59">
              <w:rPr>
                <w:rFonts w:cs="Arial"/>
                <w:b/>
                <w:bCs/>
                <w:color w:val="FFFFFF"/>
                <w:kern w:val="24"/>
                <w:szCs w:val="20"/>
                <w:lang w:val="en-US"/>
              </w:rPr>
              <w:t>Capacity offered</w:t>
            </w:r>
          </w:p>
        </w:tc>
      </w:tr>
      <w:tr w:rsidR="00BC6F59" w:rsidRPr="00BC6F59" w14:paraId="10B3AFB4" w14:textId="77777777" w:rsidTr="00BC6F59">
        <w:trPr>
          <w:trHeight w:val="584"/>
          <w:jc w:val="center"/>
        </w:trPr>
        <w:tc>
          <w:tcPr>
            <w:tcW w:w="1920" w:type="dxa"/>
            <w:tcBorders>
              <w:top w:val="single" w:sz="24"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4E670E79" w14:textId="77777777" w:rsidR="00BC6F59" w:rsidRPr="00BC6F59" w:rsidRDefault="00BC6F59" w:rsidP="00BC6F59">
            <w:pPr>
              <w:spacing w:before="0" w:after="0" w:line="240" w:lineRule="auto"/>
              <w:rPr>
                <w:rFonts w:cs="Arial"/>
                <w:sz w:val="36"/>
                <w:szCs w:val="36"/>
              </w:rPr>
            </w:pPr>
            <w:r>
              <w:rPr>
                <w:rFonts w:cs="Arial"/>
                <w:color w:val="000000"/>
                <w:kern w:val="24"/>
                <w:szCs w:val="20"/>
                <w:lang w:val="en-US"/>
              </w:rPr>
              <w:t>Quarterly (</w:t>
            </w:r>
            <w:r w:rsidRPr="00BC6F59">
              <w:rPr>
                <w:rFonts w:cs="Arial"/>
                <w:color w:val="000000"/>
                <w:kern w:val="24"/>
                <w:szCs w:val="20"/>
                <w:lang w:val="en-US"/>
              </w:rPr>
              <w:t>QSEC</w:t>
            </w:r>
            <w:r>
              <w:rPr>
                <w:rFonts w:cs="Arial"/>
                <w:color w:val="000000"/>
                <w:kern w:val="24"/>
                <w:szCs w:val="20"/>
                <w:lang w:val="en-US"/>
              </w:rPr>
              <w:t>)</w:t>
            </w:r>
          </w:p>
        </w:tc>
        <w:tc>
          <w:tcPr>
            <w:tcW w:w="2020" w:type="dxa"/>
            <w:tcBorders>
              <w:top w:val="single" w:sz="24"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62A30A14"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Flat quarterly strips</w:t>
            </w:r>
          </w:p>
        </w:tc>
        <w:tc>
          <w:tcPr>
            <w:tcW w:w="2280" w:type="dxa"/>
            <w:tcBorders>
              <w:top w:val="single" w:sz="24"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23C67E1B"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Q+2 to Q+64</w:t>
            </w:r>
          </w:p>
        </w:tc>
        <w:tc>
          <w:tcPr>
            <w:tcW w:w="3340" w:type="dxa"/>
            <w:tcBorders>
              <w:top w:val="single" w:sz="24"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10E08750" w14:textId="77777777" w:rsidR="00BC6F59" w:rsidRPr="00BC6F59" w:rsidRDefault="00BC6F59" w:rsidP="00BC6F59">
            <w:pPr>
              <w:numPr>
                <w:ilvl w:val="0"/>
                <w:numId w:val="34"/>
              </w:numPr>
              <w:tabs>
                <w:tab w:val="clear" w:pos="720"/>
                <w:tab w:val="num" w:pos="439"/>
              </w:tabs>
              <w:spacing w:before="0" w:after="0" w:line="240" w:lineRule="auto"/>
              <w:ind w:left="439" w:hanging="284"/>
              <w:contextualSpacing/>
              <w:rPr>
                <w:rFonts w:cs="Arial"/>
                <w:szCs w:val="36"/>
              </w:rPr>
            </w:pPr>
            <w:r w:rsidRPr="00BC6F59">
              <w:rPr>
                <w:rFonts w:cs="Arial"/>
                <w:color w:val="000000"/>
                <w:kern w:val="24"/>
                <w:szCs w:val="20"/>
                <w:lang w:val="en-US"/>
              </w:rPr>
              <w:t>90% of Obligated Baseline minus sold Firm NTS Entry Capacity</w:t>
            </w:r>
          </w:p>
        </w:tc>
      </w:tr>
      <w:tr w:rsidR="00BC6F59" w:rsidRPr="00BC6F59" w14:paraId="2428A08C" w14:textId="77777777" w:rsidTr="00BC6F5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5868433D" w14:textId="77777777" w:rsidR="00BC6F59" w:rsidRPr="00BC6F59" w:rsidRDefault="00BC6F59" w:rsidP="00BC6F59">
            <w:pPr>
              <w:spacing w:before="0" w:after="0" w:line="240" w:lineRule="auto"/>
              <w:rPr>
                <w:rFonts w:cs="Arial"/>
                <w:sz w:val="36"/>
                <w:szCs w:val="36"/>
              </w:rPr>
            </w:pPr>
            <w:r>
              <w:rPr>
                <w:rFonts w:cs="Arial"/>
                <w:color w:val="000000"/>
                <w:kern w:val="24"/>
                <w:szCs w:val="20"/>
                <w:lang w:val="en-US"/>
              </w:rPr>
              <w:t>Annual Monthly (</w:t>
            </w:r>
            <w:r w:rsidRPr="00BC6F59">
              <w:rPr>
                <w:rFonts w:cs="Arial"/>
                <w:color w:val="000000"/>
                <w:kern w:val="24"/>
                <w:szCs w:val="20"/>
                <w:lang w:val="en-US"/>
              </w:rPr>
              <w:t>AMSEC</w:t>
            </w:r>
            <w:r>
              <w:rPr>
                <w:rFonts w:cs="Arial"/>
                <w:color w:val="000000"/>
                <w:kern w:val="24"/>
                <w:szCs w:val="20"/>
                <w:lang w:val="en-US"/>
              </w:rPr>
              <w:t>)</w:t>
            </w:r>
          </w:p>
        </w:tc>
        <w:tc>
          <w:tcPr>
            <w:tcW w:w="20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32E85380"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Flat monthly strips</w:t>
            </w:r>
          </w:p>
        </w:tc>
        <w:tc>
          <w:tcPr>
            <w:tcW w:w="228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15D83543"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M+2 to M+20</w:t>
            </w:r>
          </w:p>
        </w:tc>
        <w:tc>
          <w:tcPr>
            <w:tcW w:w="334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22800410" w14:textId="77777777" w:rsidR="00BC6F59" w:rsidRPr="00BC6F59" w:rsidRDefault="00BC6F59" w:rsidP="00BC6F59">
            <w:pPr>
              <w:numPr>
                <w:ilvl w:val="0"/>
                <w:numId w:val="35"/>
              </w:numPr>
              <w:tabs>
                <w:tab w:val="clear" w:pos="720"/>
                <w:tab w:val="num" w:pos="439"/>
              </w:tabs>
              <w:spacing w:before="0" w:after="0" w:line="240" w:lineRule="auto"/>
              <w:ind w:left="439" w:hanging="284"/>
              <w:contextualSpacing/>
              <w:rPr>
                <w:rFonts w:cs="Arial"/>
                <w:szCs w:val="36"/>
              </w:rPr>
            </w:pPr>
            <w:r w:rsidRPr="00BC6F59">
              <w:rPr>
                <w:rFonts w:cs="Arial"/>
                <w:color w:val="000000"/>
                <w:kern w:val="24"/>
                <w:szCs w:val="20"/>
                <w:lang w:val="en-US"/>
              </w:rPr>
              <w:t>Obligated baseline minus solid Firm NTS Entry Capacity</w:t>
            </w:r>
          </w:p>
        </w:tc>
      </w:tr>
      <w:tr w:rsidR="00BC6F59" w:rsidRPr="00BC6F59" w14:paraId="1F9E4578" w14:textId="77777777" w:rsidTr="00BC6F5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45A3E051" w14:textId="77777777" w:rsidR="00BC6F59" w:rsidRPr="00BC6F59" w:rsidRDefault="00BC6F59" w:rsidP="00BC6F59">
            <w:pPr>
              <w:spacing w:before="0" w:after="0" w:line="240" w:lineRule="auto"/>
              <w:rPr>
                <w:rFonts w:cs="Arial"/>
                <w:sz w:val="36"/>
                <w:szCs w:val="36"/>
              </w:rPr>
            </w:pPr>
            <w:r>
              <w:rPr>
                <w:rFonts w:cs="Arial"/>
                <w:color w:val="000000"/>
                <w:kern w:val="24"/>
                <w:szCs w:val="20"/>
                <w:lang w:val="en-US"/>
              </w:rPr>
              <w:t>Monthly (</w:t>
            </w:r>
            <w:r w:rsidRPr="00BC6F59">
              <w:rPr>
                <w:rFonts w:cs="Arial"/>
                <w:color w:val="000000"/>
                <w:kern w:val="24"/>
                <w:szCs w:val="20"/>
                <w:lang w:val="en-US"/>
              </w:rPr>
              <w:t>RMTNTSEC</w:t>
            </w:r>
            <w:r>
              <w:rPr>
                <w:rFonts w:cs="Arial"/>
                <w:color w:val="000000"/>
                <w:kern w:val="24"/>
                <w:szCs w:val="20"/>
                <w:lang w:val="en-US"/>
              </w:rPr>
              <w:t>)</w:t>
            </w:r>
          </w:p>
        </w:tc>
        <w:tc>
          <w:tcPr>
            <w:tcW w:w="20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3AE16BE0"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Flat monthly strips</w:t>
            </w:r>
          </w:p>
        </w:tc>
        <w:tc>
          <w:tcPr>
            <w:tcW w:w="228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74F45227"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M+1</w:t>
            </w:r>
          </w:p>
        </w:tc>
        <w:tc>
          <w:tcPr>
            <w:tcW w:w="334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5C00A3F1" w14:textId="77777777" w:rsidR="00BC6F59" w:rsidRPr="00BC6F59" w:rsidRDefault="00BC6F59" w:rsidP="00BC6F59">
            <w:pPr>
              <w:numPr>
                <w:ilvl w:val="0"/>
                <w:numId w:val="36"/>
              </w:numPr>
              <w:tabs>
                <w:tab w:val="clear" w:pos="720"/>
                <w:tab w:val="num" w:pos="439"/>
              </w:tabs>
              <w:spacing w:before="0" w:after="0" w:line="240" w:lineRule="auto"/>
              <w:ind w:left="439" w:hanging="284"/>
              <w:contextualSpacing/>
              <w:rPr>
                <w:rFonts w:cs="Arial"/>
                <w:szCs w:val="36"/>
              </w:rPr>
            </w:pPr>
            <w:r w:rsidRPr="00BC6F59">
              <w:rPr>
                <w:rFonts w:cs="Arial"/>
                <w:color w:val="000000"/>
                <w:kern w:val="24"/>
                <w:szCs w:val="20"/>
                <w:lang w:val="en-US"/>
              </w:rPr>
              <w:t>Obligated baseline minus sold Firm NTS Entry Capacity</w:t>
            </w:r>
          </w:p>
        </w:tc>
      </w:tr>
      <w:tr w:rsidR="00BC6F59" w:rsidRPr="00BC6F59" w14:paraId="26E4DF88" w14:textId="77777777" w:rsidTr="00BC6F5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15DBDC2C" w14:textId="77777777" w:rsidR="00BC6F59" w:rsidRPr="00BC6F59" w:rsidRDefault="00BC6F59" w:rsidP="00BC6F59">
            <w:pPr>
              <w:spacing w:before="0" w:after="0" w:line="240" w:lineRule="auto"/>
              <w:rPr>
                <w:rFonts w:cs="Arial"/>
                <w:sz w:val="36"/>
                <w:szCs w:val="36"/>
              </w:rPr>
            </w:pPr>
            <w:r>
              <w:rPr>
                <w:rFonts w:cs="Arial"/>
                <w:color w:val="000000"/>
                <w:kern w:val="24"/>
                <w:szCs w:val="20"/>
                <w:lang w:val="en-US"/>
              </w:rPr>
              <w:t>Daily (</w:t>
            </w:r>
            <w:r w:rsidRPr="00BC6F59">
              <w:rPr>
                <w:rFonts w:cs="Arial"/>
                <w:color w:val="000000"/>
                <w:kern w:val="24"/>
                <w:szCs w:val="20"/>
                <w:lang w:val="en-US"/>
              </w:rPr>
              <w:t>DSEC</w:t>
            </w:r>
            <w:r>
              <w:rPr>
                <w:rFonts w:cs="Arial"/>
                <w:color w:val="000000"/>
                <w:kern w:val="24"/>
                <w:szCs w:val="20"/>
                <w:lang w:val="en-US"/>
              </w:rPr>
              <w:t>)</w:t>
            </w:r>
          </w:p>
        </w:tc>
        <w:tc>
          <w:tcPr>
            <w:tcW w:w="20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2E9A33B7"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Daily</w:t>
            </w:r>
          </w:p>
        </w:tc>
        <w:tc>
          <w:tcPr>
            <w:tcW w:w="228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6CBEC201"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D+1 / D</w:t>
            </w:r>
          </w:p>
        </w:tc>
        <w:tc>
          <w:tcPr>
            <w:tcW w:w="334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6D2587FD" w14:textId="77777777" w:rsidR="00BC6F59" w:rsidRPr="00BC6F59" w:rsidRDefault="00BC6F59" w:rsidP="00BC6F59">
            <w:pPr>
              <w:numPr>
                <w:ilvl w:val="0"/>
                <w:numId w:val="37"/>
              </w:numPr>
              <w:tabs>
                <w:tab w:val="clear" w:pos="720"/>
                <w:tab w:val="num" w:pos="439"/>
              </w:tabs>
              <w:spacing w:before="0" w:after="0" w:line="240" w:lineRule="auto"/>
              <w:ind w:left="439" w:hanging="284"/>
              <w:contextualSpacing/>
              <w:rPr>
                <w:rFonts w:cs="Arial"/>
                <w:szCs w:val="36"/>
              </w:rPr>
            </w:pPr>
            <w:r w:rsidRPr="00BC6F59">
              <w:rPr>
                <w:rFonts w:cs="Arial"/>
                <w:color w:val="000000"/>
                <w:kern w:val="24"/>
                <w:szCs w:val="20"/>
                <w:lang w:val="en-US"/>
              </w:rPr>
              <w:t>Obligated baseline minus sold Firm NTS Entry Capacity</w:t>
            </w:r>
          </w:p>
          <w:p w14:paraId="53DED6D7" w14:textId="77777777" w:rsidR="00BC6F59" w:rsidRPr="00BC6F59" w:rsidRDefault="00BC6F59" w:rsidP="00BC6F59">
            <w:pPr>
              <w:numPr>
                <w:ilvl w:val="0"/>
                <w:numId w:val="37"/>
              </w:numPr>
              <w:tabs>
                <w:tab w:val="clear" w:pos="720"/>
                <w:tab w:val="num" w:pos="439"/>
              </w:tabs>
              <w:spacing w:before="0" w:after="0" w:line="240" w:lineRule="auto"/>
              <w:ind w:left="439" w:hanging="284"/>
              <w:contextualSpacing/>
              <w:rPr>
                <w:rFonts w:cs="Arial"/>
                <w:szCs w:val="36"/>
              </w:rPr>
            </w:pPr>
            <w:r w:rsidRPr="00BC6F59">
              <w:rPr>
                <w:rFonts w:cs="Arial"/>
                <w:color w:val="000000"/>
                <w:kern w:val="24"/>
                <w:szCs w:val="20"/>
                <w:lang w:val="en-US"/>
              </w:rPr>
              <w:t>Quantity may be withheld should NGG foresee a capacity constraint</w:t>
            </w:r>
          </w:p>
        </w:tc>
      </w:tr>
      <w:tr w:rsidR="00BC6F59" w:rsidRPr="00BC6F59" w14:paraId="03788C96" w14:textId="77777777" w:rsidTr="00BC6F59">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35602DB0" w14:textId="77777777" w:rsidR="00BC6F59" w:rsidRPr="00BC6F59" w:rsidRDefault="00BC6F59" w:rsidP="00BC6F59">
            <w:pPr>
              <w:spacing w:before="0" w:after="0" w:line="240" w:lineRule="auto"/>
              <w:rPr>
                <w:rFonts w:cs="Arial"/>
                <w:sz w:val="36"/>
                <w:szCs w:val="36"/>
              </w:rPr>
            </w:pPr>
            <w:r>
              <w:rPr>
                <w:rFonts w:cs="Arial"/>
                <w:color w:val="000000"/>
                <w:kern w:val="24"/>
                <w:szCs w:val="20"/>
                <w:lang w:val="en-US"/>
              </w:rPr>
              <w:t>Daily Interruptible (</w:t>
            </w:r>
            <w:r w:rsidRPr="00BC6F59">
              <w:rPr>
                <w:rFonts w:cs="Arial"/>
                <w:color w:val="000000"/>
                <w:kern w:val="24"/>
                <w:szCs w:val="20"/>
                <w:lang w:val="en-US"/>
              </w:rPr>
              <w:t>DISE</w:t>
            </w:r>
            <w:r>
              <w:rPr>
                <w:rFonts w:cs="Arial"/>
                <w:color w:val="000000"/>
                <w:kern w:val="24"/>
                <w:szCs w:val="20"/>
                <w:lang w:val="en-US"/>
              </w:rPr>
              <w:t>)</w:t>
            </w:r>
          </w:p>
        </w:tc>
        <w:tc>
          <w:tcPr>
            <w:tcW w:w="20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45C58524"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Daily</w:t>
            </w:r>
          </w:p>
        </w:tc>
        <w:tc>
          <w:tcPr>
            <w:tcW w:w="228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45918581" w14:textId="77777777" w:rsidR="00BC6F59" w:rsidRPr="00BC6F59" w:rsidRDefault="00BC6F59" w:rsidP="00BC6F59">
            <w:pPr>
              <w:spacing w:before="0" w:after="0" w:line="240" w:lineRule="auto"/>
              <w:rPr>
                <w:rFonts w:cs="Arial"/>
                <w:sz w:val="36"/>
                <w:szCs w:val="36"/>
              </w:rPr>
            </w:pPr>
            <w:r w:rsidRPr="00BC6F59">
              <w:rPr>
                <w:rFonts w:cs="Arial"/>
                <w:color w:val="000000"/>
                <w:kern w:val="24"/>
                <w:szCs w:val="20"/>
                <w:lang w:val="en-US"/>
              </w:rPr>
              <w:t>D+1 / D</w:t>
            </w:r>
          </w:p>
        </w:tc>
        <w:tc>
          <w:tcPr>
            <w:tcW w:w="334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7ABB6E04" w14:textId="77777777" w:rsidR="00BC6F59" w:rsidRPr="00BC6F59" w:rsidRDefault="00BC6F59" w:rsidP="00BC6F59">
            <w:pPr>
              <w:numPr>
                <w:ilvl w:val="0"/>
                <w:numId w:val="38"/>
              </w:numPr>
              <w:tabs>
                <w:tab w:val="clear" w:pos="720"/>
                <w:tab w:val="num" w:pos="439"/>
              </w:tabs>
              <w:spacing w:before="0" w:after="0" w:line="240" w:lineRule="auto"/>
              <w:ind w:left="439" w:hanging="284"/>
              <w:contextualSpacing/>
              <w:rPr>
                <w:rFonts w:cs="Arial"/>
                <w:szCs w:val="36"/>
              </w:rPr>
            </w:pPr>
            <w:r w:rsidRPr="00BC6F59">
              <w:rPr>
                <w:rFonts w:cs="Arial"/>
                <w:color w:val="000000"/>
                <w:kern w:val="24"/>
                <w:szCs w:val="20"/>
                <w:lang w:val="en-US"/>
              </w:rPr>
              <w:t>Use It or Lose It quantity</w:t>
            </w:r>
          </w:p>
        </w:tc>
      </w:tr>
    </w:tbl>
    <w:p w14:paraId="42B61728" w14:textId="77777777" w:rsidR="007E61EC" w:rsidRDefault="007E61EC" w:rsidP="007E61EC">
      <w:pPr>
        <w:pStyle w:val="Heading4"/>
        <w:keepLines w:val="0"/>
        <w:numPr>
          <w:ilvl w:val="0"/>
          <w:numId w:val="0"/>
        </w:numPr>
        <w:spacing w:before="120"/>
        <w:rPr>
          <w:rFonts w:ascii="Arial" w:eastAsia="Times New Roman" w:hAnsi="Arial" w:cs="Arial"/>
          <w:i w:val="0"/>
          <w:iCs w:val="0"/>
          <w:color w:val="008576"/>
          <w:sz w:val="24"/>
          <w:szCs w:val="28"/>
        </w:rPr>
      </w:pPr>
    </w:p>
    <w:p w14:paraId="5EA32A01" w14:textId="77777777" w:rsidR="007E61EC" w:rsidRPr="00CA74C4" w:rsidRDefault="007E61EC" w:rsidP="007E61EC">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Daily (DSEC) and Monthly (MSEC) System Entry Capacity Auctions</w:t>
      </w:r>
    </w:p>
    <w:p w14:paraId="348F455A" w14:textId="77777777" w:rsidR="00BC6F59" w:rsidRDefault="007E61EC" w:rsidP="00C83D64">
      <w:pPr>
        <w:jc w:val="both"/>
        <w:rPr>
          <w:rFonts w:cs="Arial"/>
        </w:rPr>
      </w:pPr>
      <w:r>
        <w:rPr>
          <w:rFonts w:cs="Arial"/>
        </w:rPr>
        <w:t>Whilst the DSEC Auction allows for capacity to be booked at the day ahead or within-day stage, thus</w:t>
      </w:r>
      <w:r w:rsidR="00B30626">
        <w:rPr>
          <w:rFonts w:cs="Arial"/>
        </w:rPr>
        <w:t xml:space="preserve"> allowing</w:t>
      </w:r>
      <w:r>
        <w:rPr>
          <w:rFonts w:cs="Arial"/>
        </w:rPr>
        <w:t xml:space="preserve"> capacity </w:t>
      </w:r>
      <w:r w:rsidR="00B30626">
        <w:rPr>
          <w:rFonts w:cs="Arial"/>
        </w:rPr>
        <w:t xml:space="preserve">to be </w:t>
      </w:r>
      <w:r w:rsidR="00200427">
        <w:rPr>
          <w:rFonts w:cs="Arial"/>
        </w:rPr>
        <w:t>booked efficiently</w:t>
      </w:r>
      <w:r w:rsidR="00B30626">
        <w:rPr>
          <w:rFonts w:cs="Arial"/>
        </w:rPr>
        <w:t xml:space="preserve"> to reflect flows</w:t>
      </w:r>
      <w:r>
        <w:rPr>
          <w:rFonts w:cs="Arial"/>
        </w:rPr>
        <w:t xml:space="preserve">, National Grid may withhold capacity from sale at the relevant </w:t>
      </w:r>
      <w:r w:rsidR="003048A5">
        <w:rPr>
          <w:rFonts w:cs="Arial"/>
        </w:rPr>
        <w:t>Aggregated System Entry Point (</w:t>
      </w:r>
      <w:r>
        <w:rPr>
          <w:rFonts w:cs="Arial"/>
        </w:rPr>
        <w:t>ASEP</w:t>
      </w:r>
      <w:r w:rsidR="003048A5">
        <w:rPr>
          <w:rFonts w:cs="Arial"/>
        </w:rPr>
        <w:t>)</w:t>
      </w:r>
      <w:r>
        <w:rPr>
          <w:rFonts w:cs="Arial"/>
        </w:rPr>
        <w:t xml:space="preserve"> should it foresee a capacity constraint occurring</w:t>
      </w:r>
      <w:r>
        <w:rPr>
          <w:rStyle w:val="FootnoteReference"/>
          <w:rFonts w:cs="Arial"/>
        </w:rPr>
        <w:footnoteReference w:id="4"/>
      </w:r>
      <w:r>
        <w:rPr>
          <w:rFonts w:cs="Arial"/>
        </w:rPr>
        <w:t xml:space="preserve">. </w:t>
      </w:r>
      <w:r w:rsidR="003F7111">
        <w:rPr>
          <w:rFonts w:cs="Arial"/>
        </w:rPr>
        <w:t xml:space="preserve">We understand that </w:t>
      </w:r>
      <w:r>
        <w:rPr>
          <w:rFonts w:cs="Arial"/>
        </w:rPr>
        <w:t xml:space="preserve">National Grid </w:t>
      </w:r>
      <w:r w:rsidR="003F7111">
        <w:rPr>
          <w:rFonts w:cs="Arial"/>
        </w:rPr>
        <w:t>does not</w:t>
      </w:r>
      <w:r>
        <w:rPr>
          <w:rFonts w:cs="Arial"/>
        </w:rPr>
        <w:t xml:space="preserve"> </w:t>
      </w:r>
      <w:r w:rsidR="003F7111">
        <w:rPr>
          <w:rFonts w:cs="Arial"/>
        </w:rPr>
        <w:t xml:space="preserve">in the ordinary course </w:t>
      </w:r>
      <w:r>
        <w:rPr>
          <w:rFonts w:cs="Arial"/>
        </w:rPr>
        <w:t xml:space="preserve">notify the market of any potential scale backs ahead of time. </w:t>
      </w:r>
    </w:p>
    <w:p w14:paraId="77645121" w14:textId="77777777" w:rsidR="007E61EC" w:rsidRDefault="007E61EC" w:rsidP="00C83D64">
      <w:pPr>
        <w:jc w:val="both"/>
        <w:rPr>
          <w:rFonts w:cs="Arial"/>
        </w:rPr>
      </w:pPr>
      <w:r>
        <w:rPr>
          <w:rFonts w:cs="Arial"/>
        </w:rPr>
        <w:t xml:space="preserve">Whilst withholding NTS capacity for unplanned maintenance and outages is naturally unpredictable, constraints can occur because of planned maintenance on the NTS. National Grid publishes the indicative flow capabilities for all NTS Entry Points within their Maintenance </w:t>
      </w:r>
      <w:r w:rsidR="00200427">
        <w:rPr>
          <w:rFonts w:cs="Arial"/>
        </w:rPr>
        <w:t>Plans;</w:t>
      </w:r>
      <w:r>
        <w:rPr>
          <w:rFonts w:cs="Arial"/>
        </w:rPr>
        <w:t xml:space="preserve"> however, these are aggregated to a monthly figure, despite the reductions potentially only being for a single day. This low level of granularity makes it very difficult to rely on the DSEC auctions for certain Entry Points </w:t>
      </w:r>
      <w:r w:rsidR="00D050B8">
        <w:rPr>
          <w:rFonts w:cs="Arial"/>
        </w:rPr>
        <w:t xml:space="preserve">that </w:t>
      </w:r>
      <w:r>
        <w:rPr>
          <w:rFonts w:cs="Arial"/>
        </w:rPr>
        <w:t xml:space="preserve">have significant amounts of </w:t>
      </w:r>
      <w:r w:rsidR="00D050B8">
        <w:rPr>
          <w:rFonts w:cs="Arial"/>
        </w:rPr>
        <w:t xml:space="preserve">planned </w:t>
      </w:r>
      <w:r>
        <w:rPr>
          <w:rFonts w:cs="Arial"/>
        </w:rPr>
        <w:t xml:space="preserve">maintenance. It is worth noting that there are no commercial remedies available </w:t>
      </w:r>
      <w:r w:rsidR="00614A23">
        <w:rPr>
          <w:rFonts w:cs="Arial"/>
        </w:rPr>
        <w:t xml:space="preserve">from </w:t>
      </w:r>
      <w:r w:rsidR="003048A5">
        <w:rPr>
          <w:rFonts w:cs="Arial"/>
        </w:rPr>
        <w:t xml:space="preserve">National Grid </w:t>
      </w:r>
      <w:r w:rsidR="00614A23">
        <w:rPr>
          <w:rFonts w:cs="Arial"/>
        </w:rPr>
        <w:t>for a constraint where</w:t>
      </w:r>
      <w:r>
        <w:rPr>
          <w:rFonts w:cs="Arial"/>
        </w:rPr>
        <w:t xml:space="preserve"> capacity </w:t>
      </w:r>
      <w:r w:rsidR="00614A23">
        <w:rPr>
          <w:rFonts w:cs="Arial"/>
        </w:rPr>
        <w:t xml:space="preserve">has </w:t>
      </w:r>
      <w:r>
        <w:rPr>
          <w:rFonts w:cs="Arial"/>
        </w:rPr>
        <w:t xml:space="preserve">not </w:t>
      </w:r>
      <w:r w:rsidR="00614A23">
        <w:rPr>
          <w:rFonts w:cs="Arial"/>
        </w:rPr>
        <w:t xml:space="preserve">been </w:t>
      </w:r>
      <w:r>
        <w:rPr>
          <w:rFonts w:cs="Arial"/>
        </w:rPr>
        <w:t>purchased.</w:t>
      </w:r>
    </w:p>
    <w:p w14:paraId="5E894B1C" w14:textId="77777777" w:rsidR="007E61EC" w:rsidRDefault="007E61EC" w:rsidP="00C83D64">
      <w:pPr>
        <w:jc w:val="both"/>
        <w:rPr>
          <w:rFonts w:cs="Arial"/>
        </w:rPr>
      </w:pPr>
      <w:r>
        <w:rPr>
          <w:rFonts w:cs="Arial"/>
        </w:rPr>
        <w:t xml:space="preserve">Figure 1 shows the indicative summer </w:t>
      </w:r>
      <w:r w:rsidR="00D050B8">
        <w:rPr>
          <w:rFonts w:cs="Arial"/>
        </w:rPr>
        <w:t xml:space="preserve">flow </w:t>
      </w:r>
      <w:r>
        <w:rPr>
          <w:rFonts w:cs="Arial"/>
        </w:rPr>
        <w:t>capability levels at Milford Haven ASEP</w:t>
      </w:r>
      <w:r w:rsidR="00FC02D9">
        <w:rPr>
          <w:rFonts w:cs="Arial"/>
        </w:rPr>
        <w:t xml:space="preserve"> because of planned maintenance</w:t>
      </w:r>
      <w:r>
        <w:rPr>
          <w:rFonts w:cs="Arial"/>
        </w:rPr>
        <w:t xml:space="preserve"> contained with the Summer Maintenance plans between 2015 and 2020 (inclusive). The maintenance plan shows significant levels of capability reductions at Milford Haven ASEP versus the baseline in numerous months over multiple years, therefore highlighting the </w:t>
      </w:r>
      <w:r w:rsidR="00D050B8">
        <w:rPr>
          <w:rFonts w:cs="Arial"/>
        </w:rPr>
        <w:t xml:space="preserve">uncertainties </w:t>
      </w:r>
      <w:r>
        <w:rPr>
          <w:rFonts w:cs="Arial"/>
        </w:rPr>
        <w:t xml:space="preserve">of relying on DSEC Auctions and the potential risk of capacity being withheld as a result. </w:t>
      </w:r>
    </w:p>
    <w:p w14:paraId="54134F35" w14:textId="265BF1B8" w:rsidR="007E61EC" w:rsidRPr="007E61EC" w:rsidRDefault="007E61EC" w:rsidP="007E61EC">
      <w:pPr>
        <w:pStyle w:val="Caption"/>
        <w:keepNext/>
        <w:jc w:val="center"/>
        <w:rPr>
          <w:color w:val="auto"/>
        </w:rPr>
      </w:pPr>
      <w:r w:rsidRPr="007E61EC">
        <w:rPr>
          <w:color w:val="auto"/>
        </w:rPr>
        <w:t xml:space="preserve">Figure </w:t>
      </w:r>
      <w:r w:rsidRPr="007E61EC">
        <w:rPr>
          <w:color w:val="auto"/>
        </w:rPr>
        <w:fldChar w:fldCharType="begin"/>
      </w:r>
      <w:r w:rsidRPr="007E61EC">
        <w:rPr>
          <w:color w:val="auto"/>
        </w:rPr>
        <w:instrText xml:space="preserve"> SEQ Figure \* ARABIC </w:instrText>
      </w:r>
      <w:r w:rsidRPr="007E61EC">
        <w:rPr>
          <w:color w:val="auto"/>
        </w:rPr>
        <w:fldChar w:fldCharType="separate"/>
      </w:r>
      <w:r w:rsidR="00821E16">
        <w:rPr>
          <w:noProof/>
          <w:color w:val="auto"/>
        </w:rPr>
        <w:t>1</w:t>
      </w:r>
      <w:r w:rsidRPr="007E61EC">
        <w:rPr>
          <w:color w:val="auto"/>
        </w:rPr>
        <w:fldChar w:fldCharType="end"/>
      </w:r>
    </w:p>
    <w:p w14:paraId="03D27C86" w14:textId="2882892C" w:rsidR="007E61EC" w:rsidRDefault="00916138" w:rsidP="007E61EC">
      <w:pPr>
        <w:keepNext/>
        <w:jc w:val="center"/>
        <w:rPr>
          <w:rFonts w:cs="Arial"/>
        </w:rPr>
      </w:pPr>
      <w:r w:rsidRPr="007E61EC">
        <w:rPr>
          <w:rFonts w:cs="Arial"/>
          <w:noProof/>
        </w:rPr>
        <w:drawing>
          <wp:inline distT="0" distB="0" distL="0" distR="0" wp14:anchorId="07AC2609" wp14:editId="7D184E58">
            <wp:extent cx="3996055" cy="2404745"/>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FFD31B" w14:textId="77777777" w:rsidR="007E61EC" w:rsidRDefault="007E61EC" w:rsidP="007E61EC">
      <w:pPr>
        <w:pStyle w:val="Caption"/>
        <w:jc w:val="center"/>
        <w:rPr>
          <w:b w:val="0"/>
          <w:bCs w:val="0"/>
          <w:color w:val="auto"/>
          <w:sz w:val="16"/>
          <w:szCs w:val="16"/>
        </w:rPr>
      </w:pPr>
      <w:r w:rsidRPr="007E61EC">
        <w:rPr>
          <w:color w:val="auto"/>
          <w:sz w:val="16"/>
          <w:szCs w:val="16"/>
        </w:rPr>
        <w:t>Source:</w:t>
      </w:r>
      <w:r w:rsidRPr="007E61EC">
        <w:rPr>
          <w:b w:val="0"/>
          <w:bCs w:val="0"/>
          <w:color w:val="auto"/>
          <w:sz w:val="16"/>
          <w:szCs w:val="16"/>
        </w:rPr>
        <w:t xml:space="preserve"> National Grid Summer Maintenance Plans</w:t>
      </w:r>
      <w:r w:rsidR="00FC02D9">
        <w:rPr>
          <w:b w:val="0"/>
          <w:bCs w:val="0"/>
          <w:color w:val="auto"/>
          <w:sz w:val="16"/>
          <w:szCs w:val="16"/>
        </w:rPr>
        <w:t>; 2015 to 2020</w:t>
      </w:r>
    </w:p>
    <w:p w14:paraId="3D529604" w14:textId="77777777" w:rsidR="007E61EC" w:rsidRDefault="007E61EC" w:rsidP="00C83D64">
      <w:pPr>
        <w:jc w:val="both"/>
      </w:pPr>
      <w:r>
        <w:t>As a result,</w:t>
      </w:r>
      <w:r w:rsidR="00B30626">
        <w:t xml:space="preserve"> </w:t>
      </w:r>
      <w:r w:rsidR="00D050B8">
        <w:t>S</w:t>
      </w:r>
      <w:r w:rsidR="00B30626">
        <w:t>hippers at those</w:t>
      </w:r>
      <w:r>
        <w:t xml:space="preserve"> NTS Entry Po</w:t>
      </w:r>
      <w:r w:rsidR="00B30626">
        <w:t xml:space="preserve">ints </w:t>
      </w:r>
      <w:r w:rsidR="00D050B8">
        <w:t xml:space="preserve">which </w:t>
      </w:r>
      <w:r>
        <w:t xml:space="preserve">are at risk of having DSEC withheld are likely to be pushed to rely on the MSEC auctions to ensure the capacity is acquired. Whilst this may be acceptable for a Shipper which has a monthly rateable send out, it is not attractive for Shippers at flexible assets, such as LNG Terminals, where gas can be traded outside of monthly strips and may result in inefficient and excessive capacity bookings which reduce both the competitiveness and attractiveness of the relevant Entry </w:t>
      </w:r>
      <w:r w:rsidR="00FC02D9">
        <w:t>Points</w:t>
      </w:r>
      <w:r>
        <w:t xml:space="preserve">. In addition, there is a risk that having a reliance on MSEC </w:t>
      </w:r>
      <w:r w:rsidR="008B267B">
        <w:t xml:space="preserve">auctions </w:t>
      </w:r>
      <w:r>
        <w:t>will lead to a reduction in flexibility at these Entry Points</w:t>
      </w:r>
      <w:r w:rsidR="008B267B">
        <w:t>,</w:t>
      </w:r>
      <w:r>
        <w:t xml:space="preserve"> due to the high cost of buying additional Entry Capacity to accommodate any flexibility</w:t>
      </w:r>
      <w:r w:rsidR="008B267B">
        <w:t xml:space="preserve"> which would increase the unit cost of delivering a therm of gas at those Entry Points</w:t>
      </w:r>
      <w:r>
        <w:t xml:space="preserve">. </w:t>
      </w:r>
    </w:p>
    <w:p w14:paraId="2451DDD0" w14:textId="77777777" w:rsidR="007E61EC" w:rsidRDefault="007E61EC" w:rsidP="007E61EC"/>
    <w:p w14:paraId="73B73D8A" w14:textId="77777777" w:rsidR="007E61EC" w:rsidRPr="00CA74C4" w:rsidRDefault="007E61EC" w:rsidP="007E61EC">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Implications</w:t>
      </w:r>
    </w:p>
    <w:p w14:paraId="57C0D430" w14:textId="77777777" w:rsidR="007E61EC" w:rsidRDefault="007E61EC" w:rsidP="00C83D64">
      <w:pPr>
        <w:jc w:val="both"/>
      </w:pPr>
      <w:r>
        <w:t xml:space="preserve">To mitigate against the inefficient booking and increased costs of acquiring NTS Entry Capacity at the MSEC auction, this Modification seeks to </w:t>
      </w:r>
      <w:r w:rsidR="00D41235">
        <w:t xml:space="preserve">supplement UNC TPD Section B2 by </w:t>
      </w:r>
      <w:r>
        <w:t>introduc</w:t>
      </w:r>
      <w:r w:rsidR="00D41235">
        <w:t>ing</w:t>
      </w:r>
      <w:r>
        <w:t xml:space="preserve"> a new Weekly NTS Entry Capacity auction. This would:</w:t>
      </w:r>
    </w:p>
    <w:p w14:paraId="1B99156C" w14:textId="77777777" w:rsidR="007E61EC" w:rsidRDefault="00614A23" w:rsidP="007E61EC">
      <w:pPr>
        <w:numPr>
          <w:ilvl w:val="0"/>
          <w:numId w:val="39"/>
        </w:numPr>
      </w:pPr>
      <w:r>
        <w:t xml:space="preserve">Allow </w:t>
      </w:r>
      <w:r w:rsidR="007E61EC">
        <w:t>Shippers to book capacity more accurately to reflect their flows onto the NTS</w:t>
      </w:r>
      <w:r w:rsidR="00F50A5A">
        <w:t>;</w:t>
      </w:r>
      <w:r w:rsidR="007E61EC">
        <w:t xml:space="preserve"> and</w:t>
      </w:r>
    </w:p>
    <w:p w14:paraId="5AD79DDC" w14:textId="77777777" w:rsidR="003F7111" w:rsidRDefault="00B30626" w:rsidP="003F7111">
      <w:pPr>
        <w:numPr>
          <w:ilvl w:val="0"/>
          <w:numId w:val="39"/>
        </w:numPr>
      </w:pPr>
      <w:r>
        <w:t>Increase the amount of</w:t>
      </w:r>
      <w:r w:rsidR="007E61EC">
        <w:t xml:space="preserve"> DSEC capacity </w:t>
      </w:r>
      <w:r>
        <w:t>made</w:t>
      </w:r>
      <w:r w:rsidR="007E61EC">
        <w:t xml:space="preserve"> available</w:t>
      </w:r>
      <w:r w:rsidR="003F7111">
        <w:t>.</w:t>
      </w:r>
    </w:p>
    <w:p w14:paraId="1CCFE1A8" w14:textId="77777777" w:rsidR="007E61EC" w:rsidRDefault="007E61EC" w:rsidP="00C83D64">
      <w:pPr>
        <w:jc w:val="both"/>
      </w:pPr>
      <w:r>
        <w:t xml:space="preserve">This product would be available to all NTS Entry Points </w:t>
      </w:r>
      <w:r w:rsidR="003B5258">
        <w:t xml:space="preserve">which </w:t>
      </w:r>
      <w:r w:rsidR="00FC02D9">
        <w:t>within the scope of</w:t>
      </w:r>
      <w:r>
        <w:t xml:space="preserve"> the current NTS Entry Capacity auctions as prescribed within UNC TPD Section B2.</w:t>
      </w:r>
    </w:p>
    <w:p w14:paraId="6E10B09C" w14:textId="77777777" w:rsidR="007E61EC" w:rsidRPr="007E61EC" w:rsidRDefault="007E61EC" w:rsidP="00C83D64">
      <w:pPr>
        <w:jc w:val="both"/>
      </w:pPr>
      <w:r>
        <w:t xml:space="preserve">There are no resultant impacts on the current NTS Entry Capacity auctions contained within UNC. </w:t>
      </w:r>
    </w:p>
    <w:p w14:paraId="115454EC" w14:textId="77777777" w:rsidR="00F20FAB" w:rsidRPr="00CA74C4" w:rsidRDefault="00F20FAB" w:rsidP="00C20DD9">
      <w:pPr>
        <w:pStyle w:val="Heading02"/>
      </w:pPr>
      <w:bookmarkStart w:id="4" w:name="_Toc318966120"/>
      <w:r w:rsidRPr="00CA74C4">
        <w:t>Code Specific Matters</w:t>
      </w:r>
      <w:bookmarkEnd w:id="4"/>
    </w:p>
    <w:p w14:paraId="6B4AAC23"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bookmarkStart w:id="5" w:name="_Toc318966121"/>
      <w:r w:rsidRPr="00CA74C4">
        <w:rPr>
          <w:rFonts w:ascii="Arial" w:eastAsia="Times New Roman" w:hAnsi="Arial" w:cs="Arial"/>
          <w:i w:val="0"/>
          <w:iCs w:val="0"/>
          <w:color w:val="008576"/>
          <w:sz w:val="24"/>
        </w:rPr>
        <w:t>Reference Documents</w:t>
      </w:r>
    </w:p>
    <w:p w14:paraId="2ABAA2B8" w14:textId="77777777" w:rsidR="00045F75" w:rsidRDefault="007E61EC" w:rsidP="00045F75">
      <w:pPr>
        <w:rPr>
          <w:rFonts w:cs="Arial"/>
          <w:szCs w:val="20"/>
        </w:rPr>
      </w:pPr>
      <w:r>
        <w:rPr>
          <w:rFonts w:cs="Arial"/>
          <w:szCs w:val="20"/>
        </w:rPr>
        <w:t xml:space="preserve">UNC TPD Section B: </w:t>
      </w:r>
      <w:hyperlink r:id="rId30" w:history="1">
        <w:r w:rsidRPr="00520EDE">
          <w:rPr>
            <w:rStyle w:val="Hyperlink"/>
            <w:rFonts w:cs="Arial"/>
            <w:szCs w:val="20"/>
          </w:rPr>
          <w:t>https://www.gasgovernance.co.uk/sites/default/files/ggf/page/2020-12/4%20TPD%20Section%20B%20-%20System%20Use%20%26%20Capacity_0.pdf</w:t>
        </w:r>
      </w:hyperlink>
      <w:r>
        <w:rPr>
          <w:rFonts w:cs="Arial"/>
          <w:szCs w:val="20"/>
        </w:rPr>
        <w:t xml:space="preserve"> </w:t>
      </w:r>
    </w:p>
    <w:p w14:paraId="550124D0" w14:textId="77777777" w:rsidR="007E61EC" w:rsidRDefault="007E61EC" w:rsidP="00045F75">
      <w:pPr>
        <w:rPr>
          <w:rFonts w:cs="Arial"/>
          <w:szCs w:val="20"/>
        </w:rPr>
      </w:pPr>
      <w:r>
        <w:rPr>
          <w:rFonts w:cs="Arial"/>
          <w:szCs w:val="20"/>
        </w:rPr>
        <w:t>Entry Capacity Release Methodology</w:t>
      </w:r>
      <w:r w:rsidR="003B5258">
        <w:rPr>
          <w:rFonts w:cs="Arial"/>
          <w:szCs w:val="20"/>
        </w:rPr>
        <w:t xml:space="preserve"> Statement</w:t>
      </w:r>
      <w:r>
        <w:rPr>
          <w:rFonts w:cs="Arial"/>
          <w:szCs w:val="20"/>
        </w:rPr>
        <w:t xml:space="preserve">: </w:t>
      </w:r>
      <w:hyperlink r:id="rId31" w:history="1">
        <w:r w:rsidRPr="00520EDE">
          <w:rPr>
            <w:rStyle w:val="Hyperlink"/>
            <w:rFonts w:cs="Arial"/>
            <w:szCs w:val="20"/>
          </w:rPr>
          <w:t>https://www.gasgovernance.co.uk/sites/default/files/ggf/page/2020-12/4%20TPD%20Section%20B%20-%20System%20Use%20%26%20Capacity_0.pdf</w:t>
        </w:r>
      </w:hyperlink>
      <w:r>
        <w:rPr>
          <w:rFonts w:cs="Arial"/>
          <w:szCs w:val="20"/>
        </w:rPr>
        <w:t xml:space="preserve"> </w:t>
      </w:r>
    </w:p>
    <w:p w14:paraId="27EE33B4" w14:textId="77777777" w:rsidR="007E61EC" w:rsidRDefault="00F50A5A" w:rsidP="00045F75">
      <w:pPr>
        <w:rPr>
          <w:rFonts w:cs="Arial"/>
          <w:szCs w:val="20"/>
        </w:rPr>
      </w:pPr>
      <w:r>
        <w:rPr>
          <w:rFonts w:cs="Arial"/>
          <w:szCs w:val="20"/>
        </w:rPr>
        <w:t xml:space="preserve">National Grid </w:t>
      </w:r>
      <w:r w:rsidR="007E61EC">
        <w:rPr>
          <w:rFonts w:cs="Arial"/>
          <w:szCs w:val="20"/>
        </w:rPr>
        <w:t>Summer Maintenance Plans</w:t>
      </w:r>
      <w:r w:rsidR="00FC02D9">
        <w:rPr>
          <w:rFonts w:cs="Arial"/>
          <w:szCs w:val="20"/>
        </w:rPr>
        <w:t xml:space="preserve"> (landing page)</w:t>
      </w:r>
      <w:r w:rsidR="007E61EC">
        <w:rPr>
          <w:rFonts w:cs="Arial"/>
          <w:szCs w:val="20"/>
        </w:rPr>
        <w:t xml:space="preserve">: </w:t>
      </w:r>
      <w:hyperlink r:id="rId32" w:history="1">
        <w:r w:rsidR="007E61EC" w:rsidRPr="00520EDE">
          <w:rPr>
            <w:rStyle w:val="Hyperlink"/>
            <w:rFonts w:cs="Arial"/>
            <w:szCs w:val="20"/>
          </w:rPr>
          <w:t>https://www.nationalgrid.com/uk/gas-transmission/data-and-operations/maintenance</w:t>
        </w:r>
      </w:hyperlink>
    </w:p>
    <w:p w14:paraId="784248B1" w14:textId="77777777" w:rsidR="007E61EC" w:rsidRPr="00CA74C4" w:rsidRDefault="00F50A5A" w:rsidP="00045F75">
      <w:pPr>
        <w:rPr>
          <w:rFonts w:cs="Arial"/>
          <w:szCs w:val="20"/>
        </w:rPr>
      </w:pPr>
      <w:r>
        <w:rPr>
          <w:rFonts w:cs="Arial"/>
          <w:szCs w:val="20"/>
        </w:rPr>
        <w:t xml:space="preserve">National Grid </w:t>
      </w:r>
      <w:r w:rsidR="007E61EC">
        <w:rPr>
          <w:rFonts w:cs="Arial"/>
          <w:szCs w:val="20"/>
        </w:rPr>
        <w:t xml:space="preserve">Gas Transmission Capacity Guidelines document: </w:t>
      </w:r>
      <w:hyperlink r:id="rId33" w:history="1">
        <w:r w:rsidR="007E61EC" w:rsidRPr="00520EDE">
          <w:rPr>
            <w:rStyle w:val="Hyperlink"/>
            <w:rFonts w:cs="Arial"/>
            <w:szCs w:val="20"/>
          </w:rPr>
          <w:t>https://www.nationalgrid.com/sites/default/files/documents/45759-Capacity%20Guidance%20Doc_v1_0-140616.pdf</w:t>
        </w:r>
      </w:hyperlink>
      <w:r w:rsidR="007E61EC">
        <w:rPr>
          <w:rFonts w:cs="Arial"/>
          <w:szCs w:val="20"/>
        </w:rPr>
        <w:t xml:space="preserve"> </w:t>
      </w:r>
    </w:p>
    <w:p w14:paraId="21EBB95F" w14:textId="7777777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B3329C8" w14:textId="77777777" w:rsidR="007008A3" w:rsidRPr="007008A3" w:rsidRDefault="007008A3" w:rsidP="007008A3">
      <w:r w:rsidRPr="007008A3">
        <w:t>No additional knowledge or skills required.</w:t>
      </w:r>
    </w:p>
    <w:p w14:paraId="24D6C74F" w14:textId="77777777" w:rsidR="00985FC1" w:rsidRPr="00CA74C4" w:rsidRDefault="00AF5B6E" w:rsidP="00C20DD9">
      <w:pPr>
        <w:pStyle w:val="Heading02"/>
      </w:pPr>
      <w:r w:rsidRPr="00CA74C4">
        <w:t>Solution</w:t>
      </w:r>
      <w:bookmarkEnd w:id="5"/>
    </w:p>
    <w:p w14:paraId="5EA8D9AB" w14:textId="77777777" w:rsidR="006E035D" w:rsidRDefault="00B30B77" w:rsidP="00C83D64">
      <w:pPr>
        <w:jc w:val="both"/>
        <w:rPr>
          <w:rFonts w:cs="Arial"/>
        </w:rPr>
      </w:pPr>
      <w:bookmarkStart w:id="6" w:name="_Toc318966122"/>
      <w:r>
        <w:rPr>
          <w:rFonts w:cs="Arial"/>
        </w:rPr>
        <w:t>For this Modification to be implemented the provisions for a Weekly NTS Entry Capacity Auction would need to be included within UNC TPD Section B, including:</w:t>
      </w:r>
    </w:p>
    <w:p w14:paraId="0EB36943" w14:textId="77777777" w:rsidR="00B30B77" w:rsidRDefault="00B30B77" w:rsidP="00C83D64">
      <w:pPr>
        <w:numPr>
          <w:ilvl w:val="0"/>
          <w:numId w:val="43"/>
        </w:numPr>
        <w:jc w:val="both"/>
        <w:rPr>
          <w:rFonts w:cs="Arial"/>
        </w:rPr>
      </w:pPr>
      <w:r>
        <w:rPr>
          <w:rFonts w:cs="Arial"/>
        </w:rPr>
        <w:t>The capacity available at the Weekly NTS Entry Capacity auction is:</w:t>
      </w:r>
    </w:p>
    <w:p w14:paraId="13D9F7A6" w14:textId="77777777" w:rsidR="00B30B77" w:rsidRDefault="00B30B77" w:rsidP="00C83D64">
      <w:pPr>
        <w:numPr>
          <w:ilvl w:val="0"/>
          <w:numId w:val="41"/>
        </w:numPr>
        <w:jc w:val="both"/>
        <w:rPr>
          <w:rFonts w:cs="Arial"/>
        </w:rPr>
      </w:pPr>
      <w:r>
        <w:rPr>
          <w:rFonts w:cs="Arial"/>
        </w:rPr>
        <w:t>Unsold NTS Entry Capacity (if any); plus</w:t>
      </w:r>
    </w:p>
    <w:p w14:paraId="2BFE59A6" w14:textId="77777777" w:rsidR="00B30B77" w:rsidRPr="00B30B77" w:rsidRDefault="00B30B77" w:rsidP="00C83D64">
      <w:pPr>
        <w:numPr>
          <w:ilvl w:val="0"/>
          <w:numId w:val="41"/>
        </w:numPr>
        <w:jc w:val="both"/>
        <w:rPr>
          <w:rFonts w:cs="Arial"/>
        </w:rPr>
      </w:pPr>
      <w:r>
        <w:rPr>
          <w:rFonts w:cs="Arial"/>
        </w:rPr>
        <w:t>Incremental NTS Entry Capacity (if any)</w:t>
      </w:r>
      <w:r w:rsidR="00F50A5A">
        <w:rPr>
          <w:rFonts w:cs="Arial"/>
        </w:rPr>
        <w:t>.</w:t>
      </w:r>
    </w:p>
    <w:p w14:paraId="57C1ED93" w14:textId="24C73793" w:rsidR="00B30B77" w:rsidRDefault="00B30B77" w:rsidP="00C83D64">
      <w:pPr>
        <w:numPr>
          <w:ilvl w:val="0"/>
          <w:numId w:val="43"/>
        </w:numPr>
        <w:jc w:val="both"/>
        <w:rPr>
          <w:rFonts w:cs="Arial"/>
        </w:rPr>
      </w:pPr>
      <w:r>
        <w:rPr>
          <w:rFonts w:cs="Arial"/>
        </w:rPr>
        <w:t>The Weekly NTS Entry Capacity auction would take place between 08:00 and 17:00 at D-</w:t>
      </w:r>
      <w:r w:rsidR="00C36B8A">
        <w:rPr>
          <w:rFonts w:cs="Arial"/>
        </w:rPr>
        <w:t>10</w:t>
      </w:r>
      <w:r>
        <w:rPr>
          <w:rFonts w:cs="Arial"/>
        </w:rPr>
        <w:t xml:space="preserve"> (where D is the first gas day of the weekly period, being a Monday). </w:t>
      </w:r>
    </w:p>
    <w:p w14:paraId="45C40A0D" w14:textId="52E635F7" w:rsidR="00B30B77" w:rsidRDefault="00B30B77" w:rsidP="00C83D64">
      <w:pPr>
        <w:numPr>
          <w:ilvl w:val="0"/>
          <w:numId w:val="43"/>
        </w:numPr>
        <w:jc w:val="both"/>
        <w:rPr>
          <w:rFonts w:cs="Arial"/>
        </w:rPr>
      </w:pPr>
      <w:r>
        <w:rPr>
          <w:rFonts w:cs="Arial"/>
        </w:rPr>
        <w:t>The Weekly NTS Entry Capacity would be allocated by D-</w:t>
      </w:r>
      <w:r w:rsidR="00C36B8A">
        <w:rPr>
          <w:rFonts w:cs="Arial"/>
        </w:rPr>
        <w:t>9</w:t>
      </w:r>
      <w:r>
        <w:rPr>
          <w:rFonts w:cs="Arial"/>
        </w:rPr>
        <w:t>. For the avoidance of doubt, this allocation needs to be completed before the opening of the DSEC window at D-7</w:t>
      </w:r>
      <w:r w:rsidR="00F50A5A">
        <w:rPr>
          <w:rFonts w:cs="Arial"/>
        </w:rPr>
        <w:t>.</w:t>
      </w:r>
    </w:p>
    <w:p w14:paraId="1D382609" w14:textId="461E0CD1" w:rsidR="00520903" w:rsidRPr="00520903" w:rsidRDefault="00520903" w:rsidP="00C83D64">
      <w:pPr>
        <w:numPr>
          <w:ilvl w:val="0"/>
          <w:numId w:val="43"/>
        </w:numPr>
        <w:jc w:val="both"/>
        <w:rPr>
          <w:rFonts w:cs="Arial"/>
          <w:highlight w:val="yellow"/>
        </w:rPr>
      </w:pPr>
      <w:commentRangeStart w:id="7"/>
      <w:r w:rsidRPr="00520903">
        <w:rPr>
          <w:highlight w:val="yellow"/>
        </w:rPr>
        <w:t xml:space="preserve">Where a weekly period crosses two Gas Years, then the prevailing price on each relevant day will be used. For example, week commencing 27th September 2021 crosses the 2020/21 and 2021/22 Gas Year. In this example, 27th, 28th, 29th and 30th September would be charged at the 2020/21 reserve price whilst the 1st, 2nd and 3rd October would be charged at the 2021/22 reserve price. </w:t>
      </w:r>
    </w:p>
    <w:p w14:paraId="64B12264" w14:textId="6750AE35" w:rsidR="00520903" w:rsidRPr="00520903" w:rsidRDefault="00520903" w:rsidP="00C83D64">
      <w:pPr>
        <w:numPr>
          <w:ilvl w:val="0"/>
          <w:numId w:val="43"/>
        </w:numPr>
        <w:jc w:val="both"/>
        <w:rPr>
          <w:rFonts w:cs="Arial"/>
          <w:highlight w:val="yellow"/>
        </w:rPr>
      </w:pPr>
      <w:r w:rsidRPr="00520903">
        <w:rPr>
          <w:highlight w:val="yellow"/>
        </w:rPr>
        <w:t xml:space="preserve">For the avoidance of doubt, the same reserve prices will be applied as for other </w:t>
      </w:r>
      <w:proofErr w:type="spellStart"/>
      <w:r w:rsidRPr="00520903">
        <w:rPr>
          <w:highlight w:val="yellow"/>
        </w:rPr>
        <w:t>products,upon</w:t>
      </w:r>
      <w:proofErr w:type="spellEnd"/>
      <w:r w:rsidRPr="00520903">
        <w:rPr>
          <w:highlight w:val="yellow"/>
        </w:rPr>
        <w:t xml:space="preserve"> implementation the prevailing Reserve Price and a Duration Multiplier of one (1) ( as defined prescribed within the UNC TPD Section Y for the current NTS Auctions) will be applied to the Weekly NTS Entry Capacity Auctions.</w:t>
      </w:r>
      <w:commentRangeEnd w:id="7"/>
      <w:r>
        <w:rPr>
          <w:rStyle w:val="CommentReference"/>
        </w:rPr>
        <w:commentReference w:id="7"/>
      </w:r>
    </w:p>
    <w:p w14:paraId="1ABF147C" w14:textId="77777777" w:rsidR="00C36B8A" w:rsidRPr="00C36B8A" w:rsidRDefault="00C36B8A" w:rsidP="00C83D64">
      <w:pPr>
        <w:numPr>
          <w:ilvl w:val="0"/>
          <w:numId w:val="43"/>
        </w:numPr>
        <w:jc w:val="both"/>
        <w:rPr>
          <w:rFonts w:cs="Arial"/>
        </w:rPr>
      </w:pPr>
      <w:r>
        <w:t xml:space="preserve">For the avoidance of doubt, </w:t>
      </w:r>
      <w:r w:rsidR="0096799B">
        <w:t>t</w:t>
      </w:r>
      <w:r>
        <w:t>he amendments to the UNC as proposed in this Mod</w:t>
      </w:r>
      <w:r w:rsidR="0053599D">
        <w:t>ification</w:t>
      </w:r>
      <w:r>
        <w:t xml:space="preserve"> shall not be applicable to interconnection points (“IPs”). The revised CAM Regulation (as retained in UK law in accordance with the European Union (Withdrawal) Act 2018 and amended by the Gas (Security of Supply and Network Codes) (Amendment) (EU Exit) Regulations 2019) governs the offering of capacity products at UK IPs. A weekly capacity product is not envisaged by the CAM Regulation. In order to permit the offering at IPs of weekly capacity products, the CAM Regulation would need to be amended, which would be a legislative process; authorising the offering of this new product at IPs is beyond the permitted scope of the UNC and therefore would not be achievable through a modification to the UNC.  While the Mod</w:t>
      </w:r>
      <w:r w:rsidR="0053599D">
        <w:t>ification</w:t>
      </w:r>
      <w:r>
        <w:t xml:space="preserve"> may therefore result in differences between capacity products offered at IPs and non-IP entry, this is reflective of the extent of the amendments that can be made by way of UNC amendment.</w:t>
      </w:r>
    </w:p>
    <w:p w14:paraId="2F81A999" w14:textId="77777777" w:rsidR="006D75CD" w:rsidRPr="00CA74C4" w:rsidRDefault="006D75CD" w:rsidP="00C20DD9">
      <w:pPr>
        <w:pStyle w:val="Heading02"/>
        <w:rPr>
          <w:noProof/>
        </w:rPr>
      </w:pPr>
      <w:r w:rsidRPr="00CA74C4">
        <w:rPr>
          <w:noProof/>
        </w:rPr>
        <w:t xml:space="preserve">Impacts </w:t>
      </w:r>
      <w:r w:rsidR="00784486" w:rsidRPr="00CA74C4">
        <w:rPr>
          <w:noProof/>
        </w:rPr>
        <w:t>&amp; Other Considerations</w:t>
      </w:r>
      <w:bookmarkEnd w:id="6"/>
    </w:p>
    <w:p w14:paraId="1C54102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5FFD4DA9" w14:textId="77777777" w:rsidR="00676075" w:rsidRPr="00CA74C4" w:rsidRDefault="00050DD4" w:rsidP="00C83D64">
      <w:pPr>
        <w:jc w:val="both"/>
        <w:rPr>
          <w:rFonts w:cs="Arial"/>
        </w:rPr>
      </w:pPr>
      <w:r>
        <w:rPr>
          <w:rFonts w:cs="Arial"/>
        </w:rPr>
        <w:t>No</w:t>
      </w:r>
      <w:r w:rsidR="00F50A5A">
        <w:rPr>
          <w:rFonts w:cs="Arial"/>
        </w:rPr>
        <w:t xml:space="preserve"> Significant Code Review or significant industry change will be impacted by this Modification.</w:t>
      </w:r>
    </w:p>
    <w:p w14:paraId="3F8EDCC2"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66B7DD69" w14:textId="77777777" w:rsidR="00676075" w:rsidRPr="00CA74C4" w:rsidRDefault="00050DD4" w:rsidP="00676075">
      <w:pPr>
        <w:rPr>
          <w:rFonts w:cs="Arial"/>
        </w:rPr>
      </w:pPr>
      <w:r>
        <w:rPr>
          <w:rFonts w:cs="Arial"/>
        </w:rPr>
        <w:t>None</w:t>
      </w:r>
      <w:r w:rsidR="00F50A5A">
        <w:rPr>
          <w:rFonts w:cs="Arial"/>
        </w:rPr>
        <w:t xml:space="preserve"> identified.</w:t>
      </w:r>
    </w:p>
    <w:p w14:paraId="36B5E44E"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7B045209" w14:textId="77777777" w:rsidR="00676075" w:rsidRPr="00CA74C4" w:rsidRDefault="00050DD4" w:rsidP="00676075">
      <w:pPr>
        <w:rPr>
          <w:rFonts w:cs="Arial"/>
        </w:rPr>
      </w:pPr>
      <w:r>
        <w:rPr>
          <w:rFonts w:cs="Arial"/>
        </w:rPr>
        <w:t>None</w:t>
      </w:r>
    </w:p>
    <w:p w14:paraId="6FCC0AF8"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01CDB4EC" w14:textId="0EF5FB57" w:rsidR="00676075" w:rsidRDefault="00050DD4" w:rsidP="00C83D64">
      <w:pPr>
        <w:jc w:val="both"/>
        <w:rPr>
          <w:rFonts w:cs="Arial"/>
        </w:rPr>
      </w:pPr>
      <w:r>
        <w:rPr>
          <w:rFonts w:cs="Arial"/>
        </w:rPr>
        <w:t xml:space="preserve">It is anticipated that there will be System Impacts in the implementation of a Weekly NTS Entry Capacity Auction. </w:t>
      </w:r>
    </w:p>
    <w:p w14:paraId="3ED2AE9D" w14:textId="031C265D" w:rsidR="00A6716B" w:rsidRPr="00A6716B" w:rsidRDefault="00A6716B" w:rsidP="00A6716B">
      <w:pPr>
        <w:pStyle w:val="Heading4"/>
        <w:keepLines w:val="0"/>
        <w:numPr>
          <w:ilvl w:val="0"/>
          <w:numId w:val="0"/>
        </w:numPr>
        <w:spacing w:before="240"/>
        <w:rPr>
          <w:rFonts w:ascii="Arial" w:eastAsia="Times New Roman" w:hAnsi="Arial" w:cs="Arial"/>
          <w:b w:val="0"/>
          <w:color w:val="00B274"/>
          <w:szCs w:val="20"/>
          <w:highlight w:val="yellow"/>
        </w:rPr>
      </w:pPr>
      <w:bookmarkStart w:id="8" w:name="_Hlk534356800"/>
      <w:bookmarkStart w:id="9" w:name="_Hlk13755714"/>
      <w:r w:rsidRPr="00A6716B">
        <w:rPr>
          <w:rFonts w:ascii="Arial" w:eastAsia="Times New Roman" w:hAnsi="Arial" w:cs="Arial"/>
          <w:i w:val="0"/>
          <w:iCs w:val="0"/>
          <w:color w:val="008576"/>
          <w:sz w:val="24"/>
          <w:szCs w:val="28"/>
          <w:highlight w:val="yellow"/>
        </w:rPr>
        <w:t xml:space="preserve">Workgroup Impact Assessment </w:t>
      </w:r>
    </w:p>
    <w:bookmarkEnd w:id="8"/>
    <w:p w14:paraId="61B256ED" w14:textId="77777777" w:rsidR="00977608" w:rsidRDefault="00977608" w:rsidP="00977608">
      <w:r>
        <w:t>04 March 2021</w:t>
      </w:r>
    </w:p>
    <w:p w14:paraId="11BDA89A" w14:textId="4CC6950B" w:rsidR="00977608" w:rsidRPr="00CB732D" w:rsidRDefault="00977608" w:rsidP="00977608">
      <w:pPr>
        <w:rPr>
          <w:u w:val="single"/>
        </w:rPr>
      </w:pPr>
      <w:r w:rsidRPr="00CB732D">
        <w:rPr>
          <w:u w:val="single"/>
        </w:rPr>
        <w:t>TAR NC</w:t>
      </w:r>
      <w:r>
        <w:rPr>
          <w:rStyle w:val="FootnoteReference"/>
          <w:u w:val="single"/>
        </w:rPr>
        <w:footnoteReference w:id="5"/>
      </w:r>
      <w:r w:rsidRPr="00CB732D">
        <w:rPr>
          <w:u w:val="single"/>
        </w:rPr>
        <w:t xml:space="preserve"> compliance</w:t>
      </w:r>
    </w:p>
    <w:p w14:paraId="33F9E201" w14:textId="6F70930F" w:rsidR="00977608" w:rsidRDefault="00977608" w:rsidP="00977608">
      <w:pPr>
        <w:jc w:val="both"/>
      </w:pPr>
      <w:r>
        <w:t>N</w:t>
      </w:r>
      <w:r>
        <w:t>ational Grid has an obligation to p</w:t>
      </w:r>
      <w:r>
        <w:t>ubli</w:t>
      </w:r>
      <w:r>
        <w:t xml:space="preserve">sh </w:t>
      </w:r>
      <w:r>
        <w:t>prices in May</w:t>
      </w:r>
      <w:r>
        <w:t xml:space="preserve">. Workgroup Participants wished to understand the </w:t>
      </w:r>
      <w:r>
        <w:t>effect of this Modification on this year’s prices (</w:t>
      </w:r>
      <w:r>
        <w:t xml:space="preserve">TAR NC </w:t>
      </w:r>
      <w:r>
        <w:t>Art. 29).</w:t>
      </w:r>
    </w:p>
    <w:p w14:paraId="146013D6" w14:textId="1FB82352" w:rsidR="00977608" w:rsidRDefault="00977608" w:rsidP="00977608">
      <w:pPr>
        <w:jc w:val="both"/>
      </w:pPr>
      <w:r>
        <w:t>The Proposer believed that National Grid has decided to publish all prices at the same time – prior to the Interconnector auctions. He believed this is not obligated in TAR NC, so for example domestic prices could be published separately to the interconnector prices. Introduction of this new product as a result of this Modification should not impact the timing of publication of prices. The Modification should not impact the FCC.</w:t>
      </w:r>
    </w:p>
    <w:p w14:paraId="44E5B98E" w14:textId="203A39D5" w:rsidR="00977608" w:rsidRDefault="00977608" w:rsidP="00977608">
      <w:r>
        <w:t>National Grid requested that this timing aspect should be included within the solution.</w:t>
      </w:r>
    </w:p>
    <w:p w14:paraId="3C0C5AFF" w14:textId="06C4AC06" w:rsidR="00977608" w:rsidRDefault="00977608" w:rsidP="00977608">
      <w:commentRangeStart w:id="10"/>
      <w:r w:rsidRPr="00977608">
        <w:rPr>
          <w:highlight w:val="yellow"/>
        </w:rPr>
        <w:t>The Ofgem representative at Workgroup was asked if they had a</w:t>
      </w:r>
      <w:r>
        <w:rPr>
          <w:highlight w:val="yellow"/>
        </w:rPr>
        <w:t xml:space="preserve"> </w:t>
      </w:r>
      <w:r w:rsidRPr="00977608">
        <w:rPr>
          <w:highlight w:val="yellow"/>
        </w:rPr>
        <w:t xml:space="preserve">view on this aspect. Their response was to </w:t>
      </w:r>
      <w:r w:rsidRPr="00977608">
        <w:rPr>
          <w:highlight w:val="yellow"/>
        </w:rPr>
        <w:t xml:space="preserve">potentially </w:t>
      </w:r>
      <w:r w:rsidRPr="00977608">
        <w:rPr>
          <w:highlight w:val="yellow"/>
        </w:rPr>
        <w:t>consider offline</w:t>
      </w:r>
      <w:r w:rsidRPr="00977608">
        <w:rPr>
          <w:highlight w:val="yellow"/>
        </w:rPr>
        <w:t xml:space="preserve"> </w:t>
      </w:r>
      <w:r w:rsidRPr="00977608">
        <w:rPr>
          <w:highlight w:val="yellow"/>
        </w:rPr>
        <w:t>liaison wi</w:t>
      </w:r>
      <w:r w:rsidRPr="00977608">
        <w:rPr>
          <w:highlight w:val="yellow"/>
        </w:rPr>
        <w:t xml:space="preserve">th </w:t>
      </w:r>
      <w:r w:rsidRPr="00977608">
        <w:rPr>
          <w:highlight w:val="yellow"/>
        </w:rPr>
        <w:t xml:space="preserve">the </w:t>
      </w:r>
      <w:r w:rsidRPr="00977608">
        <w:rPr>
          <w:highlight w:val="yellow"/>
        </w:rPr>
        <w:t>Proposer and potentially in between Workgroups.</w:t>
      </w:r>
      <w:commentRangeEnd w:id="10"/>
      <w:r>
        <w:rPr>
          <w:rStyle w:val="CommentReference"/>
        </w:rPr>
        <w:commentReference w:id="10"/>
      </w:r>
    </w:p>
    <w:p w14:paraId="410BBD62" w14:textId="77777777" w:rsidR="00977608" w:rsidRPr="00AB05DE" w:rsidRDefault="00977608" w:rsidP="00977608">
      <w:pPr>
        <w:rPr>
          <w:u w:val="single"/>
        </w:rPr>
      </w:pPr>
      <w:r w:rsidRPr="00AB05DE">
        <w:rPr>
          <w:u w:val="single"/>
        </w:rPr>
        <w:t>A week spanning two Gas Years</w:t>
      </w:r>
    </w:p>
    <w:p w14:paraId="7A6D1CC8" w14:textId="4ED9801F" w:rsidR="00977608" w:rsidRDefault="00977608" w:rsidP="00977608">
      <w:commentRangeStart w:id="11"/>
      <w:r w:rsidRPr="00977608">
        <w:rPr>
          <w:highlight w:val="yellow"/>
        </w:rPr>
        <w:t>National Grid requested clarification from the Proposer for any week which spans two Gas Years - what would be the price effect</w:t>
      </w:r>
      <w:r w:rsidRPr="00977608">
        <w:rPr>
          <w:highlight w:val="yellow"/>
        </w:rPr>
        <w:t xml:space="preserve"> and there was a request for </w:t>
      </w:r>
      <w:r w:rsidRPr="00977608">
        <w:rPr>
          <w:highlight w:val="yellow"/>
        </w:rPr>
        <w:t>this be clarified in the solution</w:t>
      </w:r>
      <w:r w:rsidRPr="00977608">
        <w:rPr>
          <w:highlight w:val="yellow"/>
        </w:rPr>
        <w:t xml:space="preserve"> of the Modification</w:t>
      </w:r>
      <w:r w:rsidRPr="00977608">
        <w:rPr>
          <w:highlight w:val="yellow"/>
        </w:rPr>
        <w:t>.</w:t>
      </w:r>
      <w:commentRangeEnd w:id="11"/>
      <w:r>
        <w:rPr>
          <w:rStyle w:val="CommentReference"/>
        </w:rPr>
        <w:commentReference w:id="11"/>
      </w:r>
    </w:p>
    <w:p w14:paraId="46F63019" w14:textId="6031CE0E" w:rsidR="00977608" w:rsidRDefault="00977608" w:rsidP="00977608">
      <w:r>
        <w:t xml:space="preserve">Three options </w:t>
      </w:r>
      <w:r>
        <w:t xml:space="preserve">were </w:t>
      </w:r>
      <w:r>
        <w:t xml:space="preserve">outlined by </w:t>
      </w:r>
      <w:r>
        <w:t xml:space="preserve">the </w:t>
      </w:r>
      <w:r>
        <w:t>Proposer:</w:t>
      </w:r>
    </w:p>
    <w:p w14:paraId="6DA00A44" w14:textId="7E05CDDB" w:rsidR="00977608" w:rsidRPr="00977608" w:rsidRDefault="00977608" w:rsidP="00977608">
      <w:pPr>
        <w:pStyle w:val="ListParagraph"/>
        <w:numPr>
          <w:ilvl w:val="0"/>
          <w:numId w:val="47"/>
        </w:numPr>
        <w:spacing w:after="160" w:line="259" w:lineRule="auto"/>
        <w:rPr>
          <w:rFonts w:ascii="Arial" w:hAnsi="Arial"/>
          <w:sz w:val="20"/>
        </w:rPr>
      </w:pPr>
      <w:r w:rsidRPr="00977608">
        <w:rPr>
          <w:rFonts w:ascii="Arial" w:hAnsi="Arial"/>
          <w:sz w:val="20"/>
        </w:rPr>
        <w:t xml:space="preserve">Suspend any auction that spans </w:t>
      </w:r>
      <w:r>
        <w:rPr>
          <w:rFonts w:ascii="Arial" w:hAnsi="Arial"/>
          <w:sz w:val="20"/>
        </w:rPr>
        <w:t xml:space="preserve">2 </w:t>
      </w:r>
      <w:r w:rsidRPr="00977608">
        <w:rPr>
          <w:rFonts w:ascii="Arial" w:hAnsi="Arial"/>
          <w:sz w:val="20"/>
        </w:rPr>
        <w:t>Gas Year</w:t>
      </w:r>
      <w:r>
        <w:rPr>
          <w:rFonts w:ascii="Arial" w:hAnsi="Arial"/>
          <w:sz w:val="20"/>
        </w:rPr>
        <w:t>s</w:t>
      </w:r>
      <w:r w:rsidRPr="00977608">
        <w:rPr>
          <w:rFonts w:ascii="Arial" w:hAnsi="Arial"/>
          <w:sz w:val="20"/>
        </w:rPr>
        <w:t xml:space="preserve"> </w:t>
      </w:r>
    </w:p>
    <w:p w14:paraId="2FB6D514" w14:textId="6D6B3BEA" w:rsidR="00977608" w:rsidRPr="00977608" w:rsidRDefault="00977608" w:rsidP="00977608">
      <w:pPr>
        <w:pStyle w:val="ListParagraph"/>
        <w:numPr>
          <w:ilvl w:val="0"/>
          <w:numId w:val="47"/>
        </w:numPr>
        <w:spacing w:after="160" w:line="259" w:lineRule="auto"/>
        <w:rPr>
          <w:rFonts w:ascii="Arial" w:hAnsi="Arial"/>
          <w:sz w:val="20"/>
        </w:rPr>
      </w:pPr>
      <w:r>
        <w:rPr>
          <w:rFonts w:ascii="Arial" w:hAnsi="Arial"/>
          <w:sz w:val="20"/>
        </w:rPr>
        <w:t>T</w:t>
      </w:r>
      <w:r w:rsidRPr="00977608">
        <w:rPr>
          <w:rFonts w:ascii="Arial" w:hAnsi="Arial"/>
          <w:sz w:val="20"/>
        </w:rPr>
        <w:t xml:space="preserve">ake </w:t>
      </w:r>
      <w:r>
        <w:rPr>
          <w:rFonts w:ascii="Arial" w:hAnsi="Arial"/>
          <w:sz w:val="20"/>
        </w:rPr>
        <w:t xml:space="preserve">the </w:t>
      </w:r>
      <w:r w:rsidRPr="00977608">
        <w:rPr>
          <w:rFonts w:ascii="Arial" w:hAnsi="Arial"/>
          <w:sz w:val="20"/>
        </w:rPr>
        <w:t xml:space="preserve">price from </w:t>
      </w:r>
      <w:r>
        <w:rPr>
          <w:rFonts w:ascii="Arial" w:hAnsi="Arial"/>
          <w:sz w:val="20"/>
        </w:rPr>
        <w:t>the preceding</w:t>
      </w:r>
      <w:r w:rsidRPr="00977608">
        <w:rPr>
          <w:rFonts w:ascii="Arial" w:hAnsi="Arial"/>
          <w:sz w:val="20"/>
        </w:rPr>
        <w:t xml:space="preserve"> Gas Year</w:t>
      </w:r>
      <w:r>
        <w:rPr>
          <w:rFonts w:ascii="Arial" w:hAnsi="Arial"/>
          <w:sz w:val="20"/>
        </w:rPr>
        <w:t xml:space="preserve"> (this appeared to be preferred as a pragmatic approach)</w:t>
      </w:r>
    </w:p>
    <w:p w14:paraId="14193C35" w14:textId="5AE4BA5D" w:rsidR="00977608" w:rsidRPr="00977608" w:rsidRDefault="00977608" w:rsidP="00977608">
      <w:pPr>
        <w:pStyle w:val="ListParagraph"/>
        <w:numPr>
          <w:ilvl w:val="0"/>
          <w:numId w:val="47"/>
        </w:numPr>
        <w:spacing w:after="160" w:line="259" w:lineRule="auto"/>
        <w:rPr>
          <w:rFonts w:ascii="Arial" w:hAnsi="Arial"/>
          <w:sz w:val="20"/>
        </w:rPr>
      </w:pPr>
      <w:r>
        <w:rPr>
          <w:rFonts w:ascii="Arial" w:hAnsi="Arial"/>
          <w:sz w:val="20"/>
        </w:rPr>
        <w:t>H</w:t>
      </w:r>
      <w:r w:rsidRPr="00977608">
        <w:rPr>
          <w:rFonts w:ascii="Arial" w:hAnsi="Arial"/>
          <w:sz w:val="20"/>
        </w:rPr>
        <w:t xml:space="preserve">ave pricing split for that week according to which Gas Year </w:t>
      </w:r>
      <w:r>
        <w:rPr>
          <w:rFonts w:ascii="Arial" w:hAnsi="Arial"/>
          <w:sz w:val="20"/>
        </w:rPr>
        <w:t>each</w:t>
      </w:r>
      <w:r w:rsidRPr="00977608">
        <w:rPr>
          <w:rFonts w:ascii="Arial" w:hAnsi="Arial"/>
          <w:sz w:val="20"/>
        </w:rPr>
        <w:t xml:space="preserve"> day is in</w:t>
      </w:r>
      <w:r>
        <w:rPr>
          <w:rFonts w:ascii="Arial" w:hAnsi="Arial"/>
          <w:sz w:val="20"/>
        </w:rPr>
        <w:t>.</w:t>
      </w:r>
    </w:p>
    <w:p w14:paraId="27276BDC" w14:textId="60F9E23B" w:rsidR="00977608" w:rsidRDefault="00977608" w:rsidP="00977608">
      <w:r>
        <w:t xml:space="preserve">The </w:t>
      </w:r>
      <w:r>
        <w:t>Proposer prefer</w:t>
      </w:r>
      <w:r>
        <w:t>red</w:t>
      </w:r>
      <w:r>
        <w:t xml:space="preserve"> whichever has simplest system aspects.</w:t>
      </w:r>
    </w:p>
    <w:p w14:paraId="2E61B003" w14:textId="77777777" w:rsidR="00977608" w:rsidRDefault="00977608" w:rsidP="00977608">
      <w:r>
        <w:t xml:space="preserve">Is the calculation done on a daily basis in the system? </w:t>
      </w:r>
      <w:r w:rsidRPr="00977608">
        <w:rPr>
          <w:highlight w:val="yellow"/>
        </w:rPr>
        <w:t>(Action on NG)</w:t>
      </w:r>
    </w:p>
    <w:p w14:paraId="74AA3BCD" w14:textId="74699480" w:rsidR="00977608" w:rsidRDefault="00977608" w:rsidP="00977608">
      <w:r>
        <w:t xml:space="preserve">HR (Xoserve) Charges </w:t>
      </w:r>
      <w:r>
        <w:t xml:space="preserve">are </w:t>
      </w:r>
      <w:r>
        <w:t>calculated based on the transaction period. (E.g. monthly price x number of days in that month)</w:t>
      </w:r>
      <w:r>
        <w:t>.</w:t>
      </w:r>
    </w:p>
    <w:p w14:paraId="41C52A13" w14:textId="7F26B3F8" w:rsidR="00977608" w:rsidRDefault="00977608" w:rsidP="00977608">
      <w:r>
        <w:t xml:space="preserve">This may lend itself to </w:t>
      </w:r>
      <w:r>
        <w:t>O</w:t>
      </w:r>
      <w:r>
        <w:t>ption 2.</w:t>
      </w:r>
    </w:p>
    <w:p w14:paraId="43EBE575" w14:textId="77777777" w:rsidR="00977608" w:rsidRDefault="00977608" w:rsidP="00977608"/>
    <w:p w14:paraId="4BCE8914" w14:textId="77777777" w:rsidR="00977608" w:rsidRPr="00AB05DE" w:rsidRDefault="00977608" w:rsidP="00977608">
      <w:pPr>
        <w:rPr>
          <w:u w:val="single"/>
        </w:rPr>
      </w:pPr>
      <w:r w:rsidRPr="00AB05DE">
        <w:rPr>
          <w:u w:val="single"/>
        </w:rPr>
        <w:t>Interruptible Capacity effect</w:t>
      </w:r>
    </w:p>
    <w:p w14:paraId="4D6D9A5C" w14:textId="3FB0CA93" w:rsidR="00977608" w:rsidRDefault="00977608" w:rsidP="00977608">
      <w:pPr>
        <w:jc w:val="both"/>
      </w:pPr>
      <w:r>
        <w:t xml:space="preserve">In terms of </w:t>
      </w:r>
      <w:r>
        <w:t>‘Use-It-Or-Lose-It’ capacity, also known as ‘</w:t>
      </w:r>
      <w:r>
        <w:t>UIOLI</w:t>
      </w:r>
      <w:r>
        <w:t xml:space="preserve">’, </w:t>
      </w:r>
      <w:r>
        <w:t xml:space="preserve">National Grid confirmed that the amount of interruptible capacity available for release is not limited; the quantity of capacity not used is part of the determination as to how much interruptible capacity can be released. </w:t>
      </w:r>
    </w:p>
    <w:p w14:paraId="00C789F3" w14:textId="62F91657" w:rsidR="00977608" w:rsidRDefault="00977608" w:rsidP="00977608">
      <w:pPr>
        <w:rPr>
          <w:i/>
          <w:iCs/>
        </w:rPr>
      </w:pPr>
      <w:r w:rsidRPr="000E4229">
        <w:rPr>
          <w:i/>
          <w:iCs/>
        </w:rPr>
        <w:t xml:space="preserve">A Workgroup Participant noted that with some bookings moving away from quarterly capacity bookings to weekly bookings, this Modification may reduce the amount of Interruptible capacity available (through the effect on UIOLI - an anti-hoarding mechanism). With the interruptible discount this means that there could be less capacity available at this discounted rate. </w:t>
      </w:r>
      <w:r w:rsidRPr="000E4229">
        <w:rPr>
          <w:i/>
          <w:iCs/>
          <w:highlight w:val="yellow"/>
        </w:rPr>
        <w:t>(Jen Randall may send additional/alternative words)</w:t>
      </w:r>
      <w:r w:rsidRPr="000E4229">
        <w:rPr>
          <w:i/>
          <w:iCs/>
        </w:rPr>
        <w:t xml:space="preserve"> Effect on Relevant Objective d)? (is this a general comment rather than under ROs?)</w:t>
      </w:r>
    </w:p>
    <w:p w14:paraId="08DAEE43" w14:textId="6F7AA338" w:rsidR="00D967AF" w:rsidRDefault="00D967AF" w:rsidP="00977608">
      <w:pPr>
        <w:rPr>
          <w:u w:val="single"/>
        </w:rPr>
      </w:pPr>
      <w:r w:rsidRPr="00D967AF">
        <w:rPr>
          <w:u w:val="single"/>
        </w:rPr>
        <w:t>Governance</w:t>
      </w:r>
    </w:p>
    <w:p w14:paraId="4ED491A8" w14:textId="3F6DFF0B" w:rsidR="00D967AF" w:rsidRDefault="00D967AF" w:rsidP="00977608">
      <w:r w:rsidRPr="00D967AF">
        <w:t>01 April 2021</w:t>
      </w:r>
    </w:p>
    <w:p w14:paraId="79DE1439" w14:textId="0C3310BA" w:rsidR="00D967AF" w:rsidRPr="00D967AF" w:rsidRDefault="00D967AF" w:rsidP="00977608">
      <w:r w:rsidRPr="00D967AF">
        <w:rPr>
          <w:highlight w:val="yellow"/>
        </w:rPr>
        <w:t xml:space="preserve">Workgroup Participants considered whether the Modification should be subject to </w:t>
      </w:r>
      <w:proofErr w:type="spellStart"/>
      <w:r w:rsidRPr="00D967AF">
        <w:rPr>
          <w:highlight w:val="yellow"/>
        </w:rPr>
        <w:t>Self Governance</w:t>
      </w:r>
      <w:proofErr w:type="spellEnd"/>
      <w:r w:rsidRPr="00D967AF">
        <w:rPr>
          <w:highlight w:val="yellow"/>
        </w:rPr>
        <w:t>…</w:t>
      </w:r>
    </w:p>
    <w:p w14:paraId="2EFF9F0F" w14:textId="77777777" w:rsidR="00571B94" w:rsidRPr="00CA74C4" w:rsidRDefault="00571B94" w:rsidP="00571B94">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1F85D685" w14:textId="23CF73E6" w:rsidR="00571B94" w:rsidRPr="00CA74C4" w:rsidRDefault="00571B94" w:rsidP="00571B94">
      <w:pPr>
        <w:jc w:val="both"/>
        <w:rPr>
          <w:rFonts w:cs="Arial"/>
        </w:rPr>
      </w:pPr>
      <w:r>
        <w:rPr>
          <w:rFonts w:cs="Arial"/>
        </w:rPr>
        <w:t>The Proposer’s view is that i</w:t>
      </w:r>
      <w:r>
        <w:rPr>
          <w:rFonts w:cs="Arial"/>
        </w:rPr>
        <w:t xml:space="preserve">mplementing a Weekly NTS Entry Capacity Auction is likely to reduce the cost of delivering gas onto the NTS by allowing Shippers to book capacity more efficiently. This has the potential to improve the attractiveness of GB for imported gas, therefore providing Security of Supply benefits for consumers. </w:t>
      </w:r>
    </w:p>
    <w:p w14:paraId="70C40756" w14:textId="0E4F5626" w:rsidR="00977608" w:rsidRDefault="00571B94" w:rsidP="00977608">
      <w:r>
        <w:t xml:space="preserve">Workgroup completed the following table on </w:t>
      </w:r>
      <w:r>
        <w:t>04 March 2021</w:t>
      </w:r>
      <w:r>
        <w:t>:</w:t>
      </w: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57" w:type="dxa"/>
          <w:right w:w="0" w:type="dxa"/>
        </w:tblCellMar>
        <w:tblLook w:val="01E0" w:firstRow="1" w:lastRow="1" w:firstColumn="1" w:lastColumn="1" w:noHBand="0" w:noVBand="0"/>
      </w:tblPr>
      <w:tblGrid>
        <w:gridCol w:w="4747"/>
        <w:gridCol w:w="2373"/>
        <w:gridCol w:w="2374"/>
      </w:tblGrid>
      <w:tr w:rsidR="00977608" w:rsidRPr="008D54E0" w14:paraId="7A5A9F17" w14:textId="77777777" w:rsidTr="00571B94">
        <w:trPr>
          <w:cantSplit/>
          <w:trHeight w:hRule="exact" w:val="727"/>
        </w:trPr>
        <w:tc>
          <w:tcPr>
            <w:tcW w:w="9494" w:type="dxa"/>
            <w:gridSpan w:val="3"/>
            <w:tcBorders>
              <w:bottom w:val="single" w:sz="8" w:space="0" w:color="CCE0DA"/>
            </w:tcBorders>
            <w:shd w:val="clear" w:color="auto" w:fill="CCE0DA"/>
            <w:vAlign w:val="center"/>
          </w:tcPr>
          <w:p w14:paraId="2B5A5100" w14:textId="77777777" w:rsidR="00977608" w:rsidRDefault="00977608" w:rsidP="00396AF2">
            <w:pPr>
              <w:pStyle w:val="Heading4"/>
              <w:keepLines w:val="0"/>
              <w:numPr>
                <w:ilvl w:val="0"/>
                <w:numId w:val="0"/>
              </w:numPr>
              <w:spacing w:before="0" w:after="0"/>
              <w:ind w:left="113" w:right="113"/>
              <w:rPr>
                <w:rFonts w:ascii="Arial" w:eastAsia="Times New Roman" w:hAnsi="Arial" w:cs="Arial"/>
                <w:i w:val="0"/>
                <w:iCs w:val="0"/>
                <w:color w:val="008576"/>
                <w:sz w:val="24"/>
                <w:szCs w:val="28"/>
              </w:rPr>
            </w:pPr>
            <w:bookmarkStart w:id="12" w:name="_Hlk534356863"/>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p>
          <w:p w14:paraId="42E23010" w14:textId="77777777" w:rsidR="00977608" w:rsidRPr="008D54E0" w:rsidRDefault="00977608" w:rsidP="00396AF2">
            <w:pPr>
              <w:pStyle w:val="Heading4"/>
              <w:keepLines w:val="0"/>
              <w:numPr>
                <w:ilvl w:val="0"/>
                <w:numId w:val="0"/>
              </w:numPr>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Workgroup assessment of proposer initial view or subsequent information)</w:t>
            </w:r>
          </w:p>
        </w:tc>
      </w:tr>
      <w:tr w:rsidR="00977608" w:rsidRPr="008D54E0" w14:paraId="54F3C4EC" w14:textId="77777777" w:rsidTr="00571B94">
        <w:trPr>
          <w:cantSplit/>
          <w:trHeight w:hRule="exact" w:val="397"/>
        </w:trPr>
        <w:tc>
          <w:tcPr>
            <w:tcW w:w="4747" w:type="dxa"/>
            <w:tcBorders>
              <w:bottom w:val="single" w:sz="8" w:space="0" w:color="CCE0DA"/>
            </w:tcBorders>
            <w:shd w:val="clear" w:color="auto" w:fill="CCE0DA"/>
            <w:vAlign w:val="center"/>
          </w:tcPr>
          <w:p w14:paraId="019627ED" w14:textId="77777777" w:rsidR="00977608" w:rsidRPr="008D54E0" w:rsidRDefault="00977608" w:rsidP="00396AF2">
            <w:pPr>
              <w:pStyle w:val="Heading4"/>
              <w:keepLines w:val="0"/>
              <w:numPr>
                <w:ilvl w:val="0"/>
                <w:numId w:val="0"/>
              </w:numPr>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gridSpan w:val="2"/>
            <w:tcBorders>
              <w:bottom w:val="single" w:sz="8" w:space="0" w:color="CCE0DA"/>
            </w:tcBorders>
            <w:shd w:val="clear" w:color="auto" w:fill="CCE0DA"/>
            <w:vAlign w:val="center"/>
          </w:tcPr>
          <w:p w14:paraId="7886583B" w14:textId="77777777" w:rsidR="00977608" w:rsidRPr="00137C1D" w:rsidRDefault="00977608" w:rsidP="00396AF2">
            <w:pPr>
              <w:pStyle w:val="Heading4"/>
              <w:keepLines w:val="0"/>
              <w:numPr>
                <w:ilvl w:val="0"/>
                <w:numId w:val="0"/>
              </w:numPr>
              <w:spacing w:before="0" w:after="0"/>
              <w:ind w:left="113" w:right="113"/>
              <w:rPr>
                <w:rFonts w:ascii="Arial" w:eastAsia="Times New Roman" w:hAnsi="Arial" w:cs="Arial"/>
                <w:i w:val="0"/>
                <w:iCs w:val="0"/>
                <w:color w:val="008576"/>
                <w:szCs w:val="20"/>
              </w:rPr>
            </w:pPr>
            <w:r w:rsidRPr="00137C1D">
              <w:rPr>
                <w:rFonts w:ascii="Arial" w:eastAsia="Times New Roman" w:hAnsi="Arial" w:cs="Arial"/>
                <w:i w:val="0"/>
                <w:iCs w:val="0"/>
                <w:color w:val="008576"/>
                <w:szCs w:val="20"/>
              </w:rPr>
              <w:t>Extent of Impact</w:t>
            </w:r>
          </w:p>
        </w:tc>
      </w:tr>
      <w:tr w:rsidR="00977608" w:rsidRPr="008D54E0" w14:paraId="69DB593B" w14:textId="77777777" w:rsidTr="00571B94">
        <w:trPr>
          <w:cantSplit/>
          <w:trHeight w:val="397"/>
        </w:trPr>
        <w:tc>
          <w:tcPr>
            <w:tcW w:w="4747" w:type="dxa"/>
          </w:tcPr>
          <w:p w14:paraId="0B907094" w14:textId="56D621FA" w:rsidR="00977608" w:rsidRPr="00845DD5" w:rsidRDefault="00977608" w:rsidP="00571B94">
            <w:pPr>
              <w:pStyle w:val="Tablebodycopy"/>
              <w:spacing w:after="40"/>
              <w:rPr>
                <w:rFonts w:cs="Arial"/>
                <w:bCs/>
              </w:rPr>
            </w:pPr>
            <w:r>
              <w:rPr>
                <w:rFonts w:cs="Arial"/>
                <w:bCs/>
              </w:rPr>
              <w:t>W</w:t>
            </w:r>
            <w:r w:rsidRPr="00845DD5">
              <w:rPr>
                <w:rFonts w:cs="Arial"/>
                <w:bCs/>
              </w:rPr>
              <w:t>hich Consumer groups are affected?</w:t>
            </w:r>
          </w:p>
        </w:tc>
        <w:tc>
          <w:tcPr>
            <w:tcW w:w="4747" w:type="dxa"/>
            <w:gridSpan w:val="2"/>
          </w:tcPr>
          <w:p w14:paraId="3F3B87F3" w14:textId="14A89A11" w:rsidR="00977608" w:rsidRPr="001E6A7C" w:rsidRDefault="00977608" w:rsidP="00571B94">
            <w:pPr>
              <w:spacing w:before="40" w:after="40" w:line="240" w:lineRule="auto"/>
              <w:ind w:left="141"/>
              <w:contextualSpacing/>
              <w:rPr>
                <w:rFonts w:cs="Arial"/>
                <w:i/>
                <w:szCs w:val="20"/>
              </w:rPr>
            </w:pPr>
            <w:r w:rsidRPr="001E6A7C">
              <w:rPr>
                <w:rFonts w:cs="Arial"/>
                <w:szCs w:val="20"/>
              </w:rPr>
              <w:t>Potentially all consumers could be impacted</w:t>
            </w:r>
            <w:r w:rsidR="00571B94">
              <w:rPr>
                <w:rFonts w:cs="Arial"/>
                <w:szCs w:val="20"/>
              </w:rPr>
              <w:t>.</w:t>
            </w:r>
            <w:r w:rsidRPr="001E6A7C">
              <w:rPr>
                <w:rFonts w:cs="Arial"/>
                <w:szCs w:val="20"/>
              </w:rPr>
              <w:t xml:space="preserve"> </w:t>
            </w:r>
          </w:p>
        </w:tc>
      </w:tr>
      <w:tr w:rsidR="00977608" w:rsidRPr="008D54E0" w14:paraId="183D8290" w14:textId="77777777" w:rsidTr="00571B94">
        <w:trPr>
          <w:cantSplit/>
          <w:trHeight w:val="397"/>
        </w:trPr>
        <w:tc>
          <w:tcPr>
            <w:tcW w:w="4747" w:type="dxa"/>
          </w:tcPr>
          <w:p w14:paraId="1EFB121D" w14:textId="77777777" w:rsidR="00977608" w:rsidRPr="00845DD5" w:rsidRDefault="00977608" w:rsidP="00396AF2">
            <w:pPr>
              <w:pStyle w:val="Tablebodycopy"/>
              <w:spacing w:after="40"/>
              <w:rPr>
                <w:rFonts w:cs="Arial"/>
                <w:bCs/>
              </w:rPr>
            </w:pPr>
            <w:r w:rsidRPr="00845DD5">
              <w:rPr>
                <w:rFonts w:cs="Arial"/>
                <w:bCs/>
              </w:rPr>
              <w:t>What costs or benefits will pass through to them?</w:t>
            </w:r>
          </w:p>
        </w:tc>
        <w:tc>
          <w:tcPr>
            <w:tcW w:w="4747" w:type="dxa"/>
            <w:gridSpan w:val="2"/>
          </w:tcPr>
          <w:p w14:paraId="20F2A8AC" w14:textId="09FA22D1" w:rsidR="00977608" w:rsidRPr="00137C1D" w:rsidRDefault="00977608" w:rsidP="00396AF2">
            <w:pPr>
              <w:spacing w:before="40" w:after="40"/>
              <w:ind w:left="113" w:right="113"/>
              <w:rPr>
                <w:rFonts w:cs="Arial"/>
                <w:szCs w:val="20"/>
              </w:rPr>
            </w:pPr>
            <w:r w:rsidRPr="00137C1D">
              <w:rPr>
                <w:rFonts w:cs="Arial"/>
                <w:szCs w:val="20"/>
              </w:rPr>
              <w:t xml:space="preserve">More efficient bookings lead to lower costs to bring gas onto the </w:t>
            </w:r>
            <w:r w:rsidR="00D967AF" w:rsidRPr="00137C1D">
              <w:rPr>
                <w:rFonts w:cs="Arial"/>
                <w:szCs w:val="20"/>
              </w:rPr>
              <w:t>system,</w:t>
            </w:r>
            <w:r w:rsidRPr="00137C1D">
              <w:rPr>
                <w:rFonts w:cs="Arial"/>
                <w:szCs w:val="20"/>
              </w:rPr>
              <w:t xml:space="preserve"> and this should lead to lower prices at the NBP. In turn this should mean a price benefit for consumers, assuming the savings are passed through (which will depend somewhat on the contracts in place). </w:t>
            </w:r>
          </w:p>
        </w:tc>
      </w:tr>
      <w:tr w:rsidR="00977608" w:rsidRPr="008D54E0" w14:paraId="1D0D7708" w14:textId="77777777" w:rsidTr="00571B94">
        <w:trPr>
          <w:cantSplit/>
          <w:trHeight w:val="397"/>
        </w:trPr>
        <w:tc>
          <w:tcPr>
            <w:tcW w:w="4747" w:type="dxa"/>
          </w:tcPr>
          <w:p w14:paraId="0AC68B02" w14:textId="77777777" w:rsidR="00977608" w:rsidRPr="00845DD5" w:rsidRDefault="00977608" w:rsidP="00396AF2">
            <w:pPr>
              <w:pStyle w:val="Tablebodycopy"/>
              <w:spacing w:after="40"/>
              <w:rPr>
                <w:rFonts w:cs="Arial"/>
                <w:bCs/>
              </w:rPr>
            </w:pPr>
            <w:r w:rsidRPr="00845DD5">
              <w:rPr>
                <w:rFonts w:cs="Arial"/>
                <w:bCs/>
              </w:rPr>
              <w:t>When will these costs/benefits impact upon consumers?</w:t>
            </w:r>
          </w:p>
        </w:tc>
        <w:tc>
          <w:tcPr>
            <w:tcW w:w="4747" w:type="dxa"/>
            <w:gridSpan w:val="2"/>
          </w:tcPr>
          <w:p w14:paraId="7DCF8425" w14:textId="77777777" w:rsidR="00977608" w:rsidRPr="00137C1D" w:rsidRDefault="00977608" w:rsidP="00396AF2">
            <w:pPr>
              <w:spacing w:before="40" w:after="40"/>
              <w:ind w:left="113" w:right="113"/>
              <w:rPr>
                <w:rFonts w:cs="Arial"/>
                <w:szCs w:val="18"/>
              </w:rPr>
            </w:pPr>
            <w:r w:rsidRPr="00137C1D">
              <w:rPr>
                <w:rFonts w:cs="Arial"/>
                <w:szCs w:val="18"/>
              </w:rPr>
              <w:t>Upon implementation of the Modification.</w:t>
            </w:r>
          </w:p>
        </w:tc>
      </w:tr>
      <w:tr w:rsidR="00977608" w:rsidRPr="008D54E0" w14:paraId="68E09A81" w14:textId="77777777" w:rsidTr="00571B94">
        <w:trPr>
          <w:cantSplit/>
          <w:trHeight w:val="397"/>
        </w:trPr>
        <w:tc>
          <w:tcPr>
            <w:tcW w:w="4747" w:type="dxa"/>
          </w:tcPr>
          <w:p w14:paraId="289C1D7D" w14:textId="77777777" w:rsidR="00977608" w:rsidRPr="00845DD5" w:rsidRDefault="00977608" w:rsidP="00396AF2">
            <w:pPr>
              <w:pStyle w:val="Tablebodycopy"/>
              <w:spacing w:after="40"/>
              <w:rPr>
                <w:rFonts w:cs="Arial"/>
                <w:bCs/>
              </w:rPr>
            </w:pPr>
            <w:r w:rsidRPr="00845DD5">
              <w:rPr>
                <w:rFonts w:cs="Arial"/>
                <w:bCs/>
              </w:rPr>
              <w:t>Are there any other Consumer Impacts?</w:t>
            </w:r>
          </w:p>
        </w:tc>
        <w:tc>
          <w:tcPr>
            <w:tcW w:w="4747" w:type="dxa"/>
            <w:gridSpan w:val="2"/>
          </w:tcPr>
          <w:p w14:paraId="08240501" w14:textId="77777777" w:rsidR="00977608" w:rsidRPr="00137C1D" w:rsidRDefault="00977608" w:rsidP="00396AF2">
            <w:pPr>
              <w:spacing w:before="40" w:after="40"/>
              <w:ind w:left="113" w:right="113"/>
              <w:rPr>
                <w:rFonts w:cs="Arial"/>
                <w:iCs/>
              </w:rPr>
            </w:pPr>
            <w:r w:rsidRPr="00137C1D">
              <w:rPr>
                <w:rFonts w:cs="Arial"/>
                <w:iCs/>
                <w:szCs w:val="18"/>
              </w:rPr>
              <w:t>Increased benefit to S</w:t>
            </w:r>
            <w:r>
              <w:rPr>
                <w:rFonts w:cs="Arial"/>
                <w:iCs/>
                <w:szCs w:val="18"/>
              </w:rPr>
              <w:t>ecurity of Supply</w:t>
            </w:r>
            <w:r w:rsidRPr="00137C1D">
              <w:rPr>
                <w:rFonts w:cs="Arial"/>
                <w:iCs/>
                <w:szCs w:val="18"/>
              </w:rPr>
              <w:t xml:space="preserve"> from more favourable conditions for LNG Entry into the GB market.</w:t>
            </w:r>
          </w:p>
        </w:tc>
      </w:tr>
      <w:tr w:rsidR="00977608" w:rsidRPr="008D54E0" w14:paraId="4DCE3E84" w14:textId="77777777" w:rsidTr="00571B94">
        <w:trPr>
          <w:cantSplit/>
          <w:trHeight w:val="422"/>
        </w:trPr>
        <w:tc>
          <w:tcPr>
            <w:tcW w:w="9494" w:type="dxa"/>
            <w:gridSpan w:val="3"/>
          </w:tcPr>
          <w:p w14:paraId="0B9427F9" w14:textId="77777777" w:rsidR="00977608" w:rsidRPr="00BE0C5F" w:rsidRDefault="00977608" w:rsidP="00396AF2">
            <w:pPr>
              <w:pStyle w:val="Tablebodycopy"/>
              <w:spacing w:after="40"/>
              <w:ind w:left="57"/>
              <w:rPr>
                <w:i/>
              </w:rPr>
            </w:pPr>
            <w:r w:rsidRPr="00BE0C5F">
              <w:rPr>
                <w:b/>
                <w:i/>
              </w:rPr>
              <w:t xml:space="preserve"> </w:t>
            </w:r>
            <w:r w:rsidRPr="00BE0C5F">
              <w:rPr>
                <w:rFonts w:cs="Arial"/>
                <w:b/>
                <w:bCs/>
                <w:i/>
              </w:rPr>
              <w:t xml:space="preserve">General Market Assumptions as at December 2016 </w:t>
            </w:r>
            <w:r w:rsidRPr="00BE0C5F">
              <w:rPr>
                <w:rFonts w:cs="Arial"/>
                <w:bCs/>
                <w:i/>
              </w:rPr>
              <w:t>(to underpin the Costs analysis)</w:t>
            </w:r>
          </w:p>
        </w:tc>
      </w:tr>
      <w:tr w:rsidR="00977608" w:rsidRPr="008D54E0" w14:paraId="00DD0886" w14:textId="77777777" w:rsidTr="00571B94">
        <w:trPr>
          <w:cantSplit/>
          <w:trHeight w:val="386"/>
        </w:trPr>
        <w:tc>
          <w:tcPr>
            <w:tcW w:w="7120" w:type="dxa"/>
            <w:gridSpan w:val="2"/>
          </w:tcPr>
          <w:p w14:paraId="7C413D98" w14:textId="77777777" w:rsidR="00977608" w:rsidRPr="00BE0C5F" w:rsidRDefault="00977608" w:rsidP="00396AF2">
            <w:pPr>
              <w:pStyle w:val="Tablebodycopy"/>
              <w:spacing w:after="40"/>
              <w:rPr>
                <w:rFonts w:cs="Arial"/>
                <w:bCs/>
                <w:i/>
              </w:rPr>
            </w:pPr>
            <w:r w:rsidRPr="00BE0C5F">
              <w:rPr>
                <w:rFonts w:cs="Arial"/>
                <w:bCs/>
                <w:i/>
              </w:rPr>
              <w:t xml:space="preserve">Number of Domestic consumers </w:t>
            </w:r>
          </w:p>
        </w:tc>
        <w:tc>
          <w:tcPr>
            <w:tcW w:w="2374" w:type="dxa"/>
          </w:tcPr>
          <w:p w14:paraId="6DE4E2C8" w14:textId="77777777" w:rsidR="00977608" w:rsidRPr="00BE0C5F" w:rsidRDefault="00977608" w:rsidP="00396AF2">
            <w:pPr>
              <w:pStyle w:val="Tablebodycopy"/>
              <w:spacing w:after="40"/>
              <w:ind w:left="57"/>
              <w:rPr>
                <w:rFonts w:cs="Arial"/>
                <w:bCs/>
                <w:i/>
              </w:rPr>
            </w:pPr>
            <w:r w:rsidRPr="00BE0C5F">
              <w:rPr>
                <w:rFonts w:cs="Arial"/>
                <w:bCs/>
                <w:i/>
              </w:rPr>
              <w:t>21</w:t>
            </w:r>
            <w:r>
              <w:rPr>
                <w:rFonts w:cs="Arial"/>
                <w:bCs/>
                <w:i/>
              </w:rPr>
              <w:t xml:space="preserve"> </w:t>
            </w:r>
            <w:r w:rsidRPr="00BE0C5F">
              <w:rPr>
                <w:rFonts w:cs="Arial"/>
                <w:bCs/>
                <w:i/>
              </w:rPr>
              <w:t>million</w:t>
            </w:r>
          </w:p>
        </w:tc>
      </w:tr>
      <w:tr w:rsidR="00977608" w:rsidRPr="008D54E0" w14:paraId="13B1B346" w14:textId="77777777" w:rsidTr="00571B94">
        <w:trPr>
          <w:cantSplit/>
          <w:trHeight w:val="421"/>
        </w:trPr>
        <w:tc>
          <w:tcPr>
            <w:tcW w:w="7120" w:type="dxa"/>
            <w:gridSpan w:val="2"/>
          </w:tcPr>
          <w:p w14:paraId="3A9CA584" w14:textId="77777777" w:rsidR="00977608" w:rsidRPr="00BE0C5F" w:rsidRDefault="00977608" w:rsidP="00396AF2">
            <w:pPr>
              <w:pStyle w:val="Tablebodycopy"/>
              <w:spacing w:after="40"/>
              <w:rPr>
                <w:rFonts w:cs="Arial"/>
                <w:bCs/>
                <w:i/>
              </w:rPr>
            </w:pPr>
            <w:r w:rsidRPr="00BE0C5F">
              <w:rPr>
                <w:rFonts w:cs="Arial"/>
                <w:bCs/>
                <w:i/>
              </w:rPr>
              <w:t xml:space="preserve">Number of non-domestic consumers &lt;73,200 kWh/annum </w:t>
            </w:r>
          </w:p>
        </w:tc>
        <w:tc>
          <w:tcPr>
            <w:tcW w:w="2374" w:type="dxa"/>
          </w:tcPr>
          <w:p w14:paraId="26869292" w14:textId="77777777" w:rsidR="00977608" w:rsidRPr="00BE0C5F" w:rsidRDefault="00977608" w:rsidP="00396AF2">
            <w:pPr>
              <w:pStyle w:val="Tablebodycopy"/>
              <w:spacing w:after="40"/>
              <w:ind w:left="57"/>
              <w:rPr>
                <w:rFonts w:cs="Arial"/>
                <w:bCs/>
                <w:i/>
              </w:rPr>
            </w:pPr>
            <w:r w:rsidRPr="00BE0C5F">
              <w:rPr>
                <w:rFonts w:cs="Arial"/>
                <w:bCs/>
                <w:i/>
              </w:rPr>
              <w:t>500,000</w:t>
            </w:r>
          </w:p>
        </w:tc>
      </w:tr>
      <w:tr w:rsidR="00977608" w:rsidRPr="008D54E0" w14:paraId="64DB3C58" w14:textId="77777777" w:rsidTr="00571B94">
        <w:trPr>
          <w:cantSplit/>
          <w:trHeight w:val="399"/>
        </w:trPr>
        <w:tc>
          <w:tcPr>
            <w:tcW w:w="7120" w:type="dxa"/>
            <w:gridSpan w:val="2"/>
          </w:tcPr>
          <w:p w14:paraId="23373BCE" w14:textId="77777777" w:rsidR="00977608" w:rsidRPr="00BE0C5F" w:rsidRDefault="00977608" w:rsidP="00396AF2">
            <w:pPr>
              <w:pStyle w:val="Tablebodycopy"/>
              <w:spacing w:after="40"/>
              <w:rPr>
                <w:rFonts w:cs="Arial"/>
                <w:bCs/>
                <w:i/>
              </w:rPr>
            </w:pPr>
            <w:r w:rsidRPr="00BE0C5F">
              <w:rPr>
                <w:rFonts w:cs="Arial"/>
                <w:bCs/>
                <w:i/>
              </w:rPr>
              <w:t xml:space="preserve">Number of consumers between 73,200 and 732,000 kWh/annum </w:t>
            </w:r>
          </w:p>
        </w:tc>
        <w:tc>
          <w:tcPr>
            <w:tcW w:w="2374" w:type="dxa"/>
          </w:tcPr>
          <w:p w14:paraId="18FE0A3B" w14:textId="77777777" w:rsidR="00977608" w:rsidRPr="00BE0C5F" w:rsidRDefault="00977608" w:rsidP="00396AF2">
            <w:pPr>
              <w:pStyle w:val="Tablebodycopy"/>
              <w:spacing w:after="40"/>
              <w:ind w:left="57"/>
              <w:rPr>
                <w:rFonts w:cs="Arial"/>
                <w:bCs/>
                <w:i/>
              </w:rPr>
            </w:pPr>
            <w:r w:rsidRPr="00BE0C5F">
              <w:rPr>
                <w:rFonts w:cs="Arial"/>
                <w:bCs/>
                <w:i/>
              </w:rPr>
              <w:t>250,000</w:t>
            </w:r>
          </w:p>
        </w:tc>
      </w:tr>
      <w:tr w:rsidR="00977608" w:rsidRPr="008D54E0" w14:paraId="20FEADEC" w14:textId="77777777" w:rsidTr="00571B94">
        <w:trPr>
          <w:cantSplit/>
          <w:trHeight w:val="404"/>
        </w:trPr>
        <w:tc>
          <w:tcPr>
            <w:tcW w:w="7120" w:type="dxa"/>
            <w:gridSpan w:val="2"/>
          </w:tcPr>
          <w:p w14:paraId="49A6DDAD" w14:textId="77777777" w:rsidR="00977608" w:rsidRPr="00BE0C5F" w:rsidRDefault="00977608" w:rsidP="00396AF2">
            <w:pPr>
              <w:pStyle w:val="Tablebodycopy"/>
              <w:spacing w:after="40"/>
              <w:rPr>
                <w:rFonts w:cs="Arial"/>
                <w:bCs/>
                <w:i/>
              </w:rPr>
            </w:pPr>
            <w:r w:rsidRPr="00BE0C5F">
              <w:rPr>
                <w:rFonts w:cs="Arial"/>
                <w:bCs/>
                <w:i/>
              </w:rPr>
              <w:t>Number of very large consumers &gt;732,000 kWh/annum</w:t>
            </w:r>
          </w:p>
        </w:tc>
        <w:tc>
          <w:tcPr>
            <w:tcW w:w="2374" w:type="dxa"/>
          </w:tcPr>
          <w:p w14:paraId="21930A4B" w14:textId="77777777" w:rsidR="00977608" w:rsidRPr="00BE0C5F" w:rsidRDefault="00977608" w:rsidP="00396AF2">
            <w:pPr>
              <w:pStyle w:val="Tablebodycopy"/>
              <w:spacing w:after="40"/>
              <w:ind w:left="57"/>
              <w:rPr>
                <w:rFonts w:cs="Arial"/>
                <w:bCs/>
                <w:i/>
              </w:rPr>
            </w:pPr>
            <w:r w:rsidRPr="00BE0C5F">
              <w:rPr>
                <w:rFonts w:cs="Arial"/>
                <w:bCs/>
                <w:i/>
              </w:rPr>
              <w:t>26,000</w:t>
            </w:r>
          </w:p>
        </w:tc>
      </w:tr>
    </w:tbl>
    <w:bookmarkEnd w:id="12"/>
    <w:p w14:paraId="0EC7D291" w14:textId="03A94931" w:rsidR="00A6716B" w:rsidRPr="00571B94" w:rsidRDefault="00A6716B" w:rsidP="00A6716B">
      <w:pPr>
        <w:spacing w:before="240"/>
        <w:rPr>
          <w:rFonts w:cs="Arial"/>
          <w:bCs/>
          <w:i/>
          <w:iCs/>
          <w:color w:val="00B274"/>
          <w:szCs w:val="20"/>
          <w:highlight w:val="yellow"/>
        </w:rPr>
      </w:pPr>
      <w:r w:rsidRPr="00571B94">
        <w:rPr>
          <w:rFonts w:cs="Arial"/>
          <w:b/>
          <w:iCs/>
          <w:color w:val="008576"/>
          <w:sz w:val="24"/>
          <w:szCs w:val="28"/>
          <w:highlight w:val="yellow"/>
        </w:rPr>
        <w:t>Rough Order of Magnitude (ROM) Assessment</w:t>
      </w:r>
      <w:r w:rsidRPr="00571B94">
        <w:rPr>
          <w:rFonts w:cs="Arial"/>
          <w:i/>
          <w:iCs/>
          <w:color w:val="008576"/>
          <w:sz w:val="24"/>
          <w:szCs w:val="28"/>
          <w:highlight w:val="yellow"/>
        </w:rPr>
        <w:t xml:space="preserve"> </w:t>
      </w:r>
      <w:r w:rsidRPr="00571B94">
        <w:rPr>
          <w:rFonts w:cs="Arial"/>
          <w:bCs/>
          <w:i/>
          <w:iCs/>
          <w:color w:val="00B274"/>
          <w:szCs w:val="20"/>
          <w:highlight w:val="yellow"/>
        </w:rPr>
        <w:t xml:space="preserve">(Cost estimate from CDSP) </w:t>
      </w:r>
    </w:p>
    <w:p w14:paraId="22E5B681" w14:textId="77777777" w:rsidR="00A6716B" w:rsidRPr="00571B94" w:rsidRDefault="00A6716B" w:rsidP="00A6716B">
      <w:pPr>
        <w:pStyle w:val="Heading4"/>
        <w:keepLines w:val="0"/>
        <w:numPr>
          <w:ilvl w:val="0"/>
          <w:numId w:val="0"/>
        </w:numPr>
        <w:spacing w:before="120"/>
        <w:rPr>
          <w:rFonts w:ascii="Arial" w:eastAsia="Times New Roman" w:hAnsi="Arial" w:cs="Arial"/>
          <w:b w:val="0"/>
          <w:bCs w:val="0"/>
          <w:iCs w:val="0"/>
          <w:color w:val="00B274"/>
          <w:szCs w:val="20"/>
          <w:highlight w:val="yellow"/>
        </w:rPr>
      </w:pPr>
      <w:r w:rsidRPr="00571B94">
        <w:rPr>
          <w:rFonts w:ascii="Arial" w:eastAsia="Times New Roman" w:hAnsi="Arial" w:cs="Arial"/>
          <w:b w:val="0"/>
          <w:bCs w:val="0"/>
          <w:iCs w:val="0"/>
          <w:color w:val="00B274"/>
          <w:szCs w:val="20"/>
          <w:highlight w:val="yellow"/>
        </w:rPr>
        <w:t>Cost estimate from CDSP where the Modification relates to a change to a CDSP Service Document</w:t>
      </w:r>
    </w:p>
    <w:p w14:paraId="619744AF" w14:textId="77777777" w:rsidR="00A6716B" w:rsidRPr="00571B94" w:rsidRDefault="00A6716B" w:rsidP="00A6716B">
      <w:pPr>
        <w:rPr>
          <w:rFonts w:cs="Arial"/>
          <w:highlight w:val="yellow"/>
        </w:rPr>
      </w:pPr>
      <w:r w:rsidRPr="00571B94">
        <w:rPr>
          <w:rFonts w:cs="Arial"/>
          <w:highlight w:val="yellow"/>
        </w:rPr>
        <w:t>Insert text here</w:t>
      </w:r>
    </w:p>
    <w:p w14:paraId="0332D4E8" w14:textId="77777777" w:rsidR="00A6716B" w:rsidRPr="00571B94" w:rsidRDefault="00A6716B" w:rsidP="00A6716B">
      <w:pPr>
        <w:rPr>
          <w:rFonts w:cs="Arial"/>
          <w:b/>
          <w:i/>
          <w:color w:val="00B274"/>
          <w:szCs w:val="20"/>
          <w:highlight w:val="yellow"/>
        </w:rPr>
      </w:pPr>
      <w:r w:rsidRPr="00571B94">
        <w:rPr>
          <w:rFonts w:cs="Arial"/>
          <w:b/>
          <w:i/>
          <w:color w:val="00B274"/>
          <w:szCs w:val="20"/>
          <w:highlight w:val="yellow"/>
        </w:rPr>
        <w:t>OR</w:t>
      </w:r>
    </w:p>
    <w:tbl>
      <w:tblPr>
        <w:tblW w:w="9634" w:type="dxa"/>
        <w:tblInd w:w="-140"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887"/>
        <w:gridCol w:w="4747"/>
      </w:tblGrid>
      <w:tr w:rsidR="00A6716B" w:rsidRPr="00571B94" w14:paraId="37FC6C2C" w14:textId="77777777" w:rsidTr="00396AF2">
        <w:trPr>
          <w:cantSplit/>
          <w:trHeight w:hRule="exact" w:val="401"/>
        </w:trPr>
        <w:tc>
          <w:tcPr>
            <w:tcW w:w="9634" w:type="dxa"/>
            <w:gridSpan w:val="2"/>
            <w:tcBorders>
              <w:bottom w:val="single" w:sz="8" w:space="0" w:color="CCE0DA"/>
            </w:tcBorders>
            <w:shd w:val="clear" w:color="auto" w:fill="CCE0DA"/>
            <w:vAlign w:val="center"/>
          </w:tcPr>
          <w:p w14:paraId="501E67E6" w14:textId="77777777" w:rsidR="00A6716B" w:rsidRPr="00571B94" w:rsidRDefault="00A6716B" w:rsidP="00396AF2">
            <w:pPr>
              <w:spacing w:before="0" w:after="40"/>
              <w:ind w:left="14" w:right="57"/>
              <w:rPr>
                <w:rFonts w:cs="Arial"/>
                <w:i/>
                <w:color w:val="00B274"/>
                <w:szCs w:val="20"/>
                <w:highlight w:val="yellow"/>
              </w:rPr>
            </w:pPr>
            <w:r w:rsidRPr="00571B94">
              <w:rPr>
                <w:rFonts w:cs="Arial"/>
                <w:b/>
                <w:iCs/>
                <w:color w:val="008576"/>
                <w:sz w:val="24"/>
                <w:szCs w:val="28"/>
                <w:highlight w:val="yellow"/>
              </w:rPr>
              <w:t xml:space="preserve"> Rough Order of Magnitude (ROM) Assessment</w:t>
            </w:r>
            <w:r w:rsidRPr="00571B94">
              <w:rPr>
                <w:rFonts w:cs="Arial"/>
                <w:i/>
                <w:iCs/>
                <w:color w:val="008576"/>
                <w:sz w:val="24"/>
                <w:szCs w:val="28"/>
                <w:highlight w:val="yellow"/>
              </w:rPr>
              <w:t xml:space="preserve"> </w:t>
            </w:r>
            <w:r w:rsidRPr="00571B94">
              <w:rPr>
                <w:rFonts w:ascii="Calibri" w:eastAsia="MS Gothic" w:hAnsi="Calibri" w:cs="Arial"/>
                <w:i/>
                <w:iCs/>
                <w:color w:val="008576"/>
                <w:szCs w:val="20"/>
                <w:highlight w:val="yellow"/>
              </w:rPr>
              <w:t>(Workgroup assessment of costs)</w:t>
            </w:r>
          </w:p>
          <w:p w14:paraId="3984D56C" w14:textId="77777777" w:rsidR="00A6716B" w:rsidRPr="00571B94" w:rsidRDefault="00A6716B" w:rsidP="00396AF2">
            <w:pPr>
              <w:pStyle w:val="Heading4"/>
              <w:keepLines w:val="0"/>
              <w:numPr>
                <w:ilvl w:val="0"/>
                <w:numId w:val="0"/>
              </w:numPr>
              <w:spacing w:before="0" w:after="0"/>
              <w:ind w:left="113" w:right="113"/>
              <w:rPr>
                <w:rFonts w:ascii="Arial" w:hAnsi="Arial" w:cs="Arial"/>
                <w:highlight w:val="yellow"/>
              </w:rPr>
            </w:pPr>
          </w:p>
        </w:tc>
      </w:tr>
      <w:tr w:rsidR="00A6716B" w:rsidRPr="00571B94" w14:paraId="4EFBEBA6" w14:textId="77777777" w:rsidTr="00396AF2">
        <w:trPr>
          <w:cantSplit/>
          <w:trHeight w:val="397"/>
        </w:trPr>
        <w:tc>
          <w:tcPr>
            <w:tcW w:w="4887" w:type="dxa"/>
          </w:tcPr>
          <w:p w14:paraId="69CEA8F3" w14:textId="77777777" w:rsidR="00A6716B" w:rsidRPr="00571B94" w:rsidRDefault="00A6716B" w:rsidP="00396AF2">
            <w:pPr>
              <w:pStyle w:val="Tablebodycopy"/>
              <w:spacing w:after="40"/>
              <w:rPr>
                <w:rFonts w:cs="Arial"/>
                <w:bCs/>
                <w:highlight w:val="yellow"/>
              </w:rPr>
            </w:pPr>
            <w:r w:rsidRPr="00571B94">
              <w:rPr>
                <w:rFonts w:cs="Arial"/>
                <w:bCs/>
                <w:highlight w:val="yellow"/>
              </w:rPr>
              <w:t>Cost estimate from CDSP</w:t>
            </w:r>
          </w:p>
        </w:tc>
        <w:tc>
          <w:tcPr>
            <w:tcW w:w="4747" w:type="dxa"/>
          </w:tcPr>
          <w:p w14:paraId="383471BB" w14:textId="77777777" w:rsidR="00A6716B" w:rsidRPr="00571B94" w:rsidRDefault="00A6716B" w:rsidP="00396AF2">
            <w:pPr>
              <w:spacing w:before="40" w:after="40"/>
              <w:ind w:left="57" w:right="57"/>
              <w:rPr>
                <w:rFonts w:cs="Arial"/>
                <w:highlight w:val="yellow"/>
              </w:rPr>
            </w:pPr>
            <w:r w:rsidRPr="00571B94">
              <w:rPr>
                <w:rFonts w:cs="Arial"/>
                <w:highlight w:val="yellow"/>
              </w:rPr>
              <w:t>Insert text here</w:t>
            </w:r>
          </w:p>
        </w:tc>
      </w:tr>
      <w:tr w:rsidR="00A6716B" w:rsidRPr="008D54E0" w14:paraId="6FCCD86C" w14:textId="77777777" w:rsidTr="00396AF2">
        <w:trPr>
          <w:cantSplit/>
          <w:trHeight w:val="397"/>
        </w:trPr>
        <w:tc>
          <w:tcPr>
            <w:tcW w:w="4887" w:type="dxa"/>
          </w:tcPr>
          <w:p w14:paraId="318C1B8B" w14:textId="77777777" w:rsidR="00A6716B" w:rsidRPr="00571B94" w:rsidRDefault="00A6716B" w:rsidP="00396AF2">
            <w:pPr>
              <w:pStyle w:val="Tablebodycopy"/>
              <w:spacing w:after="40"/>
              <w:rPr>
                <w:rFonts w:cs="Arial"/>
                <w:highlight w:val="yellow"/>
              </w:rPr>
            </w:pPr>
            <w:r w:rsidRPr="00571B94">
              <w:rPr>
                <w:rFonts w:cs="Arial"/>
                <w:bCs/>
                <w:highlight w:val="yellow"/>
              </w:rPr>
              <w:t>Insert Subheading here</w:t>
            </w:r>
          </w:p>
        </w:tc>
        <w:tc>
          <w:tcPr>
            <w:tcW w:w="4747" w:type="dxa"/>
          </w:tcPr>
          <w:p w14:paraId="67096DF9" w14:textId="77777777" w:rsidR="00A6716B" w:rsidRPr="008D54E0" w:rsidRDefault="00A6716B" w:rsidP="00396AF2">
            <w:pPr>
              <w:spacing w:before="40" w:after="40"/>
              <w:ind w:left="57" w:right="57"/>
              <w:rPr>
                <w:rFonts w:cs="Arial"/>
              </w:rPr>
            </w:pPr>
            <w:r w:rsidRPr="00571B94">
              <w:rPr>
                <w:rFonts w:cs="Arial"/>
                <w:highlight w:val="yellow"/>
              </w:rPr>
              <w:t>Insert text here</w:t>
            </w:r>
          </w:p>
        </w:tc>
      </w:tr>
      <w:bookmarkEnd w:id="9"/>
    </w:tbl>
    <w:p w14:paraId="0DB7DFCC" w14:textId="77777777" w:rsidR="00A6716B" w:rsidRPr="004C2B25" w:rsidRDefault="00A6716B" w:rsidP="00C83D64">
      <w:pPr>
        <w:jc w:val="both"/>
        <w:rPr>
          <w:rFonts w:cs="Arial"/>
        </w:rPr>
      </w:pPr>
    </w:p>
    <w:p w14:paraId="4BA279B5" w14:textId="77777777" w:rsidR="00263600" w:rsidRPr="00CA74C4" w:rsidRDefault="00263600" w:rsidP="00C20DD9">
      <w:pPr>
        <w:pStyle w:val="Heading02"/>
      </w:pPr>
      <w:bookmarkStart w:id="13" w:name="_Toc318966123"/>
      <w:r w:rsidRPr="00CA74C4">
        <w:t>Relevant Objectives</w:t>
      </w:r>
      <w:bookmarkEnd w:id="13"/>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02B65AB8"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323E288" w14:textId="77777777" w:rsidR="0018496D" w:rsidRPr="00CA74C4" w:rsidRDefault="0018496D" w:rsidP="006D765D">
            <w:pPr>
              <w:pStyle w:val="TableHeading"/>
              <w:rPr>
                <w:rFonts w:cs="Arial"/>
              </w:rPr>
            </w:pPr>
            <w:r w:rsidRPr="00CA74C4">
              <w:rPr>
                <w:rFonts w:cs="Arial"/>
              </w:rPr>
              <w:t>Impact of the modification on the Relevant Objectives:</w:t>
            </w:r>
          </w:p>
        </w:tc>
      </w:tr>
      <w:tr w:rsidR="0018496D" w:rsidRPr="00CA74C4" w14:paraId="7E0613A2" w14:textId="77777777" w:rsidTr="00332A65">
        <w:trPr>
          <w:trHeight w:val="397"/>
        </w:trPr>
        <w:tc>
          <w:tcPr>
            <w:tcW w:w="7665" w:type="dxa"/>
            <w:tcBorders>
              <w:top w:val="single" w:sz="8" w:space="0" w:color="CCE0DA"/>
              <w:left w:val="single" w:sz="8" w:space="0" w:color="CCE0DA"/>
              <w:bottom w:val="single" w:sz="8" w:space="0" w:color="CCE0DA"/>
            </w:tcBorders>
          </w:tcPr>
          <w:p w14:paraId="28C2FA1F"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5B02305C" w14:textId="77777777" w:rsidR="0018496D" w:rsidRPr="00CA74C4" w:rsidRDefault="0018496D" w:rsidP="006D765D">
            <w:pPr>
              <w:ind w:left="113" w:right="113"/>
              <w:rPr>
                <w:rFonts w:cs="Arial"/>
              </w:rPr>
            </w:pPr>
            <w:r w:rsidRPr="00CA74C4">
              <w:rPr>
                <w:rFonts w:cs="Arial"/>
              </w:rPr>
              <w:t>Identified impact</w:t>
            </w:r>
          </w:p>
        </w:tc>
      </w:tr>
      <w:tr w:rsidR="0018496D" w:rsidRPr="00CA74C4" w14:paraId="201164CC" w14:textId="77777777" w:rsidTr="00332A65">
        <w:trPr>
          <w:trHeight w:val="397"/>
        </w:trPr>
        <w:tc>
          <w:tcPr>
            <w:tcW w:w="7665" w:type="dxa"/>
            <w:tcBorders>
              <w:left w:val="single" w:sz="8" w:space="0" w:color="CCE0DA"/>
              <w:bottom w:val="single" w:sz="8" w:space="0" w:color="CCE0DA"/>
            </w:tcBorders>
          </w:tcPr>
          <w:p w14:paraId="4A2C225D"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1A2F3503" w14:textId="77777777" w:rsidR="0018496D" w:rsidRPr="00CA74C4" w:rsidRDefault="00567D1C" w:rsidP="006D765D">
            <w:pPr>
              <w:spacing w:before="40"/>
              <w:ind w:left="113"/>
              <w:rPr>
                <w:rFonts w:cs="Arial"/>
              </w:rPr>
            </w:pPr>
            <w:r>
              <w:rPr>
                <w:rFonts w:cs="Arial"/>
              </w:rPr>
              <w:t>Positive</w:t>
            </w:r>
          </w:p>
        </w:tc>
      </w:tr>
      <w:tr w:rsidR="0018496D" w:rsidRPr="00CA74C4" w14:paraId="144DA6B5" w14:textId="77777777" w:rsidTr="00332A65">
        <w:trPr>
          <w:trHeight w:val="397"/>
        </w:trPr>
        <w:tc>
          <w:tcPr>
            <w:tcW w:w="7665" w:type="dxa"/>
            <w:tcBorders>
              <w:left w:val="single" w:sz="8" w:space="0" w:color="CCE0DA"/>
              <w:bottom w:val="single" w:sz="8" w:space="0" w:color="CCE0DA"/>
            </w:tcBorders>
          </w:tcPr>
          <w:p w14:paraId="56549C22"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06F69CC5"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3DE8F1EE"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C96126D" w14:textId="77777777" w:rsidR="0018496D" w:rsidRPr="00CA74C4" w:rsidRDefault="00567D1C" w:rsidP="006D765D">
            <w:pPr>
              <w:spacing w:before="40"/>
              <w:ind w:left="113" w:right="113"/>
              <w:rPr>
                <w:rFonts w:cs="Arial"/>
              </w:rPr>
            </w:pPr>
            <w:r>
              <w:rPr>
                <w:rFonts w:cs="Arial"/>
              </w:rPr>
              <w:t>None</w:t>
            </w:r>
          </w:p>
        </w:tc>
      </w:tr>
      <w:tr w:rsidR="0018496D" w:rsidRPr="00CA74C4" w14:paraId="535B0819" w14:textId="77777777" w:rsidTr="00332A65">
        <w:trPr>
          <w:trHeight w:val="397"/>
        </w:trPr>
        <w:tc>
          <w:tcPr>
            <w:tcW w:w="7665" w:type="dxa"/>
            <w:tcBorders>
              <w:left w:val="single" w:sz="8" w:space="0" w:color="CCE0DA"/>
              <w:bottom w:val="single" w:sz="8" w:space="0" w:color="CCE0DA"/>
            </w:tcBorders>
          </w:tcPr>
          <w:p w14:paraId="02012FB2"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028F6D26" w14:textId="77777777" w:rsidR="0018496D" w:rsidRPr="00CA74C4" w:rsidRDefault="00567D1C" w:rsidP="006D765D">
            <w:pPr>
              <w:spacing w:before="40"/>
              <w:ind w:left="113" w:right="113"/>
              <w:rPr>
                <w:rFonts w:cs="Arial"/>
              </w:rPr>
            </w:pPr>
            <w:r>
              <w:rPr>
                <w:rFonts w:cs="Arial"/>
              </w:rPr>
              <w:t>None</w:t>
            </w:r>
          </w:p>
        </w:tc>
      </w:tr>
      <w:tr w:rsidR="0018496D" w:rsidRPr="00CA74C4" w14:paraId="2234613A" w14:textId="77777777" w:rsidTr="00332A65">
        <w:trPr>
          <w:trHeight w:val="397"/>
        </w:trPr>
        <w:tc>
          <w:tcPr>
            <w:tcW w:w="7665" w:type="dxa"/>
            <w:tcBorders>
              <w:left w:val="single" w:sz="8" w:space="0" w:color="CCE0DA"/>
              <w:bottom w:val="single" w:sz="8" w:space="0" w:color="CCE0DA"/>
            </w:tcBorders>
          </w:tcPr>
          <w:p w14:paraId="665287E2"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0733D560"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6A8D8968"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52DD4A33"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0E746431" w14:textId="77777777" w:rsidR="0018496D" w:rsidRPr="00CA74C4" w:rsidRDefault="0018496D" w:rsidP="006D765D">
            <w:pPr>
              <w:spacing w:before="40"/>
              <w:ind w:left="113" w:right="113"/>
              <w:rPr>
                <w:rFonts w:cs="Arial"/>
              </w:rPr>
            </w:pPr>
            <w:r w:rsidRPr="00CA74C4">
              <w:rPr>
                <w:rFonts w:cs="Arial"/>
              </w:rPr>
              <w:t>Positive</w:t>
            </w:r>
          </w:p>
        </w:tc>
      </w:tr>
      <w:tr w:rsidR="0018496D" w:rsidRPr="00CA74C4" w14:paraId="1CE7B543" w14:textId="77777777" w:rsidTr="00332A65">
        <w:trPr>
          <w:trHeight w:val="397"/>
        </w:trPr>
        <w:tc>
          <w:tcPr>
            <w:tcW w:w="7665" w:type="dxa"/>
            <w:tcBorders>
              <w:left w:val="single" w:sz="8" w:space="0" w:color="CCE0DA"/>
              <w:bottom w:val="single" w:sz="8" w:space="0" w:color="CCE0DA"/>
            </w:tcBorders>
          </w:tcPr>
          <w:p w14:paraId="4E82B51A"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076A87C8" w14:textId="77777777" w:rsidR="0018496D" w:rsidRPr="00CA74C4" w:rsidRDefault="00567D1C" w:rsidP="006D765D">
            <w:pPr>
              <w:spacing w:before="40"/>
              <w:ind w:left="113" w:right="113"/>
              <w:rPr>
                <w:rFonts w:cs="Arial"/>
              </w:rPr>
            </w:pPr>
            <w:r>
              <w:rPr>
                <w:rFonts w:cs="Arial"/>
              </w:rPr>
              <w:t>None</w:t>
            </w:r>
          </w:p>
        </w:tc>
      </w:tr>
      <w:tr w:rsidR="0018496D" w:rsidRPr="00CA74C4" w14:paraId="24588A33" w14:textId="77777777" w:rsidTr="00332A65">
        <w:trPr>
          <w:trHeight w:val="397"/>
        </w:trPr>
        <w:tc>
          <w:tcPr>
            <w:tcW w:w="7665" w:type="dxa"/>
            <w:tcBorders>
              <w:left w:val="single" w:sz="8" w:space="0" w:color="CCE0DA"/>
              <w:bottom w:val="single" w:sz="8" w:space="0" w:color="CCE0DA"/>
            </w:tcBorders>
          </w:tcPr>
          <w:p w14:paraId="00218843"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2175194E" w14:textId="77777777" w:rsidR="0018496D" w:rsidRPr="00CA74C4" w:rsidRDefault="00567D1C" w:rsidP="006D765D">
            <w:pPr>
              <w:spacing w:before="40"/>
              <w:ind w:left="113" w:right="113"/>
              <w:rPr>
                <w:rFonts w:cs="Arial"/>
              </w:rPr>
            </w:pPr>
            <w:r>
              <w:rPr>
                <w:rFonts w:cs="Arial"/>
              </w:rPr>
              <w:t>None</w:t>
            </w:r>
          </w:p>
        </w:tc>
      </w:tr>
      <w:tr w:rsidR="0018496D" w:rsidRPr="00CA74C4" w14:paraId="2FB231CA" w14:textId="77777777" w:rsidTr="00332A65">
        <w:trPr>
          <w:trHeight w:val="397"/>
        </w:trPr>
        <w:tc>
          <w:tcPr>
            <w:tcW w:w="7665" w:type="dxa"/>
            <w:tcBorders>
              <w:left w:val="single" w:sz="8" w:space="0" w:color="CCE0DA"/>
              <w:bottom w:val="single" w:sz="8" w:space="0" w:color="CCE0DA"/>
            </w:tcBorders>
          </w:tcPr>
          <w:p w14:paraId="73BA859D" w14:textId="77777777" w:rsidR="0018496D" w:rsidRPr="00CA74C4" w:rsidRDefault="0018496D" w:rsidP="006D765D">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55A4D5FD" w14:textId="77777777" w:rsidR="0018496D" w:rsidRPr="00CA74C4" w:rsidRDefault="00567D1C" w:rsidP="006D765D">
            <w:pPr>
              <w:spacing w:before="40"/>
              <w:ind w:left="113" w:right="113"/>
              <w:rPr>
                <w:rFonts w:cs="Arial"/>
              </w:rPr>
            </w:pPr>
            <w:r>
              <w:rPr>
                <w:rFonts w:cs="Arial"/>
              </w:rPr>
              <w:t>None</w:t>
            </w:r>
          </w:p>
        </w:tc>
      </w:tr>
    </w:tbl>
    <w:p w14:paraId="79F7A855" w14:textId="3BE5806C" w:rsidR="006063CA" w:rsidRPr="006063CA" w:rsidRDefault="00977608" w:rsidP="006063CA">
      <w:pPr>
        <w:rPr>
          <w:rFonts w:cs="Arial"/>
          <w:u w:val="single"/>
        </w:rPr>
      </w:pPr>
      <w:r w:rsidRPr="007B556F">
        <w:rPr>
          <w:rFonts w:cs="Arial"/>
          <w:u w:val="single"/>
        </w:rPr>
        <w:t xml:space="preserve">Proposer </w:t>
      </w:r>
      <w:r w:rsidR="007B556F" w:rsidRPr="007B556F">
        <w:rPr>
          <w:rFonts w:cs="Arial"/>
          <w:u w:val="single"/>
        </w:rPr>
        <w:t xml:space="preserve">consideration of </w:t>
      </w:r>
      <w:r w:rsidR="00567D1C" w:rsidRPr="007B556F">
        <w:rPr>
          <w:rFonts w:cs="Arial"/>
          <w:u w:val="single"/>
        </w:rPr>
        <w:t>Relevant Objective</w:t>
      </w:r>
      <w:r w:rsidR="007B556F" w:rsidRPr="007B556F">
        <w:rPr>
          <w:rFonts w:cs="Arial"/>
          <w:u w:val="single"/>
        </w:rPr>
        <w:t>s</w:t>
      </w:r>
    </w:p>
    <w:p w14:paraId="2D01C42F" w14:textId="77777777" w:rsidR="006063CA" w:rsidRPr="006063CA" w:rsidRDefault="006063CA" w:rsidP="006063CA">
      <w:pPr>
        <w:jc w:val="both"/>
        <w:rPr>
          <w:rFonts w:cs="Arial"/>
          <w:b/>
          <w:bCs/>
        </w:rPr>
      </w:pPr>
      <w:r w:rsidRPr="006063CA">
        <w:rPr>
          <w:rFonts w:cs="Arial"/>
          <w:b/>
          <w:bCs/>
        </w:rPr>
        <w:t>Relevant Objective a)</w:t>
      </w:r>
    </w:p>
    <w:p w14:paraId="6CF12099" w14:textId="087E8D19" w:rsidR="006C3B35" w:rsidRDefault="006C3B35" w:rsidP="006063CA">
      <w:pPr>
        <w:jc w:val="both"/>
        <w:rPr>
          <w:rFonts w:cs="Arial"/>
        </w:rPr>
      </w:pPr>
      <w:r>
        <w:rPr>
          <w:rFonts w:cs="Arial"/>
        </w:rPr>
        <w:t xml:space="preserve">This proposal </w:t>
      </w:r>
      <w:r w:rsidRPr="006063CA">
        <w:rPr>
          <w:rFonts w:cs="Arial"/>
        </w:rPr>
        <w:t xml:space="preserve">furthers Relevant Objective (a) as implementing a Weekly NTS Entry Capacity auction will provide Shippers </w:t>
      </w:r>
      <w:r w:rsidR="00232BC6" w:rsidRPr="006063CA">
        <w:rPr>
          <w:rFonts w:cs="Arial"/>
        </w:rPr>
        <w:t>with an</w:t>
      </w:r>
      <w:r w:rsidRPr="006063CA">
        <w:rPr>
          <w:rFonts w:cs="Arial"/>
        </w:rPr>
        <w:t xml:space="preserve"> additional opportunity</w:t>
      </w:r>
      <w:r>
        <w:rPr>
          <w:rFonts w:cs="Arial"/>
        </w:rPr>
        <w:t xml:space="preserve"> to efficiently purchase capacity that better reflect</w:t>
      </w:r>
      <w:r w:rsidR="007B71E2">
        <w:rPr>
          <w:rFonts w:cs="Arial"/>
        </w:rPr>
        <w:t>s</w:t>
      </w:r>
      <w:r>
        <w:rPr>
          <w:rFonts w:cs="Arial"/>
        </w:rPr>
        <w:t xml:space="preserve"> their anticipated gas flows. This will enable National Grid NTS to commercially plan, operate and manage the NTS, therefore facilitating the efficient and economic operation of the NTS. </w:t>
      </w:r>
    </w:p>
    <w:p w14:paraId="0B859D74" w14:textId="3E4A1A73" w:rsidR="006063CA" w:rsidRPr="006063CA" w:rsidRDefault="006063CA" w:rsidP="006063CA">
      <w:pPr>
        <w:jc w:val="both"/>
        <w:rPr>
          <w:rFonts w:cs="Arial"/>
          <w:b/>
          <w:bCs/>
        </w:rPr>
      </w:pPr>
      <w:r w:rsidRPr="006063CA">
        <w:rPr>
          <w:rFonts w:cs="Arial"/>
          <w:b/>
          <w:bCs/>
        </w:rPr>
        <w:t xml:space="preserve">Relevant Objective </w:t>
      </w:r>
      <w:r>
        <w:rPr>
          <w:rFonts w:cs="Arial"/>
          <w:b/>
          <w:bCs/>
        </w:rPr>
        <w:t>d</w:t>
      </w:r>
      <w:r w:rsidRPr="006063CA">
        <w:rPr>
          <w:rFonts w:cs="Arial"/>
          <w:b/>
          <w:bCs/>
        </w:rPr>
        <w:t>)</w:t>
      </w:r>
    </w:p>
    <w:p w14:paraId="797C76A1" w14:textId="01ED6699" w:rsidR="00567D1C" w:rsidRPr="006063CA" w:rsidRDefault="006C3B35" w:rsidP="006063CA">
      <w:pPr>
        <w:jc w:val="both"/>
        <w:rPr>
          <w:rFonts w:cs="Arial"/>
        </w:rPr>
      </w:pPr>
      <w:r w:rsidRPr="006063CA">
        <w:rPr>
          <w:rFonts w:cs="Arial"/>
        </w:rPr>
        <w:t xml:space="preserve">This proposal furthers Relevant Objective (d) by allowing Shippers to </w:t>
      </w:r>
      <w:r w:rsidR="006972D2" w:rsidRPr="006063CA">
        <w:rPr>
          <w:rFonts w:cs="Arial"/>
        </w:rPr>
        <w:t>book NTS Entry C</w:t>
      </w:r>
      <w:r w:rsidRPr="006063CA">
        <w:rPr>
          <w:rFonts w:cs="Arial"/>
        </w:rPr>
        <w:t>apacity that better reflect</w:t>
      </w:r>
      <w:r w:rsidR="006972D2" w:rsidRPr="006063CA">
        <w:rPr>
          <w:rFonts w:cs="Arial"/>
        </w:rPr>
        <w:t>s</w:t>
      </w:r>
      <w:r w:rsidRPr="006063CA">
        <w:rPr>
          <w:rFonts w:cs="Arial"/>
        </w:rPr>
        <w:t xml:space="preserve"> their </w:t>
      </w:r>
      <w:r w:rsidR="006972D2" w:rsidRPr="006063CA">
        <w:rPr>
          <w:rFonts w:cs="Arial"/>
        </w:rPr>
        <w:t xml:space="preserve">anticipated </w:t>
      </w:r>
      <w:r w:rsidRPr="006063CA">
        <w:rPr>
          <w:rFonts w:cs="Arial"/>
        </w:rPr>
        <w:t>gas flows (versus the current RMTNTSEC auction). This will reduce the</w:t>
      </w:r>
      <w:r w:rsidR="00232BC6" w:rsidRPr="006063CA">
        <w:rPr>
          <w:rFonts w:cs="Arial"/>
        </w:rPr>
        <w:t xml:space="preserve"> </w:t>
      </w:r>
      <w:r w:rsidRPr="006063CA">
        <w:rPr>
          <w:rFonts w:cs="Arial"/>
        </w:rPr>
        <w:t>cost of acquiring</w:t>
      </w:r>
      <w:r w:rsidR="00232BC6" w:rsidRPr="006063CA">
        <w:rPr>
          <w:rFonts w:cs="Arial"/>
        </w:rPr>
        <w:t xml:space="preserve"> unwanted</w:t>
      </w:r>
      <w:r w:rsidRPr="006063CA">
        <w:rPr>
          <w:rFonts w:cs="Arial"/>
        </w:rPr>
        <w:t xml:space="preserve"> </w:t>
      </w:r>
      <w:r w:rsidR="006972D2" w:rsidRPr="006063CA">
        <w:rPr>
          <w:rFonts w:cs="Arial"/>
        </w:rPr>
        <w:t>NTS Entry C</w:t>
      </w:r>
      <w:r w:rsidRPr="006063CA">
        <w:rPr>
          <w:rFonts w:cs="Arial"/>
        </w:rPr>
        <w:t xml:space="preserve">apacity, especially for flexible assets (such as LNG </w:t>
      </w:r>
      <w:r w:rsidR="007B71E2" w:rsidRPr="006063CA">
        <w:rPr>
          <w:rFonts w:cs="Arial"/>
        </w:rPr>
        <w:t xml:space="preserve">terminals </w:t>
      </w:r>
      <w:r w:rsidRPr="006063CA">
        <w:rPr>
          <w:rFonts w:cs="Arial"/>
        </w:rPr>
        <w:t>and Storage</w:t>
      </w:r>
      <w:r w:rsidR="00614A23" w:rsidRPr="006063CA">
        <w:rPr>
          <w:rFonts w:cs="Arial"/>
        </w:rPr>
        <w:t>) and</w:t>
      </w:r>
      <w:r w:rsidR="00232BC6" w:rsidRPr="006063CA">
        <w:rPr>
          <w:rFonts w:cs="Arial"/>
        </w:rPr>
        <w:t xml:space="preserve"> provide security of supply benefits. </w:t>
      </w:r>
      <w:r w:rsidR="00B30626" w:rsidRPr="006063CA">
        <w:rPr>
          <w:rFonts w:cs="Arial"/>
        </w:rPr>
        <w:t xml:space="preserve">In turn, reducing the unit cost of supply at those </w:t>
      </w:r>
      <w:r w:rsidR="007B71E2" w:rsidRPr="006063CA">
        <w:rPr>
          <w:rFonts w:cs="Arial"/>
        </w:rPr>
        <w:t>E</w:t>
      </w:r>
      <w:r w:rsidR="00B30626" w:rsidRPr="006063CA">
        <w:rPr>
          <w:rFonts w:cs="Arial"/>
        </w:rPr>
        <w:t xml:space="preserve">ntry </w:t>
      </w:r>
      <w:r w:rsidR="007B71E2" w:rsidRPr="006063CA">
        <w:rPr>
          <w:rFonts w:cs="Arial"/>
        </w:rPr>
        <w:t>P</w:t>
      </w:r>
      <w:r w:rsidR="00B30626" w:rsidRPr="006063CA">
        <w:rPr>
          <w:rFonts w:cs="Arial"/>
        </w:rPr>
        <w:t xml:space="preserve">oints which are </w:t>
      </w:r>
      <w:r w:rsidR="00CD21B6" w:rsidRPr="006063CA">
        <w:rPr>
          <w:rFonts w:cs="Arial"/>
        </w:rPr>
        <w:t xml:space="preserve">currently purchasing monthly products will facilitate competition among </w:t>
      </w:r>
      <w:r w:rsidR="007B71E2" w:rsidRPr="006063CA">
        <w:rPr>
          <w:rFonts w:cs="Arial"/>
        </w:rPr>
        <w:t>S</w:t>
      </w:r>
      <w:r w:rsidR="00CD21B6" w:rsidRPr="006063CA">
        <w:rPr>
          <w:rFonts w:cs="Arial"/>
        </w:rPr>
        <w:t>hippers and potentially reduce the cost of gas</w:t>
      </w:r>
      <w:r w:rsidR="007B71E2" w:rsidRPr="006063CA">
        <w:rPr>
          <w:rFonts w:cs="Arial"/>
        </w:rPr>
        <w:t xml:space="preserve"> to consumers</w:t>
      </w:r>
      <w:r w:rsidR="00CD21B6" w:rsidRPr="006063CA">
        <w:rPr>
          <w:rFonts w:cs="Arial"/>
        </w:rPr>
        <w:t>.</w:t>
      </w:r>
      <w:r w:rsidR="00232BC6" w:rsidRPr="006063CA">
        <w:rPr>
          <w:rFonts w:cs="Arial"/>
        </w:rPr>
        <w:t xml:space="preserve"> The implementation of a Weekly NTS Entry Capacity product also </w:t>
      </w:r>
      <w:r w:rsidR="00B30626" w:rsidRPr="006063CA">
        <w:rPr>
          <w:rFonts w:cs="Arial"/>
        </w:rPr>
        <w:t>increase</w:t>
      </w:r>
      <w:r w:rsidR="00232BC6" w:rsidRPr="006063CA">
        <w:rPr>
          <w:rFonts w:cs="Arial"/>
        </w:rPr>
        <w:t xml:space="preserve"> the capacity available at DSEC</w:t>
      </w:r>
      <w:r w:rsidR="00B30626" w:rsidRPr="006063CA">
        <w:rPr>
          <w:rFonts w:cs="Arial"/>
        </w:rPr>
        <w:t>.</w:t>
      </w:r>
    </w:p>
    <w:p w14:paraId="26F32719" w14:textId="66541FDE" w:rsidR="00977608" w:rsidRPr="00977608" w:rsidRDefault="00977608" w:rsidP="00977608">
      <w:pPr>
        <w:jc w:val="both"/>
        <w:rPr>
          <w:rFonts w:cs="Arial"/>
          <w:u w:val="single"/>
        </w:rPr>
      </w:pPr>
      <w:r w:rsidRPr="00977608">
        <w:rPr>
          <w:rFonts w:cs="Arial"/>
          <w:u w:val="single"/>
        </w:rPr>
        <w:t xml:space="preserve">Workgroup </w:t>
      </w:r>
      <w:r w:rsidRPr="00977608">
        <w:rPr>
          <w:rFonts w:cs="Arial"/>
          <w:u w:val="single"/>
        </w:rPr>
        <w:t>Consideration of Relevant Objectives</w:t>
      </w:r>
    </w:p>
    <w:p w14:paraId="17EF2CBF" w14:textId="77777777" w:rsidR="00977608" w:rsidRPr="007B556F" w:rsidRDefault="00977608" w:rsidP="00977608">
      <w:pPr>
        <w:jc w:val="both"/>
        <w:rPr>
          <w:rFonts w:cs="Arial"/>
          <w:b/>
          <w:bCs/>
        </w:rPr>
      </w:pPr>
      <w:r w:rsidRPr="007B556F">
        <w:rPr>
          <w:rFonts w:cs="Arial"/>
          <w:b/>
          <w:bCs/>
        </w:rPr>
        <w:t>Relevant Objective a)</w:t>
      </w:r>
    </w:p>
    <w:p w14:paraId="4D945887" w14:textId="77777777" w:rsidR="00977608" w:rsidRPr="00977608" w:rsidRDefault="00977608" w:rsidP="00977608">
      <w:pPr>
        <w:jc w:val="both"/>
        <w:rPr>
          <w:rFonts w:cs="Arial"/>
        </w:rPr>
      </w:pPr>
      <w:r w:rsidRPr="00977608">
        <w:rPr>
          <w:rFonts w:cs="Arial"/>
        </w:rPr>
        <w:t xml:space="preserve">Several Workgroup Participants agreed with the Proposer. </w:t>
      </w:r>
    </w:p>
    <w:p w14:paraId="4F151546" w14:textId="77777777" w:rsidR="00977608" w:rsidRPr="00977608" w:rsidRDefault="00977608" w:rsidP="00977608">
      <w:pPr>
        <w:jc w:val="both"/>
        <w:rPr>
          <w:rFonts w:cs="Arial"/>
        </w:rPr>
      </w:pPr>
      <w:r w:rsidRPr="00977608">
        <w:rPr>
          <w:rFonts w:cs="Arial"/>
        </w:rPr>
        <w:t>Other Workgroup Participants voiced concern in terms of a negative impact on Relevant Objective a).</w:t>
      </w:r>
    </w:p>
    <w:p w14:paraId="3D4AD813" w14:textId="77777777" w:rsidR="00977608" w:rsidRPr="007B556F" w:rsidRDefault="00977608" w:rsidP="00977608">
      <w:pPr>
        <w:jc w:val="both"/>
        <w:rPr>
          <w:rFonts w:cs="Arial"/>
          <w:b/>
          <w:bCs/>
        </w:rPr>
      </w:pPr>
      <w:r w:rsidRPr="007B556F">
        <w:rPr>
          <w:rFonts w:cs="Arial"/>
          <w:b/>
          <w:bCs/>
        </w:rPr>
        <w:t>Relevant Objective d)</w:t>
      </w:r>
    </w:p>
    <w:p w14:paraId="4C53DA67" w14:textId="77777777" w:rsidR="00977608" w:rsidRPr="00977608" w:rsidRDefault="00977608" w:rsidP="00977608">
      <w:pPr>
        <w:jc w:val="both"/>
        <w:rPr>
          <w:rFonts w:cs="Arial"/>
        </w:rPr>
      </w:pPr>
      <w:r w:rsidRPr="00977608">
        <w:rPr>
          <w:rFonts w:cs="Arial"/>
        </w:rPr>
        <w:t xml:space="preserve">A Workgroup Participant noted that with some bookings moving away from quarterly capacity bookings to weekly bookings, this Modification may reduce the amount of Interruptible capacity available (through the effect on UIOLI - an anti-hoarding mechanism). With the interruptible discount this means that there could be less capacity available at this discounted rate. </w:t>
      </w:r>
      <w:r w:rsidRPr="007B556F">
        <w:rPr>
          <w:rFonts w:cs="Arial"/>
          <w:highlight w:val="yellow"/>
        </w:rPr>
        <w:t>(Jen Randall may send additional/alternative words) Effect on Relevant Objective d)? (is this a general comment rather than under ROs?)</w:t>
      </w:r>
    </w:p>
    <w:p w14:paraId="47EE89A5" w14:textId="77777777" w:rsidR="00977608" w:rsidRPr="00977608" w:rsidRDefault="00977608" w:rsidP="00977608">
      <w:pPr>
        <w:jc w:val="both"/>
        <w:rPr>
          <w:rFonts w:cs="Arial"/>
        </w:rPr>
      </w:pPr>
      <w:r w:rsidRPr="00977608">
        <w:rPr>
          <w:rFonts w:cs="Arial"/>
        </w:rPr>
        <w:t xml:space="preserve">Another Workgroup participant believed that the effect on Interruptible capacity above is largely irrelevant, noting that moving to more firm bookings is positive overall for Relevant Objective d). A move to more profiled bookings is a positive step away from potential hoarding. </w:t>
      </w:r>
    </w:p>
    <w:p w14:paraId="25234BD2" w14:textId="5B64D182" w:rsidR="00977608" w:rsidRPr="00977608" w:rsidRDefault="00977608" w:rsidP="00977608">
      <w:pPr>
        <w:jc w:val="both"/>
        <w:rPr>
          <w:rFonts w:cs="Arial"/>
        </w:rPr>
      </w:pPr>
      <w:r w:rsidRPr="00977608">
        <w:rPr>
          <w:rFonts w:cs="Arial"/>
        </w:rPr>
        <w:t>A Workgroup Participant noted that the changes may impact revenue to National Grid which could have an impact on competition (Relevant Objective d)</w:t>
      </w:r>
      <w:r w:rsidR="007B556F">
        <w:rPr>
          <w:rFonts w:cs="Arial"/>
        </w:rPr>
        <w:t>.</w:t>
      </w:r>
    </w:p>
    <w:p w14:paraId="562078B3" w14:textId="77777777" w:rsidR="00977608" w:rsidRPr="00977608" w:rsidRDefault="00977608" w:rsidP="00977608">
      <w:pPr>
        <w:jc w:val="both"/>
        <w:rPr>
          <w:rFonts w:cs="Arial"/>
        </w:rPr>
      </w:pPr>
      <w:r w:rsidRPr="00977608">
        <w:rPr>
          <w:rFonts w:cs="Arial"/>
        </w:rPr>
        <w:t>The Proposer responded that the behavioural changes to bookings are difficult to predict and there could be increases or decreases in revenue associated with this. The Modification is looking to ensure Users can book at a level which better reflects their actual requirements.</w:t>
      </w:r>
    </w:p>
    <w:p w14:paraId="71A1CB85" w14:textId="77777777" w:rsidR="00977608" w:rsidRPr="00DA270B" w:rsidRDefault="00977608" w:rsidP="00977608">
      <w:pPr>
        <w:jc w:val="both"/>
        <w:rPr>
          <w:rFonts w:cs="Arial"/>
        </w:rPr>
      </w:pPr>
    </w:p>
    <w:p w14:paraId="36DFF1CE" w14:textId="77777777" w:rsidR="00450385" w:rsidRPr="00CA74C4" w:rsidRDefault="00C31A20" w:rsidP="00C20DD9">
      <w:pPr>
        <w:pStyle w:val="Heading02"/>
        <w:rPr>
          <w:noProof/>
        </w:rPr>
      </w:pPr>
      <w:bookmarkStart w:id="14" w:name="_Toc318966124"/>
      <w:r w:rsidRPr="00CA74C4">
        <w:rPr>
          <w:noProof/>
        </w:rPr>
        <w:t>Imple</w:t>
      </w:r>
      <w:r w:rsidR="00461C2F" w:rsidRPr="00CA74C4">
        <w:rPr>
          <w:noProof/>
        </w:rPr>
        <w:t>me</w:t>
      </w:r>
      <w:r w:rsidRPr="00CA74C4">
        <w:rPr>
          <w:noProof/>
        </w:rPr>
        <w:t>ntation</w:t>
      </w:r>
      <w:bookmarkEnd w:id="14"/>
    </w:p>
    <w:p w14:paraId="484C344B" w14:textId="77777777" w:rsidR="00F50A5A" w:rsidRPr="00CA74C4" w:rsidRDefault="00F50A5A" w:rsidP="00C83D64">
      <w:pPr>
        <w:jc w:val="both"/>
        <w:rPr>
          <w:rFonts w:cs="Arial"/>
        </w:rPr>
      </w:pPr>
      <w:r w:rsidRPr="00CA74C4">
        <w:rPr>
          <w:rFonts w:cs="Arial"/>
        </w:rPr>
        <w:t xml:space="preserve">As self-governance procedures are proposed, implementation could be sixteen business days after a Modification Panel decision to implement, </w:t>
      </w:r>
      <w:r w:rsidRPr="00CA74C4">
        <w:rPr>
          <w:rFonts w:cs="Arial"/>
          <w:lang w:val="en-US"/>
        </w:rPr>
        <w:t>subject to no Appeal being raised.</w:t>
      </w:r>
    </w:p>
    <w:p w14:paraId="2E7EED86" w14:textId="77777777" w:rsidR="00F007A0" w:rsidRPr="00CA74C4" w:rsidRDefault="00F007A0" w:rsidP="00C20DD9">
      <w:pPr>
        <w:pStyle w:val="Heading02"/>
      </w:pPr>
      <w:bookmarkStart w:id="15" w:name="_Toc156882583"/>
      <w:bookmarkStart w:id="16" w:name="_Toc163008071"/>
      <w:bookmarkStart w:id="17" w:name="_Toc318966125"/>
      <w:r w:rsidRPr="00CA74C4">
        <w:t>Legal Text</w:t>
      </w:r>
      <w:bookmarkEnd w:id="15"/>
      <w:bookmarkEnd w:id="16"/>
      <w:bookmarkEnd w:id="17"/>
    </w:p>
    <w:p w14:paraId="566B0412"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bookmarkStart w:id="18" w:name="_Toc318966126"/>
      <w:r w:rsidRPr="00CA74C4">
        <w:rPr>
          <w:rFonts w:ascii="Arial" w:eastAsia="Times New Roman" w:hAnsi="Arial" w:cs="Arial"/>
          <w:i w:val="0"/>
          <w:iCs w:val="0"/>
          <w:color w:val="008576"/>
          <w:sz w:val="24"/>
          <w:szCs w:val="28"/>
        </w:rPr>
        <w:t>Text Commentary</w:t>
      </w:r>
    </w:p>
    <w:p w14:paraId="628810EF" w14:textId="77777777" w:rsidR="006D765D" w:rsidRPr="00CA74C4" w:rsidRDefault="00E1494E" w:rsidP="006D765D">
      <w:pPr>
        <w:rPr>
          <w:rFonts w:cs="Arial"/>
        </w:rPr>
      </w:pPr>
      <w:r>
        <w:rPr>
          <w:rFonts w:cs="Arial"/>
        </w:rPr>
        <w:t>To be provided by Transporters.</w:t>
      </w:r>
    </w:p>
    <w:p w14:paraId="18FE9E55"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7B0CDFDE" w14:textId="77777777" w:rsidR="006D765D" w:rsidRPr="00CA74C4" w:rsidRDefault="00E1494E" w:rsidP="006D765D">
      <w:pPr>
        <w:rPr>
          <w:rFonts w:cs="Arial"/>
        </w:rPr>
      </w:pPr>
      <w:r>
        <w:rPr>
          <w:rFonts w:cs="Arial"/>
        </w:rPr>
        <w:t>To be provided by Transporters.</w:t>
      </w:r>
    </w:p>
    <w:p w14:paraId="37F5424F" w14:textId="77777777" w:rsidR="00F73FD6" w:rsidRPr="00CA74C4" w:rsidRDefault="00A00B4A" w:rsidP="00C20DD9">
      <w:pPr>
        <w:pStyle w:val="Heading02"/>
      </w:pPr>
      <w:r w:rsidRPr="00CA74C4">
        <w:t>Recommendation</w:t>
      </w:r>
      <w:r w:rsidR="006D75CD" w:rsidRPr="00CA74C4">
        <w:t>s</w:t>
      </w:r>
      <w:bookmarkEnd w:id="18"/>
      <w:r w:rsidRPr="00CA74C4">
        <w:t xml:space="preserve"> </w:t>
      </w:r>
    </w:p>
    <w:p w14:paraId="203660B3" w14:textId="77777777" w:rsidR="00C20DD9" w:rsidRPr="00EB32BB" w:rsidRDefault="00C20DD9" w:rsidP="00C20DD9">
      <w:pPr>
        <w:pStyle w:val="Heading4"/>
        <w:keepLines w:val="0"/>
        <w:numPr>
          <w:ilvl w:val="0"/>
          <w:numId w:val="0"/>
        </w:numPr>
        <w:spacing w:before="240"/>
        <w:rPr>
          <w:rFonts w:ascii="Arial" w:eastAsia="Times New Roman" w:hAnsi="Arial" w:cs="Arial"/>
          <w:i w:val="0"/>
          <w:iCs w:val="0"/>
          <w:color w:val="008576"/>
          <w:sz w:val="24"/>
          <w:szCs w:val="28"/>
        </w:rPr>
      </w:pPr>
      <w:bookmarkStart w:id="19" w:name="_Hlk534356616"/>
      <w:bookmarkStart w:id="20" w:name="_Hlk13755684"/>
      <w:r>
        <w:rPr>
          <w:rFonts w:ascii="Arial" w:eastAsia="Times New Roman" w:hAnsi="Arial" w:cs="Arial"/>
          <w:i w:val="0"/>
          <w:iCs w:val="0"/>
          <w:color w:val="008576"/>
          <w:sz w:val="24"/>
          <w:szCs w:val="28"/>
        </w:rPr>
        <w:t>Workgroup’s Recommendation to Panel</w:t>
      </w:r>
    </w:p>
    <w:p w14:paraId="61286813" w14:textId="77777777" w:rsidR="00C20DD9" w:rsidRPr="006722A0" w:rsidRDefault="00C20DD9" w:rsidP="00C20DD9">
      <w:pPr>
        <w:rPr>
          <w:highlight w:val="yellow"/>
        </w:rPr>
      </w:pPr>
      <w:r w:rsidRPr="006722A0">
        <w:rPr>
          <w:highlight w:val="yellow"/>
        </w:rPr>
        <w:t>The Workgroup asks Panel to agree that:</w:t>
      </w:r>
    </w:p>
    <w:p w14:paraId="662D91D1" w14:textId="5CC41995" w:rsidR="00C20DD9" w:rsidRPr="006722A0" w:rsidRDefault="00C20DD9" w:rsidP="00C20DD9">
      <w:pPr>
        <w:pStyle w:val="ListBullet2"/>
        <w:rPr>
          <w:highlight w:val="yellow"/>
        </w:rPr>
      </w:pPr>
      <w:r w:rsidRPr="006722A0">
        <w:rPr>
          <w:highlight w:val="yellow"/>
        </w:rPr>
        <w:t>This modification should proceed to consultation.</w:t>
      </w:r>
    </w:p>
    <w:p w14:paraId="7D3FF4DC" w14:textId="77777777" w:rsidR="00C20DD9" w:rsidRPr="006722A0" w:rsidRDefault="00C20DD9" w:rsidP="00C20DD9">
      <w:pPr>
        <w:pStyle w:val="ListBullet2"/>
        <w:rPr>
          <w:highlight w:val="yellow"/>
        </w:rPr>
      </w:pPr>
      <w:r w:rsidRPr="006722A0">
        <w:rPr>
          <w:highlight w:val="yellow"/>
        </w:rPr>
        <w:t>This proposal requires further assessment and should be returned to Workgroup.</w:t>
      </w:r>
    </w:p>
    <w:bookmarkEnd w:id="19"/>
    <w:bookmarkEnd w:id="20"/>
    <w:p w14:paraId="708ABC92" w14:textId="2CF077F3" w:rsidR="00D22CEB" w:rsidRPr="007008A3" w:rsidRDefault="00D22CEB" w:rsidP="00C20DD9">
      <w:pPr>
        <w:pStyle w:val="Heading4"/>
        <w:keepLines w:val="0"/>
        <w:numPr>
          <w:ilvl w:val="0"/>
          <w:numId w:val="0"/>
        </w:numPr>
        <w:spacing w:before="240"/>
        <w:rPr>
          <w:rFonts w:cs="Arial"/>
        </w:rPr>
      </w:pPr>
    </w:p>
    <w:sectPr w:rsidR="00D22CEB" w:rsidRPr="007008A3" w:rsidSect="003261A6">
      <w:headerReference w:type="default" r:id="rId38"/>
      <w:footerReference w:type="default" r:id="rId39"/>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Rebecca Hailes" w:date="2021-03-30T14:26:00Z" w:initials="RH">
    <w:p w14:paraId="09DE7509" w14:textId="288FF36C" w:rsidR="00520903" w:rsidRDefault="00520903">
      <w:pPr>
        <w:pStyle w:val="CommentText"/>
      </w:pPr>
      <w:r>
        <w:rPr>
          <w:rStyle w:val="CommentReference"/>
        </w:rPr>
        <w:annotationRef/>
      </w:r>
      <w:r>
        <w:t>Updated with v3.0 of Modification 26/3/21</w:t>
      </w:r>
    </w:p>
  </w:comment>
  <w:comment w:id="10" w:author="Rebecca Hailes" w:date="2021-03-30T14:09:00Z" w:initials="RH">
    <w:p w14:paraId="4CCEAD36" w14:textId="5A35E06A" w:rsidR="00977608" w:rsidRDefault="00977608">
      <w:pPr>
        <w:pStyle w:val="CommentText"/>
      </w:pPr>
      <w:r>
        <w:rPr>
          <w:rStyle w:val="CommentReference"/>
        </w:rPr>
        <w:annotationRef/>
      </w:r>
      <w:r>
        <w:t>Seek Proposer/WG update on 01 April 2021</w:t>
      </w:r>
    </w:p>
  </w:comment>
  <w:comment w:id="11" w:author="Rebecca Hailes" w:date="2021-03-30T14:10:00Z" w:initials="RH">
    <w:p w14:paraId="76FBBEA5" w14:textId="7B57A174" w:rsidR="00977608" w:rsidRDefault="00977608">
      <w:pPr>
        <w:pStyle w:val="CommentText"/>
      </w:pPr>
      <w:r>
        <w:rPr>
          <w:rStyle w:val="CommentReference"/>
        </w:rPr>
        <w:annotationRef/>
      </w:r>
      <w:r>
        <w:t xml:space="preserve">Seek </w:t>
      </w:r>
      <w:r>
        <w:t>Proposer/</w:t>
      </w:r>
      <w:r>
        <w:t>WG</w:t>
      </w:r>
      <w:r>
        <w:t>/Xoserve</w:t>
      </w:r>
      <w:r>
        <w:t xml:space="preserve"> update on 01 April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DE7509" w15:done="0"/>
  <w15:commentEx w15:paraId="4CCEAD36" w15:done="0"/>
  <w15:commentEx w15:paraId="76FBBE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B3B2" w16cex:dateUtc="2021-03-30T13:26:00Z"/>
  <w16cex:commentExtensible w16cex:durableId="240DAFAC" w16cex:dateUtc="2021-03-30T13:09:00Z"/>
  <w16cex:commentExtensible w16cex:durableId="240DAFC2" w16cex:dateUtc="2021-03-30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E7509" w16cid:durableId="240DB3B2"/>
  <w16cid:commentId w16cid:paraId="4CCEAD36" w16cid:durableId="240DAFAC"/>
  <w16cid:commentId w16cid:paraId="76FBBEA5" w16cid:durableId="240DAF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1CE7" w14:textId="77777777" w:rsidR="00C32F1C" w:rsidRDefault="00C32F1C">
      <w:pPr>
        <w:spacing w:line="240" w:lineRule="auto"/>
      </w:pPr>
      <w:r>
        <w:separator/>
      </w:r>
    </w:p>
    <w:p w14:paraId="3405C028" w14:textId="77777777" w:rsidR="00C32F1C" w:rsidRDefault="00C32F1C"/>
  </w:endnote>
  <w:endnote w:type="continuationSeparator" w:id="0">
    <w:p w14:paraId="12251EC2" w14:textId="77777777" w:rsidR="00C32F1C" w:rsidRDefault="00C32F1C">
      <w:pPr>
        <w:spacing w:line="240" w:lineRule="auto"/>
      </w:pPr>
      <w:r>
        <w:continuationSeparator/>
      </w:r>
    </w:p>
    <w:p w14:paraId="3519BB3D" w14:textId="77777777" w:rsidR="00C32F1C" w:rsidRDefault="00C32F1C"/>
  </w:endnote>
  <w:endnote w:type="continuationNotice" w:id="1">
    <w:p w14:paraId="6A181525" w14:textId="77777777" w:rsidR="00C32F1C" w:rsidRDefault="00C32F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DEAD" w14:textId="65BBC89D" w:rsidR="00547AD0" w:rsidRDefault="00547AD0"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7008A3">
      <w:rPr>
        <w:rFonts w:cs="Arial"/>
        <w:sz w:val="16"/>
        <w:szCs w:val="16"/>
      </w:rPr>
      <w:t>0752</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1</w:t>
    </w:r>
    <w:r w:rsidRPr="000660DF">
      <w:rPr>
        <w:rFonts w:cs="Arial"/>
        <w:sz w:val="16"/>
        <w:szCs w:val="16"/>
        <w:lang w:val="en-US"/>
      </w:rPr>
      <w:fldChar w:fldCharType="end"/>
    </w:r>
    <w:r>
      <w:rPr>
        <w:rFonts w:cs="Arial"/>
        <w:sz w:val="16"/>
        <w:szCs w:val="16"/>
        <w:lang w:val="en-US"/>
      </w:rPr>
      <w:tab/>
      <w:t xml:space="preserve">Version </w:t>
    </w:r>
    <w:r w:rsidR="00F24456">
      <w:rPr>
        <w:rFonts w:cs="Arial"/>
        <w:sz w:val="16"/>
        <w:szCs w:val="16"/>
        <w:lang w:val="en-US"/>
      </w:rPr>
      <w:t>0.</w:t>
    </w:r>
    <w:r w:rsidR="00503102">
      <w:rPr>
        <w:rFonts w:cs="Arial"/>
        <w:sz w:val="16"/>
        <w:szCs w:val="16"/>
        <w:lang w:val="en-US"/>
      </w:rPr>
      <w:t>2</w:t>
    </w:r>
  </w:p>
  <w:p w14:paraId="033B7934" w14:textId="261D9C88" w:rsidR="00547AD0" w:rsidRPr="000660DF" w:rsidRDefault="00F24456"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547AD0">
      <w:rPr>
        <w:rFonts w:cs="Arial"/>
        <w:sz w:val="16"/>
        <w:szCs w:val="16"/>
        <w:lang w:val="en-US"/>
      </w:rPr>
      <w:tab/>
    </w:r>
    <w:r w:rsidR="00547AD0">
      <w:rPr>
        <w:rFonts w:cs="Arial"/>
        <w:sz w:val="16"/>
        <w:szCs w:val="16"/>
      </w:rPr>
      <w:tab/>
    </w:r>
    <w:r>
      <w:rPr>
        <w:rFonts w:cs="Arial"/>
        <w:sz w:val="16"/>
        <w:szCs w:val="16"/>
        <w:lang w:val="en-US"/>
      </w:rPr>
      <w:t>17</w:t>
    </w:r>
    <w:r w:rsidR="00305810">
      <w:rPr>
        <w:rFonts w:cs="Arial"/>
        <w:sz w:val="16"/>
        <w:szCs w:val="16"/>
        <w:lang w:val="en-US"/>
      </w:rPr>
      <w:t xml:space="preserve"> March</w:t>
    </w:r>
    <w:r w:rsidR="00547AD0">
      <w:rPr>
        <w:rFonts w:cs="Arial"/>
        <w:sz w:val="16"/>
        <w:szCs w:val="16"/>
        <w:lang w:val="en-US"/>
      </w:rPr>
      <w:t xml:space="preserve"> </w:t>
    </w:r>
    <w:r w:rsidR="008E27C4">
      <w:rPr>
        <w:rFonts w:cs="Arial"/>
        <w:sz w:val="16"/>
        <w:szCs w:val="16"/>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9108" w14:textId="77777777" w:rsidR="00C32F1C" w:rsidRDefault="00C32F1C">
      <w:pPr>
        <w:spacing w:line="240" w:lineRule="auto"/>
      </w:pPr>
      <w:r>
        <w:separator/>
      </w:r>
    </w:p>
    <w:p w14:paraId="2AC69003" w14:textId="77777777" w:rsidR="00C32F1C" w:rsidRDefault="00C32F1C"/>
  </w:footnote>
  <w:footnote w:type="continuationSeparator" w:id="0">
    <w:p w14:paraId="044B01BE" w14:textId="77777777" w:rsidR="00C32F1C" w:rsidRDefault="00C32F1C">
      <w:pPr>
        <w:spacing w:line="240" w:lineRule="auto"/>
      </w:pPr>
      <w:r>
        <w:continuationSeparator/>
      </w:r>
    </w:p>
    <w:p w14:paraId="4C8E9364" w14:textId="77777777" w:rsidR="00C32F1C" w:rsidRDefault="00C32F1C"/>
  </w:footnote>
  <w:footnote w:type="continuationNotice" w:id="1">
    <w:p w14:paraId="20109BF2" w14:textId="77777777" w:rsidR="00C32F1C" w:rsidRDefault="00C32F1C">
      <w:pPr>
        <w:spacing w:before="0" w:after="0" w:line="240" w:lineRule="auto"/>
      </w:pPr>
    </w:p>
  </w:footnote>
  <w:footnote w:id="2">
    <w:p w14:paraId="15711245" w14:textId="3716318F" w:rsidR="00547AD0" w:rsidRPr="007008A3" w:rsidRDefault="00547AD0" w:rsidP="009E7FAD">
      <w:pPr>
        <w:pStyle w:val="FootnoteText"/>
        <w:rPr>
          <w:sz w:val="18"/>
          <w:szCs w:val="18"/>
          <w:lang w:val="en-US"/>
        </w:rPr>
      </w:pPr>
      <w:r w:rsidRPr="007008A3">
        <w:rPr>
          <w:rStyle w:val="FootnoteReference"/>
          <w:sz w:val="18"/>
          <w:szCs w:val="18"/>
        </w:rPr>
        <w:footnoteRef/>
      </w:r>
      <w:r w:rsidRPr="007008A3">
        <w:rPr>
          <w:sz w:val="18"/>
          <w:szCs w:val="18"/>
        </w:rPr>
        <w:t xml:space="preserve"> </w:t>
      </w:r>
      <w:r w:rsidRPr="007008A3">
        <w:rPr>
          <w:sz w:val="18"/>
          <w:szCs w:val="18"/>
          <w:lang w:val="en-US"/>
        </w:rPr>
        <w:t xml:space="preserve">Where a Shipper’s flow exceeds their entry capacity </w:t>
      </w:r>
      <w:r w:rsidR="00305810" w:rsidRPr="007008A3">
        <w:rPr>
          <w:sz w:val="18"/>
          <w:szCs w:val="18"/>
          <w:lang w:val="en-US"/>
        </w:rPr>
        <w:t>entitlement,</w:t>
      </w:r>
      <w:r w:rsidRPr="007008A3">
        <w:rPr>
          <w:sz w:val="18"/>
          <w:szCs w:val="18"/>
          <w:lang w:val="en-US"/>
        </w:rPr>
        <w:t xml:space="preserve"> they will become subject to overrun charges as per UNC TPD Section B2.</w:t>
      </w:r>
      <w:r w:rsidR="00702A88" w:rsidRPr="007008A3">
        <w:rPr>
          <w:sz w:val="18"/>
          <w:szCs w:val="18"/>
          <w:lang w:val="en-US"/>
        </w:rPr>
        <w:t>1</w:t>
      </w:r>
      <w:r w:rsidRPr="007008A3">
        <w:rPr>
          <w:sz w:val="18"/>
          <w:szCs w:val="18"/>
          <w:lang w:val="en-US"/>
        </w:rPr>
        <w:t>2</w:t>
      </w:r>
    </w:p>
  </w:footnote>
  <w:footnote w:id="3">
    <w:p w14:paraId="2DD6A3D4" w14:textId="77777777" w:rsidR="00547AD0" w:rsidRPr="009E7FAD" w:rsidRDefault="00547AD0">
      <w:pPr>
        <w:pStyle w:val="FootnoteText"/>
        <w:rPr>
          <w:lang w:val="en-US"/>
        </w:rPr>
      </w:pPr>
      <w:r w:rsidRPr="007008A3">
        <w:rPr>
          <w:rStyle w:val="FootnoteReference"/>
          <w:sz w:val="18"/>
          <w:szCs w:val="18"/>
        </w:rPr>
        <w:footnoteRef/>
      </w:r>
      <w:r w:rsidRPr="007008A3">
        <w:rPr>
          <w:sz w:val="18"/>
          <w:szCs w:val="18"/>
        </w:rPr>
        <w:t xml:space="preserve"> </w:t>
      </w:r>
      <w:hyperlink r:id="rId1" w:history="1">
        <w:r w:rsidRPr="007008A3">
          <w:rPr>
            <w:rStyle w:val="Hyperlink"/>
            <w:sz w:val="18"/>
            <w:szCs w:val="18"/>
          </w:rPr>
          <w:t>https://www.gasgovernance.co.uk/0678</w:t>
        </w:r>
      </w:hyperlink>
      <w:r w:rsidRPr="007008A3">
        <w:rPr>
          <w:sz w:val="18"/>
          <w:szCs w:val="18"/>
        </w:rPr>
        <w:t xml:space="preserve"> </w:t>
      </w:r>
    </w:p>
  </w:footnote>
  <w:footnote w:id="4">
    <w:p w14:paraId="1E57CFCA" w14:textId="77777777" w:rsidR="00547AD0" w:rsidRPr="007E61EC" w:rsidRDefault="00547AD0" w:rsidP="007E61EC">
      <w:pPr>
        <w:pStyle w:val="FootnoteText"/>
        <w:rPr>
          <w:lang w:val="en-US"/>
        </w:rPr>
      </w:pPr>
      <w:r w:rsidRPr="007008A3">
        <w:rPr>
          <w:rStyle w:val="FootnoteReference"/>
          <w:sz w:val="18"/>
          <w:szCs w:val="18"/>
        </w:rPr>
        <w:footnoteRef/>
      </w:r>
      <w:r w:rsidRPr="007008A3">
        <w:rPr>
          <w:sz w:val="18"/>
          <w:szCs w:val="18"/>
        </w:rPr>
        <w:t xml:space="preserve"> </w:t>
      </w:r>
      <w:r w:rsidRPr="007008A3">
        <w:rPr>
          <w:sz w:val="18"/>
          <w:szCs w:val="18"/>
          <w:lang w:val="en-US"/>
        </w:rPr>
        <w:t>As per Paragraph 73 of the Entry Capacity Release Methodology</w:t>
      </w:r>
      <w:r w:rsidR="00D050B8" w:rsidRPr="007008A3">
        <w:rPr>
          <w:sz w:val="18"/>
          <w:szCs w:val="18"/>
          <w:lang w:val="en-US"/>
        </w:rPr>
        <w:t xml:space="preserve"> Statement</w:t>
      </w:r>
      <w:r w:rsidRPr="007008A3">
        <w:rPr>
          <w:sz w:val="18"/>
          <w:szCs w:val="18"/>
          <w:lang w:val="en-US"/>
        </w:rPr>
        <w:t xml:space="preserve">: </w:t>
      </w:r>
      <w:hyperlink r:id="rId2" w:history="1">
        <w:r w:rsidRPr="007008A3">
          <w:rPr>
            <w:rStyle w:val="Hyperlink"/>
            <w:sz w:val="18"/>
            <w:szCs w:val="18"/>
            <w:lang w:val="en-US"/>
          </w:rPr>
          <w:t>https://www.nationalgrid.com/uk/gas-transmission/document/128001/download</w:t>
        </w:r>
      </w:hyperlink>
      <w:r w:rsidRPr="007008A3">
        <w:rPr>
          <w:sz w:val="18"/>
          <w:szCs w:val="18"/>
          <w:lang w:val="en-US"/>
        </w:rPr>
        <w:t xml:space="preserve"> </w:t>
      </w:r>
    </w:p>
  </w:footnote>
  <w:footnote w:id="5">
    <w:p w14:paraId="7950A4BA" w14:textId="668857F2" w:rsidR="00977608" w:rsidRDefault="00977608">
      <w:pPr>
        <w:pStyle w:val="FootnoteText"/>
      </w:pPr>
      <w:r>
        <w:rPr>
          <w:rStyle w:val="FootnoteReference"/>
        </w:rPr>
        <w:footnoteRef/>
      </w:r>
      <w:r>
        <w:t xml:space="preserve"> </w:t>
      </w:r>
      <w:hyperlink r:id="rId3" w:history="1">
        <w:r w:rsidRPr="002E5F12">
          <w:rPr>
            <w:rStyle w:val="Hyperlink"/>
          </w:rPr>
          <w:t>https://eur-lex.europa.eu/legal-content/EN/TXT/?uri=CELEX%3A32017R0460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2EB5" w14:textId="3D834BB6" w:rsidR="00547AD0" w:rsidRDefault="00916138" w:rsidP="007C1163">
    <w:pPr>
      <w:pStyle w:val="Header"/>
      <w:tabs>
        <w:tab w:val="left" w:pos="2160"/>
      </w:tabs>
      <w:jc w:val="right"/>
    </w:pPr>
    <w:r>
      <w:rPr>
        <w:noProof/>
      </w:rPr>
      <w:drawing>
        <wp:anchor distT="0" distB="0" distL="114300" distR="114300" simplePos="0" relativeHeight="251657728" behindDoc="0" locked="0" layoutInCell="1" allowOverlap="1" wp14:anchorId="0732F816" wp14:editId="139E5DDB">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pic:spPr>
              </pic:pic>
            </a:graphicData>
          </a:graphic>
          <wp14:sizeRelH relativeFrom="margin">
            <wp14:pctWidth>0</wp14:pctWidth>
          </wp14:sizeRelH>
          <wp14:sizeRelV relativeFrom="margin">
            <wp14:pctHeight>0</wp14:pctHeight>
          </wp14:sizeRelV>
        </wp:anchor>
      </w:drawing>
    </w:r>
  </w:p>
  <w:p w14:paraId="72CBA3AD" w14:textId="77777777" w:rsidR="00547AD0" w:rsidRDefault="00547AD0"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580C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1EE5502"/>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B03DB5"/>
    <w:multiLevelType w:val="hybridMultilevel"/>
    <w:tmpl w:val="B7249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9" w15:restartNumberingAfterBreak="0">
    <w:nsid w:val="157C7AF2"/>
    <w:multiLevelType w:val="hybridMultilevel"/>
    <w:tmpl w:val="7C16D43A"/>
    <w:lvl w:ilvl="0" w:tplc="452AA9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04607"/>
    <w:multiLevelType w:val="hybridMultilevel"/>
    <w:tmpl w:val="F29E5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3271B"/>
    <w:multiLevelType w:val="hybridMultilevel"/>
    <w:tmpl w:val="D9A085BE"/>
    <w:lvl w:ilvl="0" w:tplc="71983F12">
      <w:start w:val="1"/>
      <w:numFmt w:val="bullet"/>
      <w:lvlText w:val="•"/>
      <w:lvlJc w:val="left"/>
      <w:pPr>
        <w:tabs>
          <w:tab w:val="num" w:pos="720"/>
        </w:tabs>
        <w:ind w:left="720" w:hanging="360"/>
      </w:pPr>
      <w:rPr>
        <w:rFonts w:ascii="Arial" w:hAnsi="Arial" w:hint="default"/>
      </w:rPr>
    </w:lvl>
    <w:lvl w:ilvl="1" w:tplc="0A909E6E" w:tentative="1">
      <w:start w:val="1"/>
      <w:numFmt w:val="bullet"/>
      <w:lvlText w:val="•"/>
      <w:lvlJc w:val="left"/>
      <w:pPr>
        <w:tabs>
          <w:tab w:val="num" w:pos="1440"/>
        </w:tabs>
        <w:ind w:left="1440" w:hanging="360"/>
      </w:pPr>
      <w:rPr>
        <w:rFonts w:ascii="Arial" w:hAnsi="Arial" w:hint="default"/>
      </w:rPr>
    </w:lvl>
    <w:lvl w:ilvl="2" w:tplc="5714F696" w:tentative="1">
      <w:start w:val="1"/>
      <w:numFmt w:val="bullet"/>
      <w:lvlText w:val="•"/>
      <w:lvlJc w:val="left"/>
      <w:pPr>
        <w:tabs>
          <w:tab w:val="num" w:pos="2160"/>
        </w:tabs>
        <w:ind w:left="2160" w:hanging="360"/>
      </w:pPr>
      <w:rPr>
        <w:rFonts w:ascii="Arial" w:hAnsi="Arial" w:hint="default"/>
      </w:rPr>
    </w:lvl>
    <w:lvl w:ilvl="3" w:tplc="64E2B332" w:tentative="1">
      <w:start w:val="1"/>
      <w:numFmt w:val="bullet"/>
      <w:lvlText w:val="•"/>
      <w:lvlJc w:val="left"/>
      <w:pPr>
        <w:tabs>
          <w:tab w:val="num" w:pos="2880"/>
        </w:tabs>
        <w:ind w:left="2880" w:hanging="360"/>
      </w:pPr>
      <w:rPr>
        <w:rFonts w:ascii="Arial" w:hAnsi="Arial" w:hint="default"/>
      </w:rPr>
    </w:lvl>
    <w:lvl w:ilvl="4" w:tplc="1F988F18" w:tentative="1">
      <w:start w:val="1"/>
      <w:numFmt w:val="bullet"/>
      <w:lvlText w:val="•"/>
      <w:lvlJc w:val="left"/>
      <w:pPr>
        <w:tabs>
          <w:tab w:val="num" w:pos="3600"/>
        </w:tabs>
        <w:ind w:left="3600" w:hanging="360"/>
      </w:pPr>
      <w:rPr>
        <w:rFonts w:ascii="Arial" w:hAnsi="Arial" w:hint="default"/>
      </w:rPr>
    </w:lvl>
    <w:lvl w:ilvl="5" w:tplc="FA1EF14A" w:tentative="1">
      <w:start w:val="1"/>
      <w:numFmt w:val="bullet"/>
      <w:lvlText w:val="•"/>
      <w:lvlJc w:val="left"/>
      <w:pPr>
        <w:tabs>
          <w:tab w:val="num" w:pos="4320"/>
        </w:tabs>
        <w:ind w:left="4320" w:hanging="360"/>
      </w:pPr>
      <w:rPr>
        <w:rFonts w:ascii="Arial" w:hAnsi="Arial" w:hint="default"/>
      </w:rPr>
    </w:lvl>
    <w:lvl w:ilvl="6" w:tplc="52C6E400" w:tentative="1">
      <w:start w:val="1"/>
      <w:numFmt w:val="bullet"/>
      <w:lvlText w:val="•"/>
      <w:lvlJc w:val="left"/>
      <w:pPr>
        <w:tabs>
          <w:tab w:val="num" w:pos="5040"/>
        </w:tabs>
        <w:ind w:left="5040" w:hanging="360"/>
      </w:pPr>
      <w:rPr>
        <w:rFonts w:ascii="Arial" w:hAnsi="Arial" w:hint="default"/>
      </w:rPr>
    </w:lvl>
    <w:lvl w:ilvl="7" w:tplc="6944ADAE" w:tentative="1">
      <w:start w:val="1"/>
      <w:numFmt w:val="bullet"/>
      <w:lvlText w:val="•"/>
      <w:lvlJc w:val="left"/>
      <w:pPr>
        <w:tabs>
          <w:tab w:val="num" w:pos="5760"/>
        </w:tabs>
        <w:ind w:left="5760" w:hanging="360"/>
      </w:pPr>
      <w:rPr>
        <w:rFonts w:ascii="Arial" w:hAnsi="Arial" w:hint="default"/>
      </w:rPr>
    </w:lvl>
    <w:lvl w:ilvl="8" w:tplc="78CCC0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80489"/>
    <w:multiLevelType w:val="hybridMultilevel"/>
    <w:tmpl w:val="7542D548"/>
    <w:lvl w:ilvl="0" w:tplc="D2C08A7C">
      <w:start w:val="1"/>
      <w:numFmt w:val="bullet"/>
      <w:lvlText w:val="•"/>
      <w:lvlJc w:val="left"/>
      <w:pPr>
        <w:tabs>
          <w:tab w:val="num" w:pos="720"/>
        </w:tabs>
        <w:ind w:left="720" w:hanging="360"/>
      </w:pPr>
      <w:rPr>
        <w:rFonts w:ascii="Arial" w:hAnsi="Arial" w:hint="default"/>
      </w:rPr>
    </w:lvl>
    <w:lvl w:ilvl="1" w:tplc="1FC666A2" w:tentative="1">
      <w:start w:val="1"/>
      <w:numFmt w:val="bullet"/>
      <w:lvlText w:val="•"/>
      <w:lvlJc w:val="left"/>
      <w:pPr>
        <w:tabs>
          <w:tab w:val="num" w:pos="1440"/>
        </w:tabs>
        <w:ind w:left="1440" w:hanging="360"/>
      </w:pPr>
      <w:rPr>
        <w:rFonts w:ascii="Arial" w:hAnsi="Arial" w:hint="default"/>
      </w:rPr>
    </w:lvl>
    <w:lvl w:ilvl="2" w:tplc="B6185CCC" w:tentative="1">
      <w:start w:val="1"/>
      <w:numFmt w:val="bullet"/>
      <w:lvlText w:val="•"/>
      <w:lvlJc w:val="left"/>
      <w:pPr>
        <w:tabs>
          <w:tab w:val="num" w:pos="2160"/>
        </w:tabs>
        <w:ind w:left="2160" w:hanging="360"/>
      </w:pPr>
      <w:rPr>
        <w:rFonts w:ascii="Arial" w:hAnsi="Arial" w:hint="default"/>
      </w:rPr>
    </w:lvl>
    <w:lvl w:ilvl="3" w:tplc="6F7C84D6" w:tentative="1">
      <w:start w:val="1"/>
      <w:numFmt w:val="bullet"/>
      <w:lvlText w:val="•"/>
      <w:lvlJc w:val="left"/>
      <w:pPr>
        <w:tabs>
          <w:tab w:val="num" w:pos="2880"/>
        </w:tabs>
        <w:ind w:left="2880" w:hanging="360"/>
      </w:pPr>
      <w:rPr>
        <w:rFonts w:ascii="Arial" w:hAnsi="Arial" w:hint="default"/>
      </w:rPr>
    </w:lvl>
    <w:lvl w:ilvl="4" w:tplc="6624DD42" w:tentative="1">
      <w:start w:val="1"/>
      <w:numFmt w:val="bullet"/>
      <w:lvlText w:val="•"/>
      <w:lvlJc w:val="left"/>
      <w:pPr>
        <w:tabs>
          <w:tab w:val="num" w:pos="3600"/>
        </w:tabs>
        <w:ind w:left="3600" w:hanging="360"/>
      </w:pPr>
      <w:rPr>
        <w:rFonts w:ascii="Arial" w:hAnsi="Arial" w:hint="default"/>
      </w:rPr>
    </w:lvl>
    <w:lvl w:ilvl="5" w:tplc="B1E8C27C" w:tentative="1">
      <w:start w:val="1"/>
      <w:numFmt w:val="bullet"/>
      <w:lvlText w:val="•"/>
      <w:lvlJc w:val="left"/>
      <w:pPr>
        <w:tabs>
          <w:tab w:val="num" w:pos="4320"/>
        </w:tabs>
        <w:ind w:left="4320" w:hanging="360"/>
      </w:pPr>
      <w:rPr>
        <w:rFonts w:ascii="Arial" w:hAnsi="Arial" w:hint="default"/>
      </w:rPr>
    </w:lvl>
    <w:lvl w:ilvl="6" w:tplc="B28672EA" w:tentative="1">
      <w:start w:val="1"/>
      <w:numFmt w:val="bullet"/>
      <w:lvlText w:val="•"/>
      <w:lvlJc w:val="left"/>
      <w:pPr>
        <w:tabs>
          <w:tab w:val="num" w:pos="5040"/>
        </w:tabs>
        <w:ind w:left="5040" w:hanging="360"/>
      </w:pPr>
      <w:rPr>
        <w:rFonts w:ascii="Arial" w:hAnsi="Arial" w:hint="default"/>
      </w:rPr>
    </w:lvl>
    <w:lvl w:ilvl="7" w:tplc="D4DA4DF6" w:tentative="1">
      <w:start w:val="1"/>
      <w:numFmt w:val="bullet"/>
      <w:lvlText w:val="•"/>
      <w:lvlJc w:val="left"/>
      <w:pPr>
        <w:tabs>
          <w:tab w:val="num" w:pos="5760"/>
        </w:tabs>
        <w:ind w:left="5760" w:hanging="360"/>
      </w:pPr>
      <w:rPr>
        <w:rFonts w:ascii="Arial" w:hAnsi="Arial" w:hint="default"/>
      </w:rPr>
    </w:lvl>
    <w:lvl w:ilvl="8" w:tplc="68E46C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203542"/>
    <w:multiLevelType w:val="hybridMultilevel"/>
    <w:tmpl w:val="1728C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27FF4"/>
    <w:multiLevelType w:val="hybridMultilevel"/>
    <w:tmpl w:val="373C8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317EF"/>
    <w:multiLevelType w:val="hybridMultilevel"/>
    <w:tmpl w:val="A69AD0AC"/>
    <w:lvl w:ilvl="0" w:tplc="F210113A">
      <w:start w:val="1"/>
      <w:numFmt w:val="bullet"/>
      <w:lvlText w:val="•"/>
      <w:lvlJc w:val="left"/>
      <w:pPr>
        <w:tabs>
          <w:tab w:val="num" w:pos="720"/>
        </w:tabs>
        <w:ind w:left="720" w:hanging="360"/>
      </w:pPr>
      <w:rPr>
        <w:rFonts w:ascii="Arial" w:hAnsi="Arial" w:hint="default"/>
      </w:rPr>
    </w:lvl>
    <w:lvl w:ilvl="1" w:tplc="4618798C" w:tentative="1">
      <w:start w:val="1"/>
      <w:numFmt w:val="bullet"/>
      <w:lvlText w:val="•"/>
      <w:lvlJc w:val="left"/>
      <w:pPr>
        <w:tabs>
          <w:tab w:val="num" w:pos="1440"/>
        </w:tabs>
        <w:ind w:left="1440" w:hanging="360"/>
      </w:pPr>
      <w:rPr>
        <w:rFonts w:ascii="Arial" w:hAnsi="Arial" w:hint="default"/>
      </w:rPr>
    </w:lvl>
    <w:lvl w:ilvl="2" w:tplc="69FA355C" w:tentative="1">
      <w:start w:val="1"/>
      <w:numFmt w:val="bullet"/>
      <w:lvlText w:val="•"/>
      <w:lvlJc w:val="left"/>
      <w:pPr>
        <w:tabs>
          <w:tab w:val="num" w:pos="2160"/>
        </w:tabs>
        <w:ind w:left="2160" w:hanging="360"/>
      </w:pPr>
      <w:rPr>
        <w:rFonts w:ascii="Arial" w:hAnsi="Arial" w:hint="default"/>
      </w:rPr>
    </w:lvl>
    <w:lvl w:ilvl="3" w:tplc="5C3251E4" w:tentative="1">
      <w:start w:val="1"/>
      <w:numFmt w:val="bullet"/>
      <w:lvlText w:val="•"/>
      <w:lvlJc w:val="left"/>
      <w:pPr>
        <w:tabs>
          <w:tab w:val="num" w:pos="2880"/>
        </w:tabs>
        <w:ind w:left="2880" w:hanging="360"/>
      </w:pPr>
      <w:rPr>
        <w:rFonts w:ascii="Arial" w:hAnsi="Arial" w:hint="default"/>
      </w:rPr>
    </w:lvl>
    <w:lvl w:ilvl="4" w:tplc="2F704D04" w:tentative="1">
      <w:start w:val="1"/>
      <w:numFmt w:val="bullet"/>
      <w:lvlText w:val="•"/>
      <w:lvlJc w:val="left"/>
      <w:pPr>
        <w:tabs>
          <w:tab w:val="num" w:pos="3600"/>
        </w:tabs>
        <w:ind w:left="3600" w:hanging="360"/>
      </w:pPr>
      <w:rPr>
        <w:rFonts w:ascii="Arial" w:hAnsi="Arial" w:hint="default"/>
      </w:rPr>
    </w:lvl>
    <w:lvl w:ilvl="5" w:tplc="1F789BFC" w:tentative="1">
      <w:start w:val="1"/>
      <w:numFmt w:val="bullet"/>
      <w:lvlText w:val="•"/>
      <w:lvlJc w:val="left"/>
      <w:pPr>
        <w:tabs>
          <w:tab w:val="num" w:pos="4320"/>
        </w:tabs>
        <w:ind w:left="4320" w:hanging="360"/>
      </w:pPr>
      <w:rPr>
        <w:rFonts w:ascii="Arial" w:hAnsi="Arial" w:hint="default"/>
      </w:rPr>
    </w:lvl>
    <w:lvl w:ilvl="6" w:tplc="849239E4" w:tentative="1">
      <w:start w:val="1"/>
      <w:numFmt w:val="bullet"/>
      <w:lvlText w:val="•"/>
      <w:lvlJc w:val="left"/>
      <w:pPr>
        <w:tabs>
          <w:tab w:val="num" w:pos="5040"/>
        </w:tabs>
        <w:ind w:left="5040" w:hanging="360"/>
      </w:pPr>
      <w:rPr>
        <w:rFonts w:ascii="Arial" w:hAnsi="Arial" w:hint="default"/>
      </w:rPr>
    </w:lvl>
    <w:lvl w:ilvl="7" w:tplc="49DE5CD6" w:tentative="1">
      <w:start w:val="1"/>
      <w:numFmt w:val="bullet"/>
      <w:lvlText w:val="•"/>
      <w:lvlJc w:val="left"/>
      <w:pPr>
        <w:tabs>
          <w:tab w:val="num" w:pos="5760"/>
        </w:tabs>
        <w:ind w:left="5760" w:hanging="360"/>
      </w:pPr>
      <w:rPr>
        <w:rFonts w:ascii="Arial" w:hAnsi="Arial" w:hint="default"/>
      </w:rPr>
    </w:lvl>
    <w:lvl w:ilvl="8" w:tplc="1B8E93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705ECC"/>
    <w:multiLevelType w:val="hybridMultilevel"/>
    <w:tmpl w:val="C03A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84844"/>
    <w:multiLevelType w:val="hybridMultilevel"/>
    <w:tmpl w:val="5DACF560"/>
    <w:lvl w:ilvl="0" w:tplc="EF042204">
      <w:start w:val="1"/>
      <w:numFmt w:val="bullet"/>
      <w:lvlText w:val="•"/>
      <w:lvlJc w:val="left"/>
      <w:pPr>
        <w:tabs>
          <w:tab w:val="num" w:pos="720"/>
        </w:tabs>
        <w:ind w:left="720" w:hanging="360"/>
      </w:pPr>
      <w:rPr>
        <w:rFonts w:ascii="Arial" w:hAnsi="Arial" w:hint="default"/>
      </w:rPr>
    </w:lvl>
    <w:lvl w:ilvl="1" w:tplc="3F8EADC0" w:tentative="1">
      <w:start w:val="1"/>
      <w:numFmt w:val="bullet"/>
      <w:lvlText w:val="•"/>
      <w:lvlJc w:val="left"/>
      <w:pPr>
        <w:tabs>
          <w:tab w:val="num" w:pos="1440"/>
        </w:tabs>
        <w:ind w:left="1440" w:hanging="360"/>
      </w:pPr>
      <w:rPr>
        <w:rFonts w:ascii="Arial" w:hAnsi="Arial" w:hint="default"/>
      </w:rPr>
    </w:lvl>
    <w:lvl w:ilvl="2" w:tplc="461E4736" w:tentative="1">
      <w:start w:val="1"/>
      <w:numFmt w:val="bullet"/>
      <w:lvlText w:val="•"/>
      <w:lvlJc w:val="left"/>
      <w:pPr>
        <w:tabs>
          <w:tab w:val="num" w:pos="2160"/>
        </w:tabs>
        <w:ind w:left="2160" w:hanging="360"/>
      </w:pPr>
      <w:rPr>
        <w:rFonts w:ascii="Arial" w:hAnsi="Arial" w:hint="default"/>
      </w:rPr>
    </w:lvl>
    <w:lvl w:ilvl="3" w:tplc="6AA83DD6" w:tentative="1">
      <w:start w:val="1"/>
      <w:numFmt w:val="bullet"/>
      <w:lvlText w:val="•"/>
      <w:lvlJc w:val="left"/>
      <w:pPr>
        <w:tabs>
          <w:tab w:val="num" w:pos="2880"/>
        </w:tabs>
        <w:ind w:left="2880" w:hanging="360"/>
      </w:pPr>
      <w:rPr>
        <w:rFonts w:ascii="Arial" w:hAnsi="Arial" w:hint="default"/>
      </w:rPr>
    </w:lvl>
    <w:lvl w:ilvl="4" w:tplc="B43CF966" w:tentative="1">
      <w:start w:val="1"/>
      <w:numFmt w:val="bullet"/>
      <w:lvlText w:val="•"/>
      <w:lvlJc w:val="left"/>
      <w:pPr>
        <w:tabs>
          <w:tab w:val="num" w:pos="3600"/>
        </w:tabs>
        <w:ind w:left="3600" w:hanging="360"/>
      </w:pPr>
      <w:rPr>
        <w:rFonts w:ascii="Arial" w:hAnsi="Arial" w:hint="default"/>
      </w:rPr>
    </w:lvl>
    <w:lvl w:ilvl="5" w:tplc="52D0738A" w:tentative="1">
      <w:start w:val="1"/>
      <w:numFmt w:val="bullet"/>
      <w:lvlText w:val="•"/>
      <w:lvlJc w:val="left"/>
      <w:pPr>
        <w:tabs>
          <w:tab w:val="num" w:pos="4320"/>
        </w:tabs>
        <w:ind w:left="4320" w:hanging="360"/>
      </w:pPr>
      <w:rPr>
        <w:rFonts w:ascii="Arial" w:hAnsi="Arial" w:hint="default"/>
      </w:rPr>
    </w:lvl>
    <w:lvl w:ilvl="6" w:tplc="EB70D1C0" w:tentative="1">
      <w:start w:val="1"/>
      <w:numFmt w:val="bullet"/>
      <w:lvlText w:val="•"/>
      <w:lvlJc w:val="left"/>
      <w:pPr>
        <w:tabs>
          <w:tab w:val="num" w:pos="5040"/>
        </w:tabs>
        <w:ind w:left="5040" w:hanging="360"/>
      </w:pPr>
      <w:rPr>
        <w:rFonts w:ascii="Arial" w:hAnsi="Arial" w:hint="default"/>
      </w:rPr>
    </w:lvl>
    <w:lvl w:ilvl="7" w:tplc="2DE03C3E" w:tentative="1">
      <w:start w:val="1"/>
      <w:numFmt w:val="bullet"/>
      <w:lvlText w:val="•"/>
      <w:lvlJc w:val="left"/>
      <w:pPr>
        <w:tabs>
          <w:tab w:val="num" w:pos="5760"/>
        </w:tabs>
        <w:ind w:left="5760" w:hanging="360"/>
      </w:pPr>
      <w:rPr>
        <w:rFonts w:ascii="Arial" w:hAnsi="Arial" w:hint="default"/>
      </w:rPr>
    </w:lvl>
    <w:lvl w:ilvl="8" w:tplc="78525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404B9"/>
    <w:multiLevelType w:val="hybridMultilevel"/>
    <w:tmpl w:val="BD82DDF4"/>
    <w:lvl w:ilvl="0" w:tplc="D75A242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7A6AC3"/>
    <w:multiLevelType w:val="hybridMultilevel"/>
    <w:tmpl w:val="056072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B0423"/>
    <w:multiLevelType w:val="hybridMultilevel"/>
    <w:tmpl w:val="E520B5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9" w15:restartNumberingAfterBreak="0">
    <w:nsid w:val="5DC51231"/>
    <w:multiLevelType w:val="hybridMultilevel"/>
    <w:tmpl w:val="2B98D22E"/>
    <w:lvl w:ilvl="0" w:tplc="D3ACEEF0">
      <w:start w:val="1"/>
      <w:numFmt w:val="bullet"/>
      <w:lvlText w:val="•"/>
      <w:lvlJc w:val="left"/>
      <w:pPr>
        <w:tabs>
          <w:tab w:val="num" w:pos="720"/>
        </w:tabs>
        <w:ind w:left="720" w:hanging="360"/>
      </w:pPr>
      <w:rPr>
        <w:rFonts w:ascii="Arial" w:hAnsi="Arial" w:hint="default"/>
      </w:rPr>
    </w:lvl>
    <w:lvl w:ilvl="1" w:tplc="F364D654" w:tentative="1">
      <w:start w:val="1"/>
      <w:numFmt w:val="bullet"/>
      <w:lvlText w:val="•"/>
      <w:lvlJc w:val="left"/>
      <w:pPr>
        <w:tabs>
          <w:tab w:val="num" w:pos="1440"/>
        </w:tabs>
        <w:ind w:left="1440" w:hanging="360"/>
      </w:pPr>
      <w:rPr>
        <w:rFonts w:ascii="Arial" w:hAnsi="Arial" w:hint="default"/>
      </w:rPr>
    </w:lvl>
    <w:lvl w:ilvl="2" w:tplc="08B08EAC" w:tentative="1">
      <w:start w:val="1"/>
      <w:numFmt w:val="bullet"/>
      <w:lvlText w:val="•"/>
      <w:lvlJc w:val="left"/>
      <w:pPr>
        <w:tabs>
          <w:tab w:val="num" w:pos="2160"/>
        </w:tabs>
        <w:ind w:left="2160" w:hanging="360"/>
      </w:pPr>
      <w:rPr>
        <w:rFonts w:ascii="Arial" w:hAnsi="Arial" w:hint="default"/>
      </w:rPr>
    </w:lvl>
    <w:lvl w:ilvl="3" w:tplc="C0CE2F64" w:tentative="1">
      <w:start w:val="1"/>
      <w:numFmt w:val="bullet"/>
      <w:lvlText w:val="•"/>
      <w:lvlJc w:val="left"/>
      <w:pPr>
        <w:tabs>
          <w:tab w:val="num" w:pos="2880"/>
        </w:tabs>
        <w:ind w:left="2880" w:hanging="360"/>
      </w:pPr>
      <w:rPr>
        <w:rFonts w:ascii="Arial" w:hAnsi="Arial" w:hint="default"/>
      </w:rPr>
    </w:lvl>
    <w:lvl w:ilvl="4" w:tplc="6914B944" w:tentative="1">
      <w:start w:val="1"/>
      <w:numFmt w:val="bullet"/>
      <w:lvlText w:val="•"/>
      <w:lvlJc w:val="left"/>
      <w:pPr>
        <w:tabs>
          <w:tab w:val="num" w:pos="3600"/>
        </w:tabs>
        <w:ind w:left="3600" w:hanging="360"/>
      </w:pPr>
      <w:rPr>
        <w:rFonts w:ascii="Arial" w:hAnsi="Arial" w:hint="default"/>
      </w:rPr>
    </w:lvl>
    <w:lvl w:ilvl="5" w:tplc="062AC6C2" w:tentative="1">
      <w:start w:val="1"/>
      <w:numFmt w:val="bullet"/>
      <w:lvlText w:val="•"/>
      <w:lvlJc w:val="left"/>
      <w:pPr>
        <w:tabs>
          <w:tab w:val="num" w:pos="4320"/>
        </w:tabs>
        <w:ind w:left="4320" w:hanging="360"/>
      </w:pPr>
      <w:rPr>
        <w:rFonts w:ascii="Arial" w:hAnsi="Arial" w:hint="default"/>
      </w:rPr>
    </w:lvl>
    <w:lvl w:ilvl="6" w:tplc="BDAE7614" w:tentative="1">
      <w:start w:val="1"/>
      <w:numFmt w:val="bullet"/>
      <w:lvlText w:val="•"/>
      <w:lvlJc w:val="left"/>
      <w:pPr>
        <w:tabs>
          <w:tab w:val="num" w:pos="5040"/>
        </w:tabs>
        <w:ind w:left="5040" w:hanging="360"/>
      </w:pPr>
      <w:rPr>
        <w:rFonts w:ascii="Arial" w:hAnsi="Arial" w:hint="default"/>
      </w:rPr>
    </w:lvl>
    <w:lvl w:ilvl="7" w:tplc="71762A4A" w:tentative="1">
      <w:start w:val="1"/>
      <w:numFmt w:val="bullet"/>
      <w:lvlText w:val="•"/>
      <w:lvlJc w:val="left"/>
      <w:pPr>
        <w:tabs>
          <w:tab w:val="num" w:pos="5760"/>
        </w:tabs>
        <w:ind w:left="5760" w:hanging="360"/>
      </w:pPr>
      <w:rPr>
        <w:rFonts w:ascii="Arial" w:hAnsi="Arial" w:hint="default"/>
      </w:rPr>
    </w:lvl>
    <w:lvl w:ilvl="8" w:tplc="B2247E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295434F"/>
    <w:multiLevelType w:val="hybridMultilevel"/>
    <w:tmpl w:val="BBE4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8"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C6D2E2F"/>
    <w:multiLevelType w:val="hybridMultilevel"/>
    <w:tmpl w:val="3DE6F9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AA624E"/>
    <w:multiLevelType w:val="hybridMultilevel"/>
    <w:tmpl w:val="2CE0F4C8"/>
    <w:lvl w:ilvl="0" w:tplc="7ACA271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9A0BA6"/>
    <w:multiLevelType w:val="hybridMultilevel"/>
    <w:tmpl w:val="6302BD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3"/>
  </w:num>
  <w:num w:numId="3">
    <w:abstractNumId w:val="15"/>
  </w:num>
  <w:num w:numId="4">
    <w:abstractNumId w:val="16"/>
  </w:num>
  <w:num w:numId="5">
    <w:abstractNumId w:val="10"/>
  </w:num>
  <w:num w:numId="6">
    <w:abstractNumId w:val="35"/>
  </w:num>
  <w:num w:numId="7">
    <w:abstractNumId w:val="17"/>
  </w:num>
  <w:num w:numId="8">
    <w:abstractNumId w:val="12"/>
  </w:num>
  <w:num w:numId="9">
    <w:abstractNumId w:val="32"/>
  </w:num>
  <w:num w:numId="10">
    <w:abstractNumId w:val="30"/>
  </w:num>
  <w:num w:numId="11">
    <w:abstractNumId w:val="8"/>
  </w:num>
  <w:num w:numId="12">
    <w:abstractNumId w:val="6"/>
  </w:num>
  <w:num w:numId="13">
    <w:abstractNumId w:val="31"/>
  </w:num>
  <w:num w:numId="14">
    <w:abstractNumId w:val="4"/>
  </w:num>
  <w:num w:numId="15">
    <w:abstractNumId w:val="5"/>
  </w:num>
  <w:num w:numId="16">
    <w:abstractNumId w:val="36"/>
  </w:num>
  <w:num w:numId="17">
    <w:abstractNumId w:val="38"/>
  </w:num>
  <w:num w:numId="18">
    <w:abstractNumId w:val="28"/>
  </w:num>
  <w:num w:numId="19">
    <w:abstractNumId w:val="11"/>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20"/>
  </w:num>
  <w:num w:numId="30">
    <w:abstractNumId w:val="7"/>
  </w:num>
  <w:num w:numId="31">
    <w:abstractNumId w:val="22"/>
  </w:num>
  <w:num w:numId="32">
    <w:abstractNumId w:val="40"/>
  </w:num>
  <w:num w:numId="33">
    <w:abstractNumId w:val="9"/>
  </w:num>
  <w:num w:numId="34">
    <w:abstractNumId w:val="29"/>
  </w:num>
  <w:num w:numId="35">
    <w:abstractNumId w:val="21"/>
  </w:num>
  <w:num w:numId="36">
    <w:abstractNumId w:val="23"/>
  </w:num>
  <w:num w:numId="37">
    <w:abstractNumId w:val="14"/>
  </w:num>
  <w:num w:numId="38">
    <w:abstractNumId w:val="18"/>
  </w:num>
  <w:num w:numId="39">
    <w:abstractNumId w:val="27"/>
  </w:num>
  <w:num w:numId="40">
    <w:abstractNumId w:val="19"/>
  </w:num>
  <w:num w:numId="41">
    <w:abstractNumId w:val="25"/>
  </w:num>
  <w:num w:numId="42">
    <w:abstractNumId w:val="13"/>
  </w:num>
  <w:num w:numId="43">
    <w:abstractNumId w:val="41"/>
  </w:num>
  <w:num w:numId="44">
    <w:abstractNumId w:val="39"/>
  </w:num>
  <w:num w:numId="45">
    <w:abstractNumId w:val="34"/>
  </w:num>
  <w:num w:numId="46">
    <w:abstractNumId w:val="24"/>
  </w:num>
  <w:num w:numId="47">
    <w:abstractNumId w:val="2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Hailes">
    <w15:presenceInfo w15:providerId="None" w15:userId="Rebecca Hai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stylePaneSortMethod w:val="0000"/>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tjC1MDIxNzI0MzNR0lEKTi0uzszPAymwrAUAQpQCniwAAAA="/>
  </w:docVars>
  <w:rsids>
    <w:rsidRoot w:val="00731B99"/>
    <w:rsid w:val="0000132F"/>
    <w:rsid w:val="0000274D"/>
    <w:rsid w:val="00003462"/>
    <w:rsid w:val="00004426"/>
    <w:rsid w:val="00004A78"/>
    <w:rsid w:val="00005C2A"/>
    <w:rsid w:val="0000619E"/>
    <w:rsid w:val="0001312A"/>
    <w:rsid w:val="000131C0"/>
    <w:rsid w:val="00014A06"/>
    <w:rsid w:val="00017F43"/>
    <w:rsid w:val="00021E27"/>
    <w:rsid w:val="0002309B"/>
    <w:rsid w:val="00026A6A"/>
    <w:rsid w:val="000363FA"/>
    <w:rsid w:val="00041A17"/>
    <w:rsid w:val="00041D10"/>
    <w:rsid w:val="000427B0"/>
    <w:rsid w:val="00045F75"/>
    <w:rsid w:val="00050DD4"/>
    <w:rsid w:val="00052FB1"/>
    <w:rsid w:val="000546C7"/>
    <w:rsid w:val="00055793"/>
    <w:rsid w:val="0005617C"/>
    <w:rsid w:val="000561DC"/>
    <w:rsid w:val="00056F64"/>
    <w:rsid w:val="00057C9D"/>
    <w:rsid w:val="00062E0D"/>
    <w:rsid w:val="00082674"/>
    <w:rsid w:val="00082F1D"/>
    <w:rsid w:val="0008414D"/>
    <w:rsid w:val="00084725"/>
    <w:rsid w:val="00092D84"/>
    <w:rsid w:val="00096C4E"/>
    <w:rsid w:val="000A36A8"/>
    <w:rsid w:val="000B007D"/>
    <w:rsid w:val="000B2E3D"/>
    <w:rsid w:val="000B5CFC"/>
    <w:rsid w:val="000B5D6C"/>
    <w:rsid w:val="000C0DD1"/>
    <w:rsid w:val="000D1ECA"/>
    <w:rsid w:val="000D2D4A"/>
    <w:rsid w:val="000D5720"/>
    <w:rsid w:val="000E0100"/>
    <w:rsid w:val="000E034A"/>
    <w:rsid w:val="000E2E48"/>
    <w:rsid w:val="000E3F5B"/>
    <w:rsid w:val="000E4BBC"/>
    <w:rsid w:val="000E76BF"/>
    <w:rsid w:val="001060C1"/>
    <w:rsid w:val="00111177"/>
    <w:rsid w:val="00111F27"/>
    <w:rsid w:val="00112F45"/>
    <w:rsid w:val="001156C4"/>
    <w:rsid w:val="00116E9B"/>
    <w:rsid w:val="001216C5"/>
    <w:rsid w:val="00122D68"/>
    <w:rsid w:val="00123E81"/>
    <w:rsid w:val="0012496E"/>
    <w:rsid w:val="00143041"/>
    <w:rsid w:val="0014327C"/>
    <w:rsid w:val="001445A0"/>
    <w:rsid w:val="001451F4"/>
    <w:rsid w:val="00150AE6"/>
    <w:rsid w:val="00153B91"/>
    <w:rsid w:val="00157DFA"/>
    <w:rsid w:val="00164E30"/>
    <w:rsid w:val="001703AA"/>
    <w:rsid w:val="00174D21"/>
    <w:rsid w:val="00175EFB"/>
    <w:rsid w:val="00182A0C"/>
    <w:rsid w:val="0018496D"/>
    <w:rsid w:val="0018581B"/>
    <w:rsid w:val="00186524"/>
    <w:rsid w:val="00187E2F"/>
    <w:rsid w:val="001937A0"/>
    <w:rsid w:val="00193F47"/>
    <w:rsid w:val="00195D25"/>
    <w:rsid w:val="00197A37"/>
    <w:rsid w:val="001A42AD"/>
    <w:rsid w:val="001A5839"/>
    <w:rsid w:val="001A6F74"/>
    <w:rsid w:val="001B2D7A"/>
    <w:rsid w:val="001B6BEA"/>
    <w:rsid w:val="001C01D5"/>
    <w:rsid w:val="001C0AAE"/>
    <w:rsid w:val="001C0C6E"/>
    <w:rsid w:val="001C1CD8"/>
    <w:rsid w:val="001C207A"/>
    <w:rsid w:val="001C665E"/>
    <w:rsid w:val="001D0B92"/>
    <w:rsid w:val="001D2BFA"/>
    <w:rsid w:val="001D3EFD"/>
    <w:rsid w:val="001D5C1B"/>
    <w:rsid w:val="001D7EC5"/>
    <w:rsid w:val="001E32D7"/>
    <w:rsid w:val="001E434D"/>
    <w:rsid w:val="001E5D9F"/>
    <w:rsid w:val="001E6DCF"/>
    <w:rsid w:val="001F0629"/>
    <w:rsid w:val="001F36FC"/>
    <w:rsid w:val="001F3812"/>
    <w:rsid w:val="001F4DA0"/>
    <w:rsid w:val="001F6DA9"/>
    <w:rsid w:val="001F7908"/>
    <w:rsid w:val="001F7D0E"/>
    <w:rsid w:val="00200427"/>
    <w:rsid w:val="002036BB"/>
    <w:rsid w:val="002047E2"/>
    <w:rsid w:val="00205E60"/>
    <w:rsid w:val="002112ED"/>
    <w:rsid w:val="002126D4"/>
    <w:rsid w:val="00212BF5"/>
    <w:rsid w:val="0021418F"/>
    <w:rsid w:val="002148B6"/>
    <w:rsid w:val="00215877"/>
    <w:rsid w:val="002161A4"/>
    <w:rsid w:val="00224658"/>
    <w:rsid w:val="00225131"/>
    <w:rsid w:val="00225F2B"/>
    <w:rsid w:val="002272EF"/>
    <w:rsid w:val="00232BC6"/>
    <w:rsid w:val="00236DCB"/>
    <w:rsid w:val="0024000A"/>
    <w:rsid w:val="002426A7"/>
    <w:rsid w:val="00250BE9"/>
    <w:rsid w:val="00251679"/>
    <w:rsid w:val="00251F86"/>
    <w:rsid w:val="00256075"/>
    <w:rsid w:val="00256566"/>
    <w:rsid w:val="00260BAE"/>
    <w:rsid w:val="00260C2C"/>
    <w:rsid w:val="002612FD"/>
    <w:rsid w:val="00263600"/>
    <w:rsid w:val="00266BC0"/>
    <w:rsid w:val="00272979"/>
    <w:rsid w:val="002758A6"/>
    <w:rsid w:val="00281CF1"/>
    <w:rsid w:val="00281F45"/>
    <w:rsid w:val="00282B03"/>
    <w:rsid w:val="00286CBD"/>
    <w:rsid w:val="00290F86"/>
    <w:rsid w:val="00291083"/>
    <w:rsid w:val="002966A9"/>
    <w:rsid w:val="002A369F"/>
    <w:rsid w:val="002A7B38"/>
    <w:rsid w:val="002B4393"/>
    <w:rsid w:val="002B6556"/>
    <w:rsid w:val="002B6671"/>
    <w:rsid w:val="002B68DB"/>
    <w:rsid w:val="002C1553"/>
    <w:rsid w:val="002C39D1"/>
    <w:rsid w:val="002C4C65"/>
    <w:rsid w:val="002D25F9"/>
    <w:rsid w:val="002D4AED"/>
    <w:rsid w:val="002D5DFC"/>
    <w:rsid w:val="002D6272"/>
    <w:rsid w:val="002E2ECA"/>
    <w:rsid w:val="002E4ADC"/>
    <w:rsid w:val="002E7709"/>
    <w:rsid w:val="002F0224"/>
    <w:rsid w:val="002F084F"/>
    <w:rsid w:val="002F13B8"/>
    <w:rsid w:val="002F357D"/>
    <w:rsid w:val="002F40F9"/>
    <w:rsid w:val="002F5EF5"/>
    <w:rsid w:val="002F6CD0"/>
    <w:rsid w:val="00301DAF"/>
    <w:rsid w:val="003020A2"/>
    <w:rsid w:val="00302F67"/>
    <w:rsid w:val="0030347F"/>
    <w:rsid w:val="003048A5"/>
    <w:rsid w:val="00305810"/>
    <w:rsid w:val="003059C3"/>
    <w:rsid w:val="00305AC5"/>
    <w:rsid w:val="00306BF5"/>
    <w:rsid w:val="00313E9E"/>
    <w:rsid w:val="00313EDF"/>
    <w:rsid w:val="00313FE4"/>
    <w:rsid w:val="00316676"/>
    <w:rsid w:val="00320457"/>
    <w:rsid w:val="003221E9"/>
    <w:rsid w:val="003241A3"/>
    <w:rsid w:val="003248D1"/>
    <w:rsid w:val="003261A6"/>
    <w:rsid w:val="0033097B"/>
    <w:rsid w:val="00332A65"/>
    <w:rsid w:val="00332FE3"/>
    <w:rsid w:val="003336FA"/>
    <w:rsid w:val="00336821"/>
    <w:rsid w:val="00341CAD"/>
    <w:rsid w:val="00344FDC"/>
    <w:rsid w:val="00347E25"/>
    <w:rsid w:val="00351769"/>
    <w:rsid w:val="00351960"/>
    <w:rsid w:val="00352A27"/>
    <w:rsid w:val="0035487C"/>
    <w:rsid w:val="003557B1"/>
    <w:rsid w:val="00357570"/>
    <w:rsid w:val="00362030"/>
    <w:rsid w:val="00363FE9"/>
    <w:rsid w:val="00367F60"/>
    <w:rsid w:val="0037034E"/>
    <w:rsid w:val="003711F3"/>
    <w:rsid w:val="00377752"/>
    <w:rsid w:val="00380C64"/>
    <w:rsid w:val="00381EB7"/>
    <w:rsid w:val="00382814"/>
    <w:rsid w:val="00386096"/>
    <w:rsid w:val="00390D19"/>
    <w:rsid w:val="00390D7B"/>
    <w:rsid w:val="003920ED"/>
    <w:rsid w:val="00394936"/>
    <w:rsid w:val="003971AB"/>
    <w:rsid w:val="003A016A"/>
    <w:rsid w:val="003A2AA8"/>
    <w:rsid w:val="003A2BCC"/>
    <w:rsid w:val="003A4FC7"/>
    <w:rsid w:val="003A5C76"/>
    <w:rsid w:val="003A6CCA"/>
    <w:rsid w:val="003B0780"/>
    <w:rsid w:val="003B1A71"/>
    <w:rsid w:val="003B4359"/>
    <w:rsid w:val="003B44D0"/>
    <w:rsid w:val="003B5258"/>
    <w:rsid w:val="003B5816"/>
    <w:rsid w:val="003C1BBC"/>
    <w:rsid w:val="003C1E4D"/>
    <w:rsid w:val="003C22DF"/>
    <w:rsid w:val="003C2E56"/>
    <w:rsid w:val="003C457B"/>
    <w:rsid w:val="003C6AB2"/>
    <w:rsid w:val="003C6D82"/>
    <w:rsid w:val="003D0281"/>
    <w:rsid w:val="003D41D8"/>
    <w:rsid w:val="003D5877"/>
    <w:rsid w:val="003D6504"/>
    <w:rsid w:val="003D689D"/>
    <w:rsid w:val="003D6F3E"/>
    <w:rsid w:val="003E0757"/>
    <w:rsid w:val="003E0B53"/>
    <w:rsid w:val="003E16D8"/>
    <w:rsid w:val="003E1B16"/>
    <w:rsid w:val="003F030F"/>
    <w:rsid w:val="003F0B70"/>
    <w:rsid w:val="003F2A86"/>
    <w:rsid w:val="003F643A"/>
    <w:rsid w:val="003F7111"/>
    <w:rsid w:val="003F73D8"/>
    <w:rsid w:val="004028D5"/>
    <w:rsid w:val="004045E4"/>
    <w:rsid w:val="00413790"/>
    <w:rsid w:val="00416FC8"/>
    <w:rsid w:val="00417D78"/>
    <w:rsid w:val="00420FB8"/>
    <w:rsid w:val="00421B40"/>
    <w:rsid w:val="00422258"/>
    <w:rsid w:val="0042584E"/>
    <w:rsid w:val="00425BC2"/>
    <w:rsid w:val="00426FD6"/>
    <w:rsid w:val="00430E90"/>
    <w:rsid w:val="00432081"/>
    <w:rsid w:val="00432932"/>
    <w:rsid w:val="00433909"/>
    <w:rsid w:val="00433CFE"/>
    <w:rsid w:val="00435C42"/>
    <w:rsid w:val="00435CF2"/>
    <w:rsid w:val="00436AEA"/>
    <w:rsid w:val="004428DE"/>
    <w:rsid w:val="00446636"/>
    <w:rsid w:val="00447064"/>
    <w:rsid w:val="00450385"/>
    <w:rsid w:val="004504EA"/>
    <w:rsid w:val="004570AC"/>
    <w:rsid w:val="004579CF"/>
    <w:rsid w:val="0046001A"/>
    <w:rsid w:val="00461C2F"/>
    <w:rsid w:val="00463EF6"/>
    <w:rsid w:val="004654ED"/>
    <w:rsid w:val="00465988"/>
    <w:rsid w:val="00473B9D"/>
    <w:rsid w:val="00481AF8"/>
    <w:rsid w:val="00484BB9"/>
    <w:rsid w:val="0048657A"/>
    <w:rsid w:val="00491C25"/>
    <w:rsid w:val="004958FC"/>
    <w:rsid w:val="004A105A"/>
    <w:rsid w:val="004A22E8"/>
    <w:rsid w:val="004A2402"/>
    <w:rsid w:val="004A2F77"/>
    <w:rsid w:val="004A3386"/>
    <w:rsid w:val="004A3AB1"/>
    <w:rsid w:val="004A5970"/>
    <w:rsid w:val="004A631D"/>
    <w:rsid w:val="004B0EA7"/>
    <w:rsid w:val="004B27FB"/>
    <w:rsid w:val="004B376C"/>
    <w:rsid w:val="004B53C8"/>
    <w:rsid w:val="004B7ABF"/>
    <w:rsid w:val="004C2609"/>
    <w:rsid w:val="004C2B25"/>
    <w:rsid w:val="004C4371"/>
    <w:rsid w:val="004C6117"/>
    <w:rsid w:val="004C66D0"/>
    <w:rsid w:val="004D09F0"/>
    <w:rsid w:val="004D0D74"/>
    <w:rsid w:val="004D149E"/>
    <w:rsid w:val="004D1CB3"/>
    <w:rsid w:val="004D430C"/>
    <w:rsid w:val="004E2468"/>
    <w:rsid w:val="004F4A12"/>
    <w:rsid w:val="00500707"/>
    <w:rsid w:val="005023B5"/>
    <w:rsid w:val="00503102"/>
    <w:rsid w:val="00504E6C"/>
    <w:rsid w:val="005054CF"/>
    <w:rsid w:val="005079E0"/>
    <w:rsid w:val="00513062"/>
    <w:rsid w:val="00513631"/>
    <w:rsid w:val="0051566C"/>
    <w:rsid w:val="005177DA"/>
    <w:rsid w:val="00520903"/>
    <w:rsid w:val="005251AD"/>
    <w:rsid w:val="00527545"/>
    <w:rsid w:val="005304C2"/>
    <w:rsid w:val="005310CC"/>
    <w:rsid w:val="00531B35"/>
    <w:rsid w:val="005352A6"/>
    <w:rsid w:val="005357A0"/>
    <w:rsid w:val="0053599D"/>
    <w:rsid w:val="005370A9"/>
    <w:rsid w:val="00540357"/>
    <w:rsid w:val="005469C0"/>
    <w:rsid w:val="00547AD0"/>
    <w:rsid w:val="0055068A"/>
    <w:rsid w:val="005543AE"/>
    <w:rsid w:val="0055672D"/>
    <w:rsid w:val="0056041A"/>
    <w:rsid w:val="00560EF2"/>
    <w:rsid w:val="005649CA"/>
    <w:rsid w:val="00567D1C"/>
    <w:rsid w:val="005703B3"/>
    <w:rsid w:val="00571B94"/>
    <w:rsid w:val="005835F0"/>
    <w:rsid w:val="00587E1E"/>
    <w:rsid w:val="00597D29"/>
    <w:rsid w:val="005A0143"/>
    <w:rsid w:val="005A1E00"/>
    <w:rsid w:val="005A4046"/>
    <w:rsid w:val="005A4F5D"/>
    <w:rsid w:val="005A6174"/>
    <w:rsid w:val="005A7145"/>
    <w:rsid w:val="005B0B30"/>
    <w:rsid w:val="005B105E"/>
    <w:rsid w:val="005B378E"/>
    <w:rsid w:val="005C2175"/>
    <w:rsid w:val="005C22EF"/>
    <w:rsid w:val="005D4418"/>
    <w:rsid w:val="005D4631"/>
    <w:rsid w:val="005D4958"/>
    <w:rsid w:val="005D4A2B"/>
    <w:rsid w:val="005D521A"/>
    <w:rsid w:val="005D72CA"/>
    <w:rsid w:val="005E0CEE"/>
    <w:rsid w:val="005E103C"/>
    <w:rsid w:val="005E3915"/>
    <w:rsid w:val="005E661A"/>
    <w:rsid w:val="005F1F9D"/>
    <w:rsid w:val="005F3932"/>
    <w:rsid w:val="005F394F"/>
    <w:rsid w:val="005F4AE3"/>
    <w:rsid w:val="00600B78"/>
    <w:rsid w:val="00601117"/>
    <w:rsid w:val="006063CA"/>
    <w:rsid w:val="006074E1"/>
    <w:rsid w:val="00610C8D"/>
    <w:rsid w:val="00613074"/>
    <w:rsid w:val="00614A23"/>
    <w:rsid w:val="0062062A"/>
    <w:rsid w:val="00621E88"/>
    <w:rsid w:val="00622259"/>
    <w:rsid w:val="00622DC8"/>
    <w:rsid w:val="00623022"/>
    <w:rsid w:val="00624FA6"/>
    <w:rsid w:val="00625362"/>
    <w:rsid w:val="00625946"/>
    <w:rsid w:val="00627983"/>
    <w:rsid w:val="00630F15"/>
    <w:rsid w:val="00631710"/>
    <w:rsid w:val="0063186C"/>
    <w:rsid w:val="00631EBB"/>
    <w:rsid w:val="006361BA"/>
    <w:rsid w:val="006377B6"/>
    <w:rsid w:val="00637CD6"/>
    <w:rsid w:val="006446DD"/>
    <w:rsid w:val="00647335"/>
    <w:rsid w:val="00650186"/>
    <w:rsid w:val="00652D78"/>
    <w:rsid w:val="006533C3"/>
    <w:rsid w:val="006551B8"/>
    <w:rsid w:val="00665358"/>
    <w:rsid w:val="006653B5"/>
    <w:rsid w:val="006722A0"/>
    <w:rsid w:val="0067455A"/>
    <w:rsid w:val="00674659"/>
    <w:rsid w:val="00676075"/>
    <w:rsid w:val="0068509B"/>
    <w:rsid w:val="006876B6"/>
    <w:rsid w:val="00691A06"/>
    <w:rsid w:val="00694865"/>
    <w:rsid w:val="006972D2"/>
    <w:rsid w:val="00697683"/>
    <w:rsid w:val="00697B76"/>
    <w:rsid w:val="006A0767"/>
    <w:rsid w:val="006A0D54"/>
    <w:rsid w:val="006A5279"/>
    <w:rsid w:val="006A624C"/>
    <w:rsid w:val="006B1D3B"/>
    <w:rsid w:val="006B68D8"/>
    <w:rsid w:val="006B6D83"/>
    <w:rsid w:val="006B7D4F"/>
    <w:rsid w:val="006C1856"/>
    <w:rsid w:val="006C3B35"/>
    <w:rsid w:val="006C3CED"/>
    <w:rsid w:val="006C5683"/>
    <w:rsid w:val="006C6675"/>
    <w:rsid w:val="006D0CC1"/>
    <w:rsid w:val="006D0E98"/>
    <w:rsid w:val="006D0FB6"/>
    <w:rsid w:val="006D1F16"/>
    <w:rsid w:val="006D2870"/>
    <w:rsid w:val="006D75CD"/>
    <w:rsid w:val="006D765D"/>
    <w:rsid w:val="006E035D"/>
    <w:rsid w:val="006E2ED1"/>
    <w:rsid w:val="006E7327"/>
    <w:rsid w:val="006E7560"/>
    <w:rsid w:val="006E7A7E"/>
    <w:rsid w:val="006F19E3"/>
    <w:rsid w:val="006F378F"/>
    <w:rsid w:val="006F4689"/>
    <w:rsid w:val="006F4798"/>
    <w:rsid w:val="006F62DE"/>
    <w:rsid w:val="007008A3"/>
    <w:rsid w:val="007015FF"/>
    <w:rsid w:val="00701B10"/>
    <w:rsid w:val="00701D85"/>
    <w:rsid w:val="00701E18"/>
    <w:rsid w:val="00702A88"/>
    <w:rsid w:val="00706916"/>
    <w:rsid w:val="00710E92"/>
    <w:rsid w:val="0071167B"/>
    <w:rsid w:val="00714EDE"/>
    <w:rsid w:val="0071547D"/>
    <w:rsid w:val="00722FCE"/>
    <w:rsid w:val="0072385C"/>
    <w:rsid w:val="00726171"/>
    <w:rsid w:val="00731B99"/>
    <w:rsid w:val="00733D46"/>
    <w:rsid w:val="00733F4B"/>
    <w:rsid w:val="00734630"/>
    <w:rsid w:val="007374B9"/>
    <w:rsid w:val="00740A8F"/>
    <w:rsid w:val="00742876"/>
    <w:rsid w:val="00747A24"/>
    <w:rsid w:val="007607E8"/>
    <w:rsid w:val="007608FF"/>
    <w:rsid w:val="00760BD6"/>
    <w:rsid w:val="007626D9"/>
    <w:rsid w:val="00765357"/>
    <w:rsid w:val="00771ACE"/>
    <w:rsid w:val="00772942"/>
    <w:rsid w:val="00774F15"/>
    <w:rsid w:val="00775EF4"/>
    <w:rsid w:val="0077778C"/>
    <w:rsid w:val="00780130"/>
    <w:rsid w:val="00784486"/>
    <w:rsid w:val="00790D7F"/>
    <w:rsid w:val="0079113B"/>
    <w:rsid w:val="00797AA8"/>
    <w:rsid w:val="007A0FB2"/>
    <w:rsid w:val="007A4F58"/>
    <w:rsid w:val="007A6725"/>
    <w:rsid w:val="007A7ADD"/>
    <w:rsid w:val="007B002D"/>
    <w:rsid w:val="007B2962"/>
    <w:rsid w:val="007B2D23"/>
    <w:rsid w:val="007B4476"/>
    <w:rsid w:val="007B556F"/>
    <w:rsid w:val="007B71E2"/>
    <w:rsid w:val="007C00DA"/>
    <w:rsid w:val="007C0E16"/>
    <w:rsid w:val="007C1163"/>
    <w:rsid w:val="007D47BD"/>
    <w:rsid w:val="007D7C47"/>
    <w:rsid w:val="007D7FFB"/>
    <w:rsid w:val="007E1A43"/>
    <w:rsid w:val="007E3C0E"/>
    <w:rsid w:val="007E572E"/>
    <w:rsid w:val="007E61EC"/>
    <w:rsid w:val="007E718E"/>
    <w:rsid w:val="007F128F"/>
    <w:rsid w:val="007F5304"/>
    <w:rsid w:val="008023A6"/>
    <w:rsid w:val="008115C5"/>
    <w:rsid w:val="00812C70"/>
    <w:rsid w:val="0081418A"/>
    <w:rsid w:val="008149B0"/>
    <w:rsid w:val="008177D7"/>
    <w:rsid w:val="00821E16"/>
    <w:rsid w:val="00822D9F"/>
    <w:rsid w:val="00826203"/>
    <w:rsid w:val="008272A5"/>
    <w:rsid w:val="008277A6"/>
    <w:rsid w:val="00833183"/>
    <w:rsid w:val="0083470D"/>
    <w:rsid w:val="008423A3"/>
    <w:rsid w:val="00846074"/>
    <w:rsid w:val="00846D9D"/>
    <w:rsid w:val="0085211A"/>
    <w:rsid w:val="00856C0B"/>
    <w:rsid w:val="00860C22"/>
    <w:rsid w:val="0086142A"/>
    <w:rsid w:val="00861D88"/>
    <w:rsid w:val="00862D16"/>
    <w:rsid w:val="0087362B"/>
    <w:rsid w:val="00876FA4"/>
    <w:rsid w:val="00880168"/>
    <w:rsid w:val="00882D3C"/>
    <w:rsid w:val="008847ED"/>
    <w:rsid w:val="00887D24"/>
    <w:rsid w:val="00892D3B"/>
    <w:rsid w:val="00895154"/>
    <w:rsid w:val="00895451"/>
    <w:rsid w:val="00897EDC"/>
    <w:rsid w:val="008A17EB"/>
    <w:rsid w:val="008A2F12"/>
    <w:rsid w:val="008A5134"/>
    <w:rsid w:val="008A79FE"/>
    <w:rsid w:val="008B267B"/>
    <w:rsid w:val="008B6CCD"/>
    <w:rsid w:val="008C5774"/>
    <w:rsid w:val="008C579E"/>
    <w:rsid w:val="008D0FCF"/>
    <w:rsid w:val="008D37F6"/>
    <w:rsid w:val="008D3A63"/>
    <w:rsid w:val="008D3B87"/>
    <w:rsid w:val="008D5B54"/>
    <w:rsid w:val="008D6266"/>
    <w:rsid w:val="008D7983"/>
    <w:rsid w:val="008E27C4"/>
    <w:rsid w:val="008E3BE0"/>
    <w:rsid w:val="008F09A9"/>
    <w:rsid w:val="008F48D5"/>
    <w:rsid w:val="008F51FF"/>
    <w:rsid w:val="008F55C3"/>
    <w:rsid w:val="00900963"/>
    <w:rsid w:val="0090492C"/>
    <w:rsid w:val="009121FF"/>
    <w:rsid w:val="009129DC"/>
    <w:rsid w:val="00913148"/>
    <w:rsid w:val="00916138"/>
    <w:rsid w:val="009208D8"/>
    <w:rsid w:val="00922DBD"/>
    <w:rsid w:val="0092387F"/>
    <w:rsid w:val="00923B0E"/>
    <w:rsid w:val="00925F3A"/>
    <w:rsid w:val="00926505"/>
    <w:rsid w:val="009265C0"/>
    <w:rsid w:val="00926F0E"/>
    <w:rsid w:val="00932C28"/>
    <w:rsid w:val="00935573"/>
    <w:rsid w:val="009356A2"/>
    <w:rsid w:val="0094005C"/>
    <w:rsid w:val="00940E25"/>
    <w:rsid w:val="00941587"/>
    <w:rsid w:val="009469BE"/>
    <w:rsid w:val="0094797C"/>
    <w:rsid w:val="00947DC2"/>
    <w:rsid w:val="00951FDE"/>
    <w:rsid w:val="009544DF"/>
    <w:rsid w:val="00954FC6"/>
    <w:rsid w:val="00957FBC"/>
    <w:rsid w:val="00960420"/>
    <w:rsid w:val="00960714"/>
    <w:rsid w:val="0096255F"/>
    <w:rsid w:val="009636D9"/>
    <w:rsid w:val="0096799B"/>
    <w:rsid w:val="00967C6A"/>
    <w:rsid w:val="009704FB"/>
    <w:rsid w:val="0097527E"/>
    <w:rsid w:val="00977608"/>
    <w:rsid w:val="009832ED"/>
    <w:rsid w:val="00985FC1"/>
    <w:rsid w:val="00991785"/>
    <w:rsid w:val="00993E9F"/>
    <w:rsid w:val="00994B34"/>
    <w:rsid w:val="00994EF3"/>
    <w:rsid w:val="00995804"/>
    <w:rsid w:val="00997577"/>
    <w:rsid w:val="009A03A4"/>
    <w:rsid w:val="009A200B"/>
    <w:rsid w:val="009B54CB"/>
    <w:rsid w:val="009C1C52"/>
    <w:rsid w:val="009C2EA4"/>
    <w:rsid w:val="009C7CDB"/>
    <w:rsid w:val="009D1A9A"/>
    <w:rsid w:val="009D7913"/>
    <w:rsid w:val="009D7B56"/>
    <w:rsid w:val="009E1A09"/>
    <w:rsid w:val="009E318C"/>
    <w:rsid w:val="009E4D2D"/>
    <w:rsid w:val="009E63A4"/>
    <w:rsid w:val="009E7589"/>
    <w:rsid w:val="009E76C1"/>
    <w:rsid w:val="009E7FAD"/>
    <w:rsid w:val="009F2F77"/>
    <w:rsid w:val="009F3981"/>
    <w:rsid w:val="009F4D87"/>
    <w:rsid w:val="009F70E9"/>
    <w:rsid w:val="00A00B4A"/>
    <w:rsid w:val="00A0777B"/>
    <w:rsid w:val="00A101DF"/>
    <w:rsid w:val="00A10251"/>
    <w:rsid w:val="00A13230"/>
    <w:rsid w:val="00A16360"/>
    <w:rsid w:val="00A21AD2"/>
    <w:rsid w:val="00A25D84"/>
    <w:rsid w:val="00A31D12"/>
    <w:rsid w:val="00A36E4F"/>
    <w:rsid w:val="00A429B9"/>
    <w:rsid w:val="00A4337D"/>
    <w:rsid w:val="00A50878"/>
    <w:rsid w:val="00A51787"/>
    <w:rsid w:val="00A56ED0"/>
    <w:rsid w:val="00A579D3"/>
    <w:rsid w:val="00A66894"/>
    <w:rsid w:val="00A6716B"/>
    <w:rsid w:val="00A809BC"/>
    <w:rsid w:val="00A80EE0"/>
    <w:rsid w:val="00A81AA5"/>
    <w:rsid w:val="00A85694"/>
    <w:rsid w:val="00A93BF0"/>
    <w:rsid w:val="00A94C94"/>
    <w:rsid w:val="00A96295"/>
    <w:rsid w:val="00A968AB"/>
    <w:rsid w:val="00A97DD5"/>
    <w:rsid w:val="00AA463E"/>
    <w:rsid w:val="00AA69EF"/>
    <w:rsid w:val="00AB2DA2"/>
    <w:rsid w:val="00AB3915"/>
    <w:rsid w:val="00AB4DE5"/>
    <w:rsid w:val="00AC0309"/>
    <w:rsid w:val="00AC0716"/>
    <w:rsid w:val="00AC5BEF"/>
    <w:rsid w:val="00AC68BE"/>
    <w:rsid w:val="00AD0028"/>
    <w:rsid w:val="00AD3477"/>
    <w:rsid w:val="00AE2F29"/>
    <w:rsid w:val="00AE4FA9"/>
    <w:rsid w:val="00AE5F4A"/>
    <w:rsid w:val="00AE7C82"/>
    <w:rsid w:val="00AF30A5"/>
    <w:rsid w:val="00AF3186"/>
    <w:rsid w:val="00AF5B6E"/>
    <w:rsid w:val="00B0247A"/>
    <w:rsid w:val="00B04087"/>
    <w:rsid w:val="00B057CB"/>
    <w:rsid w:val="00B072FE"/>
    <w:rsid w:val="00B07574"/>
    <w:rsid w:val="00B10136"/>
    <w:rsid w:val="00B11637"/>
    <w:rsid w:val="00B23EB4"/>
    <w:rsid w:val="00B30626"/>
    <w:rsid w:val="00B30B77"/>
    <w:rsid w:val="00B30CA1"/>
    <w:rsid w:val="00B320DC"/>
    <w:rsid w:val="00B35A8E"/>
    <w:rsid w:val="00B37860"/>
    <w:rsid w:val="00B40062"/>
    <w:rsid w:val="00B4014F"/>
    <w:rsid w:val="00B40ED7"/>
    <w:rsid w:val="00B45635"/>
    <w:rsid w:val="00B52044"/>
    <w:rsid w:val="00B53898"/>
    <w:rsid w:val="00B539A1"/>
    <w:rsid w:val="00B53C15"/>
    <w:rsid w:val="00B544C1"/>
    <w:rsid w:val="00B615CC"/>
    <w:rsid w:val="00B6291B"/>
    <w:rsid w:val="00B7023F"/>
    <w:rsid w:val="00B70B36"/>
    <w:rsid w:val="00B7268A"/>
    <w:rsid w:val="00B762A2"/>
    <w:rsid w:val="00B7630C"/>
    <w:rsid w:val="00B81F70"/>
    <w:rsid w:val="00B93137"/>
    <w:rsid w:val="00B9451F"/>
    <w:rsid w:val="00B955C4"/>
    <w:rsid w:val="00BA1172"/>
    <w:rsid w:val="00BB32F0"/>
    <w:rsid w:val="00BB473F"/>
    <w:rsid w:val="00BC05A6"/>
    <w:rsid w:val="00BC10C2"/>
    <w:rsid w:val="00BC1448"/>
    <w:rsid w:val="00BC1CFB"/>
    <w:rsid w:val="00BC6F59"/>
    <w:rsid w:val="00BD10A6"/>
    <w:rsid w:val="00BD2895"/>
    <w:rsid w:val="00BD3CB9"/>
    <w:rsid w:val="00BD3E31"/>
    <w:rsid w:val="00BD78DB"/>
    <w:rsid w:val="00BE50AA"/>
    <w:rsid w:val="00BE5121"/>
    <w:rsid w:val="00BE7316"/>
    <w:rsid w:val="00BE7C55"/>
    <w:rsid w:val="00BF00E3"/>
    <w:rsid w:val="00BF0C5F"/>
    <w:rsid w:val="00C04C22"/>
    <w:rsid w:val="00C06503"/>
    <w:rsid w:val="00C10827"/>
    <w:rsid w:val="00C11964"/>
    <w:rsid w:val="00C11CDC"/>
    <w:rsid w:val="00C14277"/>
    <w:rsid w:val="00C20DD9"/>
    <w:rsid w:val="00C236F4"/>
    <w:rsid w:val="00C25C0F"/>
    <w:rsid w:val="00C31A20"/>
    <w:rsid w:val="00C32F1C"/>
    <w:rsid w:val="00C3321C"/>
    <w:rsid w:val="00C34DCE"/>
    <w:rsid w:val="00C34FDB"/>
    <w:rsid w:val="00C356E8"/>
    <w:rsid w:val="00C36B8A"/>
    <w:rsid w:val="00C471ED"/>
    <w:rsid w:val="00C5056D"/>
    <w:rsid w:val="00C50F95"/>
    <w:rsid w:val="00C607C9"/>
    <w:rsid w:val="00C64B15"/>
    <w:rsid w:val="00C65823"/>
    <w:rsid w:val="00C6615E"/>
    <w:rsid w:val="00C673B4"/>
    <w:rsid w:val="00C67F24"/>
    <w:rsid w:val="00C72782"/>
    <w:rsid w:val="00C730A2"/>
    <w:rsid w:val="00C75154"/>
    <w:rsid w:val="00C75A7B"/>
    <w:rsid w:val="00C76D9F"/>
    <w:rsid w:val="00C776BE"/>
    <w:rsid w:val="00C83898"/>
    <w:rsid w:val="00C83D64"/>
    <w:rsid w:val="00C867BC"/>
    <w:rsid w:val="00C924ED"/>
    <w:rsid w:val="00C93A21"/>
    <w:rsid w:val="00C94E7B"/>
    <w:rsid w:val="00C954D7"/>
    <w:rsid w:val="00CA3630"/>
    <w:rsid w:val="00CA4EA1"/>
    <w:rsid w:val="00CA5E1B"/>
    <w:rsid w:val="00CA6F12"/>
    <w:rsid w:val="00CA74C4"/>
    <w:rsid w:val="00CA75DC"/>
    <w:rsid w:val="00CA7800"/>
    <w:rsid w:val="00CA7D25"/>
    <w:rsid w:val="00CB5849"/>
    <w:rsid w:val="00CB5D46"/>
    <w:rsid w:val="00CB5E73"/>
    <w:rsid w:val="00CB5E98"/>
    <w:rsid w:val="00CB6330"/>
    <w:rsid w:val="00CC39D2"/>
    <w:rsid w:val="00CD21B6"/>
    <w:rsid w:val="00CD4346"/>
    <w:rsid w:val="00CD70EB"/>
    <w:rsid w:val="00CD719F"/>
    <w:rsid w:val="00CE19AC"/>
    <w:rsid w:val="00CE2599"/>
    <w:rsid w:val="00CE5938"/>
    <w:rsid w:val="00CE7F33"/>
    <w:rsid w:val="00CF08FF"/>
    <w:rsid w:val="00CF4CC3"/>
    <w:rsid w:val="00CF549A"/>
    <w:rsid w:val="00D050B8"/>
    <w:rsid w:val="00D06875"/>
    <w:rsid w:val="00D122BE"/>
    <w:rsid w:val="00D1530C"/>
    <w:rsid w:val="00D1613E"/>
    <w:rsid w:val="00D20C24"/>
    <w:rsid w:val="00D2126B"/>
    <w:rsid w:val="00D22CEB"/>
    <w:rsid w:val="00D253BF"/>
    <w:rsid w:val="00D256DB"/>
    <w:rsid w:val="00D31D9A"/>
    <w:rsid w:val="00D34E70"/>
    <w:rsid w:val="00D35A55"/>
    <w:rsid w:val="00D363E8"/>
    <w:rsid w:val="00D41235"/>
    <w:rsid w:val="00D41486"/>
    <w:rsid w:val="00D4173D"/>
    <w:rsid w:val="00D42CA7"/>
    <w:rsid w:val="00D43886"/>
    <w:rsid w:val="00D50089"/>
    <w:rsid w:val="00D517BA"/>
    <w:rsid w:val="00D54568"/>
    <w:rsid w:val="00D620D5"/>
    <w:rsid w:val="00D635CE"/>
    <w:rsid w:val="00D64A1E"/>
    <w:rsid w:val="00D64AE7"/>
    <w:rsid w:val="00D64E17"/>
    <w:rsid w:val="00D6788C"/>
    <w:rsid w:val="00D7092D"/>
    <w:rsid w:val="00D76054"/>
    <w:rsid w:val="00D80A98"/>
    <w:rsid w:val="00D8769C"/>
    <w:rsid w:val="00D90F5D"/>
    <w:rsid w:val="00D967AF"/>
    <w:rsid w:val="00DA0383"/>
    <w:rsid w:val="00DA270B"/>
    <w:rsid w:val="00DA5F89"/>
    <w:rsid w:val="00DA6586"/>
    <w:rsid w:val="00DA6C89"/>
    <w:rsid w:val="00DB5096"/>
    <w:rsid w:val="00DB7918"/>
    <w:rsid w:val="00DC3562"/>
    <w:rsid w:val="00DC6F5D"/>
    <w:rsid w:val="00DD269D"/>
    <w:rsid w:val="00DD7C82"/>
    <w:rsid w:val="00DE1518"/>
    <w:rsid w:val="00DE2088"/>
    <w:rsid w:val="00DE6A97"/>
    <w:rsid w:val="00DF184E"/>
    <w:rsid w:val="00DF6863"/>
    <w:rsid w:val="00E02F60"/>
    <w:rsid w:val="00E070F1"/>
    <w:rsid w:val="00E07BA5"/>
    <w:rsid w:val="00E10A8C"/>
    <w:rsid w:val="00E136DD"/>
    <w:rsid w:val="00E1494E"/>
    <w:rsid w:val="00E16071"/>
    <w:rsid w:val="00E1701D"/>
    <w:rsid w:val="00E22CF0"/>
    <w:rsid w:val="00E24BDF"/>
    <w:rsid w:val="00E2789D"/>
    <w:rsid w:val="00E367F4"/>
    <w:rsid w:val="00E40304"/>
    <w:rsid w:val="00E41BB9"/>
    <w:rsid w:val="00E4348E"/>
    <w:rsid w:val="00E510C9"/>
    <w:rsid w:val="00E51A6E"/>
    <w:rsid w:val="00E55C4A"/>
    <w:rsid w:val="00E6212D"/>
    <w:rsid w:val="00E666BF"/>
    <w:rsid w:val="00E67BE7"/>
    <w:rsid w:val="00E70BE7"/>
    <w:rsid w:val="00E74111"/>
    <w:rsid w:val="00E81739"/>
    <w:rsid w:val="00E8236B"/>
    <w:rsid w:val="00E82BDD"/>
    <w:rsid w:val="00E844CC"/>
    <w:rsid w:val="00E855A5"/>
    <w:rsid w:val="00E91400"/>
    <w:rsid w:val="00E949E2"/>
    <w:rsid w:val="00E97DB3"/>
    <w:rsid w:val="00EA1C2B"/>
    <w:rsid w:val="00EA2475"/>
    <w:rsid w:val="00EA3F0B"/>
    <w:rsid w:val="00EA4674"/>
    <w:rsid w:val="00EA53D0"/>
    <w:rsid w:val="00EA632D"/>
    <w:rsid w:val="00EB1FF2"/>
    <w:rsid w:val="00EB21A0"/>
    <w:rsid w:val="00EB32BB"/>
    <w:rsid w:val="00EB362B"/>
    <w:rsid w:val="00EC647D"/>
    <w:rsid w:val="00EE1190"/>
    <w:rsid w:val="00EE2334"/>
    <w:rsid w:val="00EE2569"/>
    <w:rsid w:val="00EE4519"/>
    <w:rsid w:val="00EE5CD9"/>
    <w:rsid w:val="00EF0CE5"/>
    <w:rsid w:val="00EF6CC8"/>
    <w:rsid w:val="00EF789C"/>
    <w:rsid w:val="00F007A0"/>
    <w:rsid w:val="00F1043A"/>
    <w:rsid w:val="00F10E14"/>
    <w:rsid w:val="00F1132A"/>
    <w:rsid w:val="00F1175C"/>
    <w:rsid w:val="00F14070"/>
    <w:rsid w:val="00F14A61"/>
    <w:rsid w:val="00F14EC4"/>
    <w:rsid w:val="00F17B9C"/>
    <w:rsid w:val="00F20FAB"/>
    <w:rsid w:val="00F212C1"/>
    <w:rsid w:val="00F24456"/>
    <w:rsid w:val="00F306DA"/>
    <w:rsid w:val="00F33E41"/>
    <w:rsid w:val="00F34F88"/>
    <w:rsid w:val="00F42F29"/>
    <w:rsid w:val="00F4356A"/>
    <w:rsid w:val="00F450C9"/>
    <w:rsid w:val="00F450E7"/>
    <w:rsid w:val="00F46D5E"/>
    <w:rsid w:val="00F504AF"/>
    <w:rsid w:val="00F50A5A"/>
    <w:rsid w:val="00F50C02"/>
    <w:rsid w:val="00F51122"/>
    <w:rsid w:val="00F511D1"/>
    <w:rsid w:val="00F51FCB"/>
    <w:rsid w:val="00F57A16"/>
    <w:rsid w:val="00F61549"/>
    <w:rsid w:val="00F62E4B"/>
    <w:rsid w:val="00F726D8"/>
    <w:rsid w:val="00F73FD6"/>
    <w:rsid w:val="00F751E8"/>
    <w:rsid w:val="00F80207"/>
    <w:rsid w:val="00F80510"/>
    <w:rsid w:val="00F81314"/>
    <w:rsid w:val="00F847DE"/>
    <w:rsid w:val="00F940B1"/>
    <w:rsid w:val="00F94961"/>
    <w:rsid w:val="00F94F85"/>
    <w:rsid w:val="00F95AE4"/>
    <w:rsid w:val="00F962B5"/>
    <w:rsid w:val="00FA22E9"/>
    <w:rsid w:val="00FA4B61"/>
    <w:rsid w:val="00FA6C9E"/>
    <w:rsid w:val="00FB1692"/>
    <w:rsid w:val="00FB3016"/>
    <w:rsid w:val="00FB43B2"/>
    <w:rsid w:val="00FB44B2"/>
    <w:rsid w:val="00FB71C1"/>
    <w:rsid w:val="00FB7362"/>
    <w:rsid w:val="00FC02D9"/>
    <w:rsid w:val="00FC1065"/>
    <w:rsid w:val="00FC38AB"/>
    <w:rsid w:val="00FD0418"/>
    <w:rsid w:val="00FD29A2"/>
    <w:rsid w:val="00FD2BFB"/>
    <w:rsid w:val="00FD32A2"/>
    <w:rsid w:val="00FD60CA"/>
    <w:rsid w:val="00FD6F76"/>
    <w:rsid w:val="00FD7920"/>
    <w:rsid w:val="00FE004A"/>
    <w:rsid w:val="00FE2E93"/>
    <w:rsid w:val="00FE3169"/>
    <w:rsid w:val="00FE3C51"/>
    <w:rsid w:val="00FE4A41"/>
    <w:rsid w:val="00FF252A"/>
    <w:rsid w:val="00FF3D9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D3402"/>
  <w15:chartTrackingRefBased/>
  <w15:docId w15:val="{B86E9E87-3BC8-4D74-9E59-543DE26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3" w:qFormat="1"/>
    <w:lsdException w:name="toc 1" w:uiPriority="39"/>
    <w:lsdException w:name="toc 2" w:uiPriority="39"/>
    <w:lsdException w:name="Title" w:qFormat="1"/>
    <w:lsdException w:name="Hyperlink"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429B9"/>
    <w:pPr>
      <w:spacing w:before="120" w:after="120" w:line="300" w:lineRule="atLeast"/>
    </w:pPr>
    <w:rPr>
      <w:rFonts w:ascii="Arial" w:eastAsia="Times New Roman" w:hAnsi="Arial"/>
      <w:szCs w:val="24"/>
    </w:rPr>
  </w:style>
  <w:style w:type="paragraph" w:styleId="Heading1">
    <w:name w:val="heading 1"/>
    <w:basedOn w:val="Normal"/>
    <w:next w:val="Normal"/>
    <w:link w:val="Heading1Char"/>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styleId="UnresolvedMention">
    <w:name w:val="Unresolved Mention"/>
    <w:uiPriority w:val="47"/>
    <w:rsid w:val="003F73D8"/>
    <w:rPr>
      <w:color w:val="605E5C"/>
      <w:shd w:val="clear" w:color="auto" w:fill="E1DFDD"/>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uiPriority w:val="34"/>
    <w:qFormat/>
    <w:rsid w:val="00BC6F59"/>
    <w:pPr>
      <w:spacing w:before="0" w:after="0" w:line="240" w:lineRule="auto"/>
      <w:ind w:left="720"/>
      <w:contextualSpacing/>
    </w:pPr>
    <w:rPr>
      <w:rFonts w:ascii="Times New Roman" w:hAnsi="Times New Roman"/>
      <w:sz w:val="24"/>
    </w:rPr>
  </w:style>
  <w:style w:type="paragraph" w:styleId="FootnoteText">
    <w:name w:val="footnote text"/>
    <w:basedOn w:val="Normal"/>
    <w:link w:val="FootnoteTextChar"/>
    <w:rsid w:val="00A36E4F"/>
    <w:rPr>
      <w:szCs w:val="20"/>
    </w:rPr>
  </w:style>
  <w:style w:type="character" w:customStyle="1" w:styleId="FootnoteTextChar">
    <w:name w:val="Footnote Text Char"/>
    <w:link w:val="FootnoteText"/>
    <w:rsid w:val="00A36E4F"/>
    <w:rPr>
      <w:rFonts w:ascii="Arial" w:eastAsia="Times New Roman" w:hAnsi="Arial"/>
    </w:rPr>
  </w:style>
  <w:style w:type="character" w:styleId="FootnoteReference">
    <w:name w:val="footnote reference"/>
    <w:rsid w:val="00A36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6586522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87781941">
      <w:bodyDiv w:val="1"/>
      <w:marLeft w:val="0"/>
      <w:marRight w:val="0"/>
      <w:marTop w:val="0"/>
      <w:marBottom w:val="0"/>
      <w:divBdr>
        <w:top w:val="none" w:sz="0" w:space="0" w:color="auto"/>
        <w:left w:val="none" w:sz="0" w:space="0" w:color="auto"/>
        <w:bottom w:val="none" w:sz="0" w:space="0" w:color="auto"/>
        <w:right w:val="none" w:sz="0" w:space="0" w:color="auto"/>
      </w:divBdr>
    </w:div>
    <w:div w:id="1353652464">
      <w:bodyDiv w:val="1"/>
      <w:marLeft w:val="0"/>
      <w:marRight w:val="0"/>
      <w:marTop w:val="0"/>
      <w:marBottom w:val="0"/>
      <w:divBdr>
        <w:top w:val="none" w:sz="0" w:space="0" w:color="auto"/>
        <w:left w:val="none" w:sz="0" w:space="0" w:color="auto"/>
        <w:bottom w:val="none" w:sz="0" w:space="0" w:color="auto"/>
        <w:right w:val="none" w:sz="0" w:space="0" w:color="auto"/>
      </w:divBdr>
      <w:divsChild>
        <w:div w:id="408310299">
          <w:marLeft w:val="274"/>
          <w:marRight w:val="0"/>
          <w:marTop w:val="0"/>
          <w:marBottom w:val="0"/>
          <w:divBdr>
            <w:top w:val="none" w:sz="0" w:space="0" w:color="auto"/>
            <w:left w:val="none" w:sz="0" w:space="0" w:color="auto"/>
            <w:bottom w:val="none" w:sz="0" w:space="0" w:color="auto"/>
            <w:right w:val="none" w:sz="0" w:space="0" w:color="auto"/>
          </w:divBdr>
        </w:div>
        <w:div w:id="435100709">
          <w:marLeft w:val="274"/>
          <w:marRight w:val="0"/>
          <w:marTop w:val="0"/>
          <w:marBottom w:val="0"/>
          <w:divBdr>
            <w:top w:val="none" w:sz="0" w:space="0" w:color="auto"/>
            <w:left w:val="none" w:sz="0" w:space="0" w:color="auto"/>
            <w:bottom w:val="none" w:sz="0" w:space="0" w:color="auto"/>
            <w:right w:val="none" w:sz="0" w:space="0" w:color="auto"/>
          </w:divBdr>
        </w:div>
        <w:div w:id="479151553">
          <w:marLeft w:val="274"/>
          <w:marRight w:val="0"/>
          <w:marTop w:val="0"/>
          <w:marBottom w:val="0"/>
          <w:divBdr>
            <w:top w:val="none" w:sz="0" w:space="0" w:color="auto"/>
            <w:left w:val="none" w:sz="0" w:space="0" w:color="auto"/>
            <w:bottom w:val="none" w:sz="0" w:space="0" w:color="auto"/>
            <w:right w:val="none" w:sz="0" w:space="0" w:color="auto"/>
          </w:divBdr>
        </w:div>
        <w:div w:id="1634751596">
          <w:marLeft w:val="274"/>
          <w:marRight w:val="0"/>
          <w:marTop w:val="0"/>
          <w:marBottom w:val="0"/>
          <w:divBdr>
            <w:top w:val="none" w:sz="0" w:space="0" w:color="auto"/>
            <w:left w:val="none" w:sz="0" w:space="0" w:color="auto"/>
            <w:bottom w:val="none" w:sz="0" w:space="0" w:color="auto"/>
            <w:right w:val="none" w:sz="0" w:space="0" w:color="auto"/>
          </w:divBdr>
        </w:div>
        <w:div w:id="1751148366">
          <w:marLeft w:val="274"/>
          <w:marRight w:val="0"/>
          <w:marTop w:val="0"/>
          <w:marBottom w:val="0"/>
          <w:divBdr>
            <w:top w:val="none" w:sz="0" w:space="0" w:color="auto"/>
            <w:left w:val="none" w:sz="0" w:space="0" w:color="auto"/>
            <w:bottom w:val="none" w:sz="0" w:space="0" w:color="auto"/>
            <w:right w:val="none" w:sz="0" w:space="0" w:color="auto"/>
          </w:divBdr>
        </w:div>
        <w:div w:id="2071536121">
          <w:marLeft w:val="274"/>
          <w:marRight w:val="0"/>
          <w:marTop w:val="0"/>
          <w:marBottom w:val="0"/>
          <w:divBdr>
            <w:top w:val="none" w:sz="0" w:space="0" w:color="auto"/>
            <w:left w:val="none" w:sz="0" w:space="0" w:color="auto"/>
            <w:bottom w:val="none" w:sz="0" w:space="0" w:color="auto"/>
            <w:right w:val="none" w:sz="0" w:space="0" w:color="auto"/>
          </w:divBdr>
        </w:div>
      </w:divsChild>
    </w:div>
    <w:div w:id="1865710674">
      <w:bodyDiv w:val="1"/>
      <w:marLeft w:val="0"/>
      <w:marRight w:val="0"/>
      <w:marTop w:val="0"/>
      <w:marBottom w:val="0"/>
      <w:divBdr>
        <w:top w:val="none" w:sz="0" w:space="0" w:color="auto"/>
        <w:left w:val="none" w:sz="0" w:space="0" w:color="auto"/>
        <w:bottom w:val="none" w:sz="0" w:space="0" w:color="auto"/>
        <w:right w:val="none" w:sz="0" w:space="0" w:color="auto"/>
      </w:divBdr>
      <w:divsChild>
        <w:div w:id="29645665">
          <w:marLeft w:val="274"/>
          <w:marRight w:val="0"/>
          <w:marTop w:val="0"/>
          <w:marBottom w:val="0"/>
          <w:divBdr>
            <w:top w:val="none" w:sz="0" w:space="0" w:color="auto"/>
            <w:left w:val="none" w:sz="0" w:space="0" w:color="auto"/>
            <w:bottom w:val="none" w:sz="0" w:space="0" w:color="auto"/>
            <w:right w:val="none" w:sz="0" w:space="0" w:color="auto"/>
          </w:divBdr>
        </w:div>
        <w:div w:id="35744472">
          <w:marLeft w:val="274"/>
          <w:marRight w:val="0"/>
          <w:marTop w:val="0"/>
          <w:marBottom w:val="0"/>
          <w:divBdr>
            <w:top w:val="none" w:sz="0" w:space="0" w:color="auto"/>
            <w:left w:val="none" w:sz="0" w:space="0" w:color="auto"/>
            <w:bottom w:val="none" w:sz="0" w:space="0" w:color="auto"/>
            <w:right w:val="none" w:sz="0" w:space="0" w:color="auto"/>
          </w:divBdr>
        </w:div>
        <w:div w:id="570698922">
          <w:marLeft w:val="274"/>
          <w:marRight w:val="0"/>
          <w:marTop w:val="0"/>
          <w:marBottom w:val="0"/>
          <w:divBdr>
            <w:top w:val="none" w:sz="0" w:space="0" w:color="auto"/>
            <w:left w:val="none" w:sz="0" w:space="0" w:color="auto"/>
            <w:bottom w:val="none" w:sz="0" w:space="0" w:color="auto"/>
            <w:right w:val="none" w:sz="0" w:space="0" w:color="auto"/>
          </w:divBdr>
        </w:div>
        <w:div w:id="1377587051">
          <w:marLeft w:val="274"/>
          <w:marRight w:val="0"/>
          <w:marTop w:val="0"/>
          <w:marBottom w:val="0"/>
          <w:divBdr>
            <w:top w:val="none" w:sz="0" w:space="0" w:color="auto"/>
            <w:left w:val="none" w:sz="0" w:space="0" w:color="auto"/>
            <w:bottom w:val="none" w:sz="0" w:space="0" w:color="auto"/>
            <w:right w:val="none" w:sz="0" w:space="0" w:color="auto"/>
          </w:divBdr>
        </w:div>
        <w:div w:id="1564442604">
          <w:marLeft w:val="274"/>
          <w:marRight w:val="0"/>
          <w:marTop w:val="0"/>
          <w:marBottom w:val="0"/>
          <w:divBdr>
            <w:top w:val="none" w:sz="0" w:space="0" w:color="auto"/>
            <w:left w:val="none" w:sz="0" w:space="0" w:color="auto"/>
            <w:bottom w:val="none" w:sz="0" w:space="0" w:color="auto"/>
            <w:right w:val="none" w:sz="0" w:space="0" w:color="auto"/>
          </w:divBdr>
        </w:div>
        <w:div w:id="1610043446">
          <w:marLeft w:val="274"/>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hyperlink" Target="mailto:abates@southhookgas.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nquiries@gasgovernance.co.uk" TargetMode="External"/><Relationship Id="rId34" Type="http://schemas.openxmlformats.org/officeDocument/2006/relationships/comments" Target="comments.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image" Target="media/image8.jpeg"/><Relationship Id="rId33" Type="http://schemas.openxmlformats.org/officeDocument/2006/relationships/hyperlink" Target="https://www.nationalgrid.com/sites/default/files/documents/45759-Capacity%20Guidance%20Doc_v1_0-140616.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enquiries@gasgovernance.co.uk" TargetMode="External"/><Relationship Id="rId29" Type="http://schemas.openxmlformats.org/officeDocument/2006/relationships/chart" Target="charts/chart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enquiries@gasgovernance.co.uk" TargetMode="External"/><Relationship Id="rId32" Type="http://schemas.openxmlformats.org/officeDocument/2006/relationships/hyperlink" Target="https://www.nationalgrid.com/uk/gas-transmission/data-and-operations/maintenance" TargetMode="External"/><Relationship Id="rId37" Type="http://schemas.microsoft.com/office/2018/08/relationships/commentsExtensible" Target="commentsExtensible.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7.jpeg"/><Relationship Id="rId28" Type="http://schemas.openxmlformats.org/officeDocument/2006/relationships/hyperlink" Target="mailto:UKLink@xoserve.com" TargetMode="External"/><Relationship Id="rId36" Type="http://schemas.microsoft.com/office/2016/09/relationships/commentsIds" Target="commentsIds.xml"/><Relationship Id="rId10" Type="http://schemas.openxmlformats.org/officeDocument/2006/relationships/styles" Target="styles.xml"/><Relationship Id="rId19" Type="http://schemas.openxmlformats.org/officeDocument/2006/relationships/image" Target="media/image5.jpeg"/><Relationship Id="rId31" Type="http://schemas.openxmlformats.org/officeDocument/2006/relationships/hyperlink" Target="https://www.gasgovernance.co.uk/sites/default/files/ggf/page/2020-12/4%20TPD%20Section%20B%20-%20System%20Use%20%26%20Capacity_0.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6.emf"/><Relationship Id="rId27" Type="http://schemas.openxmlformats.org/officeDocument/2006/relationships/hyperlink" Target="mailto:darren.lond@nationalgrid.com" TargetMode="External"/><Relationship Id="rId30" Type="http://schemas.openxmlformats.org/officeDocument/2006/relationships/hyperlink" Target="https://www.gasgovernance.co.uk/sites/default/files/ggf/page/2020-12/4%20TPD%20Section%20B%20-%20System%20Use%20%26%20Capacity_0.pdf"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17R0460" TargetMode="External"/><Relationship Id="rId2" Type="http://schemas.openxmlformats.org/officeDocument/2006/relationships/hyperlink" Target="https://www.nationalgrid.com/uk/gas-transmission/document/128001/download" TargetMode="External"/><Relationship Id="rId1" Type="http://schemas.openxmlformats.org/officeDocument/2006/relationships/hyperlink" Target="https://www.gasgovernance.co.uk/0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GB" sz="797" b="1" dirty="0">
                <a:latin typeface="Arial" panose="020B0604020202020204" pitchFamily="34" charset="0"/>
                <a:cs typeface="Arial" panose="020B0604020202020204" pitchFamily="34" charset="0"/>
              </a:rPr>
              <a:t>Indicative summer </a:t>
            </a:r>
            <a:r>
              <a:rPr lang="en-GB" sz="797" b="1" baseline="0" dirty="0">
                <a:latin typeface="Arial" panose="020B0604020202020204" pitchFamily="34" charset="0"/>
                <a:cs typeface="Arial" panose="020B0604020202020204" pitchFamily="34" charset="0"/>
              </a:rPr>
              <a:t>flow capability for Milford Haven ASEP as a result of p</a:t>
            </a:r>
            <a:r>
              <a:rPr lang="en-GB" sz="797" b="1" dirty="0">
                <a:latin typeface="Arial" panose="020B0604020202020204" pitchFamily="34" charset="0"/>
                <a:cs typeface="Arial" panose="020B0604020202020204" pitchFamily="34" charset="0"/>
              </a:rPr>
              <a:t>lanned maintenance between 2015 and 2020</a:t>
            </a:r>
          </a:p>
        </c:rich>
      </c:tx>
      <c:overlay val="0"/>
      <c:spPr>
        <a:noFill/>
        <a:ln>
          <a:noFill/>
        </a:ln>
        <a:effectLst/>
      </c:spPr>
    </c:title>
    <c:autoTitleDeleted val="0"/>
    <c:plotArea>
      <c:layout/>
      <c:barChart>
        <c:barDir val="col"/>
        <c:grouping val="clustered"/>
        <c:varyColors val="0"/>
        <c:ser>
          <c:idx val="1"/>
          <c:order val="1"/>
          <c:tx>
            <c:strRef>
              <c:f>Sheet1!$B$42</c:f>
              <c:strCache>
                <c:ptCount val="1"/>
                <c:pt idx="0">
                  <c:v>2015</c:v>
                </c:pt>
              </c:strCache>
            </c:strRef>
          </c:tx>
          <c:spPr>
            <a:solidFill>
              <a:schemeClr val="accent2"/>
            </a:solidFill>
            <a:ln>
              <a:noFill/>
            </a:ln>
            <a:effectLst/>
          </c:spPr>
          <c:invertIfNegative val="0"/>
          <c:cat>
            <c:strRef>
              <c:f>Sheet1!$C$40:$I$40</c:f>
              <c:strCache>
                <c:ptCount val="7"/>
                <c:pt idx="0">
                  <c:v>April</c:v>
                </c:pt>
                <c:pt idx="1">
                  <c:v>May</c:v>
                </c:pt>
                <c:pt idx="2">
                  <c:v>June</c:v>
                </c:pt>
                <c:pt idx="3">
                  <c:v>July</c:v>
                </c:pt>
                <c:pt idx="4">
                  <c:v>August</c:v>
                </c:pt>
                <c:pt idx="5">
                  <c:v>September</c:v>
                </c:pt>
                <c:pt idx="6">
                  <c:v>October</c:v>
                </c:pt>
              </c:strCache>
            </c:strRef>
          </c:cat>
          <c:val>
            <c:numRef>
              <c:f>Sheet1!$C$42:$I$42</c:f>
              <c:numCache>
                <c:formatCode>General</c:formatCode>
                <c:ptCount val="7"/>
                <c:pt idx="0">
                  <c:v>950</c:v>
                </c:pt>
                <c:pt idx="1">
                  <c:v>950</c:v>
                </c:pt>
                <c:pt idx="2">
                  <c:v>950</c:v>
                </c:pt>
                <c:pt idx="3">
                  <c:v>950</c:v>
                </c:pt>
                <c:pt idx="4">
                  <c:v>950</c:v>
                </c:pt>
                <c:pt idx="5">
                  <c:v>649</c:v>
                </c:pt>
                <c:pt idx="6">
                  <c:v>950</c:v>
                </c:pt>
              </c:numCache>
            </c:numRef>
          </c:val>
          <c:extLst>
            <c:ext xmlns:c16="http://schemas.microsoft.com/office/drawing/2014/chart" uri="{C3380CC4-5D6E-409C-BE32-E72D297353CC}">
              <c16:uniqueId val="{00000000-DE69-47D7-AE2B-33D03D64D7CB}"/>
            </c:ext>
          </c:extLst>
        </c:ser>
        <c:ser>
          <c:idx val="2"/>
          <c:order val="2"/>
          <c:tx>
            <c:strRef>
              <c:f>Sheet1!$B$43</c:f>
              <c:strCache>
                <c:ptCount val="1"/>
                <c:pt idx="0">
                  <c:v>2016</c:v>
                </c:pt>
              </c:strCache>
            </c:strRef>
          </c:tx>
          <c:spPr>
            <a:solidFill>
              <a:schemeClr val="accent3"/>
            </a:solidFill>
            <a:ln>
              <a:noFill/>
            </a:ln>
            <a:effectLst/>
          </c:spPr>
          <c:invertIfNegative val="0"/>
          <c:cat>
            <c:strRef>
              <c:f>Sheet1!$C$40:$I$40</c:f>
              <c:strCache>
                <c:ptCount val="7"/>
                <c:pt idx="0">
                  <c:v>April</c:v>
                </c:pt>
                <c:pt idx="1">
                  <c:v>May</c:v>
                </c:pt>
                <c:pt idx="2">
                  <c:v>June</c:v>
                </c:pt>
                <c:pt idx="3">
                  <c:v>July</c:v>
                </c:pt>
                <c:pt idx="4">
                  <c:v>August</c:v>
                </c:pt>
                <c:pt idx="5">
                  <c:v>September</c:v>
                </c:pt>
                <c:pt idx="6">
                  <c:v>October</c:v>
                </c:pt>
              </c:strCache>
            </c:strRef>
          </c:cat>
          <c:val>
            <c:numRef>
              <c:f>Sheet1!$C$43:$I$43</c:f>
              <c:numCache>
                <c:formatCode>General</c:formatCode>
                <c:ptCount val="7"/>
                <c:pt idx="0">
                  <c:v>950</c:v>
                </c:pt>
                <c:pt idx="1">
                  <c:v>704</c:v>
                </c:pt>
                <c:pt idx="2">
                  <c:v>950</c:v>
                </c:pt>
                <c:pt idx="3">
                  <c:v>770</c:v>
                </c:pt>
                <c:pt idx="4">
                  <c:v>950</c:v>
                </c:pt>
                <c:pt idx="5">
                  <c:v>726</c:v>
                </c:pt>
                <c:pt idx="6">
                  <c:v>950</c:v>
                </c:pt>
              </c:numCache>
            </c:numRef>
          </c:val>
          <c:extLst>
            <c:ext xmlns:c16="http://schemas.microsoft.com/office/drawing/2014/chart" uri="{C3380CC4-5D6E-409C-BE32-E72D297353CC}">
              <c16:uniqueId val="{00000001-DE69-47D7-AE2B-33D03D64D7CB}"/>
            </c:ext>
          </c:extLst>
        </c:ser>
        <c:ser>
          <c:idx val="3"/>
          <c:order val="3"/>
          <c:tx>
            <c:strRef>
              <c:f>Sheet1!$B$44</c:f>
              <c:strCache>
                <c:ptCount val="1"/>
                <c:pt idx="0">
                  <c:v>2017</c:v>
                </c:pt>
              </c:strCache>
            </c:strRef>
          </c:tx>
          <c:spPr>
            <a:solidFill>
              <a:schemeClr val="accent4"/>
            </a:solidFill>
            <a:ln>
              <a:noFill/>
            </a:ln>
            <a:effectLst/>
          </c:spPr>
          <c:invertIfNegative val="0"/>
          <c:cat>
            <c:strRef>
              <c:f>Sheet1!$C$40:$I$40</c:f>
              <c:strCache>
                <c:ptCount val="7"/>
                <c:pt idx="0">
                  <c:v>April</c:v>
                </c:pt>
                <c:pt idx="1">
                  <c:v>May</c:v>
                </c:pt>
                <c:pt idx="2">
                  <c:v>June</c:v>
                </c:pt>
                <c:pt idx="3">
                  <c:v>July</c:v>
                </c:pt>
                <c:pt idx="4">
                  <c:v>August</c:v>
                </c:pt>
                <c:pt idx="5">
                  <c:v>September</c:v>
                </c:pt>
                <c:pt idx="6">
                  <c:v>October</c:v>
                </c:pt>
              </c:strCache>
            </c:strRef>
          </c:cat>
          <c:val>
            <c:numRef>
              <c:f>Sheet1!$C$44:$I$44</c:f>
              <c:numCache>
                <c:formatCode>General</c:formatCode>
                <c:ptCount val="7"/>
                <c:pt idx="0">
                  <c:v>693</c:v>
                </c:pt>
                <c:pt idx="1">
                  <c:v>950</c:v>
                </c:pt>
                <c:pt idx="2">
                  <c:v>583</c:v>
                </c:pt>
                <c:pt idx="3">
                  <c:v>583</c:v>
                </c:pt>
                <c:pt idx="4">
                  <c:v>495</c:v>
                </c:pt>
                <c:pt idx="5">
                  <c:v>627</c:v>
                </c:pt>
                <c:pt idx="6">
                  <c:v>950</c:v>
                </c:pt>
              </c:numCache>
            </c:numRef>
          </c:val>
          <c:extLst>
            <c:ext xmlns:c16="http://schemas.microsoft.com/office/drawing/2014/chart" uri="{C3380CC4-5D6E-409C-BE32-E72D297353CC}">
              <c16:uniqueId val="{00000002-DE69-47D7-AE2B-33D03D64D7CB}"/>
            </c:ext>
          </c:extLst>
        </c:ser>
        <c:ser>
          <c:idx val="4"/>
          <c:order val="4"/>
          <c:tx>
            <c:strRef>
              <c:f>Sheet1!$B$45</c:f>
              <c:strCache>
                <c:ptCount val="1"/>
                <c:pt idx="0">
                  <c:v>2018</c:v>
                </c:pt>
              </c:strCache>
            </c:strRef>
          </c:tx>
          <c:spPr>
            <a:solidFill>
              <a:schemeClr val="accent5"/>
            </a:solidFill>
            <a:ln>
              <a:noFill/>
            </a:ln>
            <a:effectLst/>
          </c:spPr>
          <c:invertIfNegative val="0"/>
          <c:cat>
            <c:strRef>
              <c:f>Sheet1!$C$40:$I$40</c:f>
              <c:strCache>
                <c:ptCount val="7"/>
                <c:pt idx="0">
                  <c:v>April</c:v>
                </c:pt>
                <c:pt idx="1">
                  <c:v>May</c:v>
                </c:pt>
                <c:pt idx="2">
                  <c:v>June</c:v>
                </c:pt>
                <c:pt idx="3">
                  <c:v>July</c:v>
                </c:pt>
                <c:pt idx="4">
                  <c:v>August</c:v>
                </c:pt>
                <c:pt idx="5">
                  <c:v>September</c:v>
                </c:pt>
                <c:pt idx="6">
                  <c:v>October</c:v>
                </c:pt>
              </c:strCache>
            </c:strRef>
          </c:cat>
          <c:val>
            <c:numRef>
              <c:f>Sheet1!$C$45:$I$45</c:f>
              <c:numCache>
                <c:formatCode>General</c:formatCode>
                <c:ptCount val="7"/>
                <c:pt idx="0">
                  <c:v>825</c:v>
                </c:pt>
                <c:pt idx="1">
                  <c:v>594</c:v>
                </c:pt>
                <c:pt idx="2">
                  <c:v>550</c:v>
                </c:pt>
                <c:pt idx="3">
                  <c:v>517</c:v>
                </c:pt>
                <c:pt idx="4">
                  <c:v>572</c:v>
                </c:pt>
                <c:pt idx="5">
                  <c:v>583</c:v>
                </c:pt>
                <c:pt idx="6">
                  <c:v>950</c:v>
                </c:pt>
              </c:numCache>
            </c:numRef>
          </c:val>
          <c:extLst>
            <c:ext xmlns:c16="http://schemas.microsoft.com/office/drawing/2014/chart" uri="{C3380CC4-5D6E-409C-BE32-E72D297353CC}">
              <c16:uniqueId val="{00000003-DE69-47D7-AE2B-33D03D64D7CB}"/>
            </c:ext>
          </c:extLst>
        </c:ser>
        <c:ser>
          <c:idx val="5"/>
          <c:order val="5"/>
          <c:tx>
            <c:strRef>
              <c:f>Sheet1!$B$46</c:f>
              <c:strCache>
                <c:ptCount val="1"/>
                <c:pt idx="0">
                  <c:v>2019</c:v>
                </c:pt>
              </c:strCache>
            </c:strRef>
          </c:tx>
          <c:spPr>
            <a:solidFill>
              <a:schemeClr val="accent6"/>
            </a:solidFill>
            <a:ln>
              <a:noFill/>
            </a:ln>
            <a:effectLst/>
          </c:spPr>
          <c:invertIfNegative val="0"/>
          <c:cat>
            <c:strRef>
              <c:f>Sheet1!$C$40:$I$40</c:f>
              <c:strCache>
                <c:ptCount val="7"/>
                <c:pt idx="0">
                  <c:v>April</c:v>
                </c:pt>
                <c:pt idx="1">
                  <c:v>May</c:v>
                </c:pt>
                <c:pt idx="2">
                  <c:v>June</c:v>
                </c:pt>
                <c:pt idx="3">
                  <c:v>July</c:v>
                </c:pt>
                <c:pt idx="4">
                  <c:v>August</c:v>
                </c:pt>
                <c:pt idx="5">
                  <c:v>September</c:v>
                </c:pt>
                <c:pt idx="6">
                  <c:v>October</c:v>
                </c:pt>
              </c:strCache>
            </c:strRef>
          </c:cat>
          <c:val>
            <c:numRef>
              <c:f>Sheet1!$C$46:$I$46</c:f>
              <c:numCache>
                <c:formatCode>General</c:formatCode>
                <c:ptCount val="7"/>
                <c:pt idx="0">
                  <c:v>594</c:v>
                </c:pt>
                <c:pt idx="1">
                  <c:v>583</c:v>
                </c:pt>
                <c:pt idx="2">
                  <c:v>605</c:v>
                </c:pt>
                <c:pt idx="3">
                  <c:v>605</c:v>
                </c:pt>
                <c:pt idx="4">
                  <c:v>627</c:v>
                </c:pt>
                <c:pt idx="5">
                  <c:v>572</c:v>
                </c:pt>
                <c:pt idx="6">
                  <c:v>950</c:v>
                </c:pt>
              </c:numCache>
            </c:numRef>
          </c:val>
          <c:extLst>
            <c:ext xmlns:c16="http://schemas.microsoft.com/office/drawing/2014/chart" uri="{C3380CC4-5D6E-409C-BE32-E72D297353CC}">
              <c16:uniqueId val="{00000004-DE69-47D7-AE2B-33D03D64D7CB}"/>
            </c:ext>
          </c:extLst>
        </c:ser>
        <c:ser>
          <c:idx val="6"/>
          <c:order val="6"/>
          <c:tx>
            <c:strRef>
              <c:f>Sheet1!$B$47</c:f>
              <c:strCache>
                <c:ptCount val="1"/>
                <c:pt idx="0">
                  <c:v>2020</c:v>
                </c:pt>
              </c:strCache>
            </c:strRef>
          </c:tx>
          <c:spPr>
            <a:solidFill>
              <a:schemeClr val="accent1">
                <a:lumMod val="60000"/>
              </a:schemeClr>
            </a:solidFill>
            <a:ln>
              <a:noFill/>
            </a:ln>
            <a:effectLst/>
          </c:spPr>
          <c:invertIfNegative val="0"/>
          <c:cat>
            <c:strRef>
              <c:f>Sheet1!$C$40:$I$40</c:f>
              <c:strCache>
                <c:ptCount val="7"/>
                <c:pt idx="0">
                  <c:v>April</c:v>
                </c:pt>
                <c:pt idx="1">
                  <c:v>May</c:v>
                </c:pt>
                <c:pt idx="2">
                  <c:v>June</c:v>
                </c:pt>
                <c:pt idx="3">
                  <c:v>July</c:v>
                </c:pt>
                <c:pt idx="4">
                  <c:v>August</c:v>
                </c:pt>
                <c:pt idx="5">
                  <c:v>September</c:v>
                </c:pt>
                <c:pt idx="6">
                  <c:v>October</c:v>
                </c:pt>
              </c:strCache>
            </c:strRef>
          </c:cat>
          <c:val>
            <c:numRef>
              <c:f>Sheet1!$C$47:$I$47</c:f>
              <c:numCache>
                <c:formatCode>General</c:formatCode>
                <c:ptCount val="7"/>
                <c:pt idx="0">
                  <c:v>950</c:v>
                </c:pt>
                <c:pt idx="1">
                  <c:v>594</c:v>
                </c:pt>
                <c:pt idx="2">
                  <c:v>572</c:v>
                </c:pt>
                <c:pt idx="3">
                  <c:v>660</c:v>
                </c:pt>
                <c:pt idx="4">
                  <c:v>660</c:v>
                </c:pt>
                <c:pt idx="5">
                  <c:v>517</c:v>
                </c:pt>
                <c:pt idx="6">
                  <c:v>950</c:v>
                </c:pt>
              </c:numCache>
            </c:numRef>
          </c:val>
          <c:extLst>
            <c:ext xmlns:c16="http://schemas.microsoft.com/office/drawing/2014/chart" uri="{C3380CC4-5D6E-409C-BE32-E72D297353CC}">
              <c16:uniqueId val="{00000005-DE69-47D7-AE2B-33D03D64D7CB}"/>
            </c:ext>
          </c:extLst>
        </c:ser>
        <c:dLbls>
          <c:showLegendKey val="0"/>
          <c:showVal val="0"/>
          <c:showCatName val="0"/>
          <c:showSerName val="0"/>
          <c:showPercent val="0"/>
          <c:showBubbleSize val="0"/>
        </c:dLbls>
        <c:gapWidth val="219"/>
        <c:overlap val="-27"/>
        <c:axId val="205283512"/>
        <c:axId val="1"/>
      </c:barChart>
      <c:lineChart>
        <c:grouping val="standard"/>
        <c:varyColors val="0"/>
        <c:ser>
          <c:idx val="0"/>
          <c:order val="0"/>
          <c:tx>
            <c:strRef>
              <c:f>Sheet1!$B$41</c:f>
              <c:strCache>
                <c:ptCount val="1"/>
                <c:pt idx="0">
                  <c:v>Baseline</c:v>
                </c:pt>
              </c:strCache>
            </c:strRef>
          </c:tx>
          <c:spPr>
            <a:ln w="28463" cap="rnd">
              <a:solidFill>
                <a:srgbClr val="141313"/>
              </a:solidFill>
              <a:round/>
            </a:ln>
            <a:effectLst/>
          </c:spPr>
          <c:marker>
            <c:symbol val="none"/>
          </c:marker>
          <c:cat>
            <c:strRef>
              <c:f>Sheet1!$C$40:$I$40</c:f>
              <c:strCache>
                <c:ptCount val="7"/>
                <c:pt idx="0">
                  <c:v>April</c:v>
                </c:pt>
                <c:pt idx="1">
                  <c:v>May</c:v>
                </c:pt>
                <c:pt idx="2">
                  <c:v>June</c:v>
                </c:pt>
                <c:pt idx="3">
                  <c:v>July</c:v>
                </c:pt>
                <c:pt idx="4">
                  <c:v>August</c:v>
                </c:pt>
                <c:pt idx="5">
                  <c:v>September</c:v>
                </c:pt>
                <c:pt idx="6">
                  <c:v>October</c:v>
                </c:pt>
              </c:strCache>
            </c:strRef>
          </c:cat>
          <c:val>
            <c:numRef>
              <c:f>Sheet1!$C$41:$I$41</c:f>
              <c:numCache>
                <c:formatCode>General</c:formatCode>
                <c:ptCount val="7"/>
                <c:pt idx="0">
                  <c:v>950</c:v>
                </c:pt>
                <c:pt idx="1">
                  <c:v>950</c:v>
                </c:pt>
                <c:pt idx="2">
                  <c:v>950</c:v>
                </c:pt>
                <c:pt idx="3">
                  <c:v>950</c:v>
                </c:pt>
                <c:pt idx="4">
                  <c:v>950</c:v>
                </c:pt>
                <c:pt idx="5">
                  <c:v>950</c:v>
                </c:pt>
                <c:pt idx="6">
                  <c:v>950</c:v>
                </c:pt>
              </c:numCache>
            </c:numRef>
          </c:val>
          <c:smooth val="0"/>
          <c:extLst>
            <c:ext xmlns:c16="http://schemas.microsoft.com/office/drawing/2014/chart" uri="{C3380CC4-5D6E-409C-BE32-E72D297353CC}">
              <c16:uniqueId val="{00000006-DE69-47D7-AE2B-33D03D64D7CB}"/>
            </c:ext>
          </c:extLst>
        </c:ser>
        <c:dLbls>
          <c:showLegendKey val="0"/>
          <c:showVal val="0"/>
          <c:showCatName val="0"/>
          <c:showSerName val="0"/>
          <c:showPercent val="0"/>
          <c:showBubbleSize val="0"/>
        </c:dLbls>
        <c:marker val="1"/>
        <c:smooth val="0"/>
        <c:axId val="205283512"/>
        <c:axId val="1"/>
      </c:lineChart>
      <c:catAx>
        <c:axId val="205283512"/>
        <c:scaling>
          <c:orientation val="minMax"/>
        </c:scaling>
        <c:delete val="0"/>
        <c:axPos val="b"/>
        <c:numFmt formatCode="General" sourceLinked="1"/>
        <c:majorTickMark val="none"/>
        <c:minorTickMark val="none"/>
        <c:tickLblPos val="nextTo"/>
        <c:spPr>
          <a:noFill/>
          <a:ln w="9488" cap="flat" cmpd="sng" algn="ctr">
            <a:solidFill>
              <a:schemeClr val="tx1">
                <a:lumMod val="15000"/>
                <a:lumOff val="85000"/>
              </a:schemeClr>
            </a:solidFill>
            <a:round/>
          </a:ln>
          <a:effectLst/>
        </c:spPr>
        <c:txPr>
          <a:bodyPr rot="-60000000" spcFirstLastPara="1" vertOverflow="ellipsis" vert="horz" wrap="square" anchor="ctr" anchorCtr="1"/>
          <a:lstStyle/>
          <a:p>
            <a:pPr>
              <a:defRPr sz="797"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488" cap="flat" cmpd="sng" algn="ctr">
              <a:solidFill>
                <a:schemeClr val="tx1">
                  <a:lumMod val="15000"/>
                  <a:lumOff val="85000"/>
                </a:schemeClr>
              </a:solidFill>
              <a:round/>
            </a:ln>
            <a:effectLst/>
          </c:spPr>
        </c:majorGridlines>
        <c:title>
          <c:tx>
            <c:rich>
              <a:bodyPr/>
              <a:lstStyle/>
              <a:p>
                <a:pPr>
                  <a:defRPr sz="797" b="0" i="0" u="none" strike="noStrike" baseline="0">
                    <a:solidFill>
                      <a:srgbClr val="333333"/>
                    </a:solidFill>
                    <a:latin typeface="Calibri"/>
                    <a:ea typeface="Calibri"/>
                    <a:cs typeface="Calibri"/>
                  </a:defRPr>
                </a:pPr>
                <a:r>
                  <a:rPr lang="en-GB"/>
                  <a:t>Available Capability (GWh)</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97" b="0" i="0" u="none" strike="noStrike" kern="1200" baseline="0">
                <a:solidFill>
                  <a:schemeClr val="tx1">
                    <a:lumMod val="65000"/>
                    <a:lumOff val="35000"/>
                  </a:schemeClr>
                </a:solidFill>
                <a:latin typeface="+mn-lt"/>
                <a:ea typeface="+mn-ea"/>
                <a:cs typeface="+mn-cs"/>
              </a:defRPr>
            </a:pPr>
            <a:endParaRPr lang="en-US"/>
          </a:p>
        </c:txPr>
        <c:crossAx val="205283512"/>
        <c:crosses val="autoZero"/>
        <c:crossBetween val="between"/>
      </c:valAx>
      <c:spPr>
        <a:noFill/>
        <a:ln w="25300">
          <a:noFill/>
        </a:ln>
      </c:spPr>
    </c:plotArea>
    <c:legend>
      <c:legendPos val="b"/>
      <c:overlay val="0"/>
      <c:spPr>
        <a:noFill/>
        <a:ln>
          <a:noFill/>
        </a:ln>
        <a:effectLst/>
      </c:spPr>
      <c:txPr>
        <a:bodyPr rot="0" spcFirstLastPara="1" vertOverflow="ellipsis" vert="horz" wrap="square" anchor="ctr" anchorCtr="1"/>
        <a:lstStyle/>
        <a:p>
          <a:pPr>
            <a:defRPr sz="598"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8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745D585ED404BBCCFF567EE255FAB" ma:contentTypeVersion="11" ma:contentTypeDescription="Create a new document." ma:contentTypeScope="" ma:versionID="cf9ec9fc148b46ce9fcab496a3e38351">
  <xsd:schema xmlns:xsd="http://www.w3.org/2001/XMLSchema" xmlns:xs="http://www.w3.org/2001/XMLSchema" xmlns:p="http://schemas.microsoft.com/office/2006/metadata/properties" xmlns:ns3="38625667-6187-49e6-b11c-f97b793d4167" xmlns:ns4="a2ac012c-8f10-4cac-bac5-78174aa4aec2" targetNamespace="http://schemas.microsoft.com/office/2006/metadata/properties" ma:root="true" ma:fieldsID="401a10553e4b1e3e7da4f6e3c119ffd2" ns3:_="" ns4:_="">
    <xsd:import namespace="38625667-6187-49e6-b11c-f97b793d4167"/>
    <xsd:import namespace="a2ac012c-8f10-4cac-bac5-78174aa4aec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25667-6187-49e6-b11c-f97b793d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c012c-8f10-4cac-bac5-78174aa4ae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A745D585ED404BBCCFF567EE255FAB" ma:contentTypeVersion="11" ma:contentTypeDescription="Create a new document." ma:contentTypeScope="" ma:versionID="cf9ec9fc148b46ce9fcab496a3e38351">
  <xsd:schema xmlns:xsd="http://www.w3.org/2001/XMLSchema" xmlns:xs="http://www.w3.org/2001/XMLSchema" xmlns:p="http://schemas.microsoft.com/office/2006/metadata/properties" xmlns:ns3="38625667-6187-49e6-b11c-f97b793d4167" xmlns:ns4="a2ac012c-8f10-4cac-bac5-78174aa4aec2" targetNamespace="http://schemas.microsoft.com/office/2006/metadata/properties" ma:root="true" ma:fieldsID="401a10553e4b1e3e7da4f6e3c119ffd2" ns3:_="" ns4:_="">
    <xsd:import namespace="38625667-6187-49e6-b11c-f97b793d4167"/>
    <xsd:import namespace="a2ac012c-8f10-4cac-bac5-78174aa4aec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25667-6187-49e6-b11c-f97b793d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c012c-8f10-4cac-bac5-78174aa4ae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054B-6592-4BBE-B04E-DA6DC88CBF40}">
  <ds:schemaRefs>
    <ds:schemaRef ds:uri="http://schemas.microsoft.com/office/2006/metadata/longProperties"/>
  </ds:schemaRefs>
</ds:datastoreItem>
</file>

<file path=customXml/itemProps2.xml><?xml version="1.0" encoding="utf-8"?>
<ds:datastoreItem xmlns:ds="http://schemas.openxmlformats.org/officeDocument/2006/customXml" ds:itemID="{56ED5F90-D495-401A-A8C7-20F60704501B}">
  <ds:schemaRefs>
    <ds:schemaRef ds:uri="http://schemas.microsoft.com/sharepoint/v3/contenttype/forms"/>
  </ds:schemaRefs>
</ds:datastoreItem>
</file>

<file path=customXml/itemProps3.xml><?xml version="1.0" encoding="utf-8"?>
<ds:datastoreItem xmlns:ds="http://schemas.openxmlformats.org/officeDocument/2006/customXml" ds:itemID="{9B0781D2-5BCB-4521-A43D-596A8A9DC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25667-6187-49e6-b11c-f97b793d4167"/>
    <ds:schemaRef ds:uri="a2ac012c-8f10-4cac-bac5-78174aa4a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EB9A9-E8C4-4E71-971F-CE58BFF5F73A}">
  <ds:schemaRefs>
    <ds:schemaRef ds:uri="http://schemas.microsoft.com/sharepoint/v3/contenttype/forms"/>
  </ds:schemaRefs>
</ds:datastoreItem>
</file>

<file path=customXml/itemProps5.xml><?xml version="1.0" encoding="utf-8"?>
<ds:datastoreItem xmlns:ds="http://schemas.openxmlformats.org/officeDocument/2006/customXml" ds:itemID="{206848D7-FABA-43B9-8B86-9AD4112A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25667-6187-49e6-b11c-f97b793d4167"/>
    <ds:schemaRef ds:uri="a2ac012c-8f10-4cac-bac5-78174aa4a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6229DA-882F-4E8D-99B5-B9C3387AEDDE}">
  <ds:schemaRefs>
    <ds:schemaRef ds:uri="http://schemas.openxmlformats.org/officeDocument/2006/bibliography"/>
  </ds:schemaRefs>
</ds:datastoreItem>
</file>

<file path=customXml/itemProps7.xml><?xml version="1.0" encoding="utf-8"?>
<ds:datastoreItem xmlns:ds="http://schemas.openxmlformats.org/officeDocument/2006/customXml" ds:itemID="{D091628A-7B88-4C7B-9E6A-8871E2077DCC}">
  <ds:schemaRefs>
    <ds:schemaRef ds:uri="http://schemas.microsoft.com/office/2006/metadata/longProperties"/>
  </ds:schemaRefs>
</ds:datastoreItem>
</file>

<file path=customXml/itemProps8.xml><?xml version="1.0" encoding="utf-8"?>
<ds:datastoreItem xmlns:ds="http://schemas.openxmlformats.org/officeDocument/2006/customXml" ds:itemID="{6759781A-9E60-46F3-AD69-A5B6F2D59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22457</CharactersWithSpaces>
  <SharedDoc>false</SharedDoc>
  <HyperlinkBase/>
  <HLinks>
    <vt:vector size="66" baseType="variant">
      <vt:variant>
        <vt:i4>393229</vt:i4>
      </vt:variant>
      <vt:variant>
        <vt:i4>63</vt:i4>
      </vt:variant>
      <vt:variant>
        <vt:i4>0</vt:i4>
      </vt:variant>
      <vt:variant>
        <vt:i4>5</vt:i4>
      </vt:variant>
      <vt:variant>
        <vt:lpwstr>https://www.nationalgrid.com/sites/default/files/documents/45759-Capacity Guidance Doc_v1_0-140616.pdf</vt:lpwstr>
      </vt:variant>
      <vt:variant>
        <vt:lpwstr/>
      </vt:variant>
      <vt:variant>
        <vt:i4>4718681</vt:i4>
      </vt:variant>
      <vt:variant>
        <vt:i4>60</vt:i4>
      </vt:variant>
      <vt:variant>
        <vt:i4>0</vt:i4>
      </vt:variant>
      <vt:variant>
        <vt:i4>5</vt:i4>
      </vt:variant>
      <vt:variant>
        <vt:lpwstr>https://www.nationalgrid.com/uk/gas-transmission/data-and-operations/maintenance</vt:lpwstr>
      </vt:variant>
      <vt:variant>
        <vt:lpwstr/>
      </vt:variant>
      <vt:variant>
        <vt:i4>589928</vt:i4>
      </vt:variant>
      <vt:variant>
        <vt:i4>57</vt:i4>
      </vt:variant>
      <vt:variant>
        <vt:i4>0</vt:i4>
      </vt:variant>
      <vt:variant>
        <vt:i4>5</vt:i4>
      </vt:variant>
      <vt:variant>
        <vt:lpwstr>https://www.gasgovernance.co.uk/sites/default/files/ggf/page/2020-12/4 TPD Section B - System Use %26 Capacity_0.pdf</vt:lpwstr>
      </vt:variant>
      <vt:variant>
        <vt:lpwstr/>
      </vt:variant>
      <vt:variant>
        <vt:i4>589928</vt:i4>
      </vt:variant>
      <vt:variant>
        <vt:i4>54</vt:i4>
      </vt:variant>
      <vt:variant>
        <vt:i4>0</vt:i4>
      </vt:variant>
      <vt:variant>
        <vt:i4>5</vt:i4>
      </vt:variant>
      <vt:variant>
        <vt:lpwstr>https://www.gasgovernance.co.uk/sites/default/files/ggf/page/2020-12/4 TPD Section B - System Use %26 Capacity_0.pdf</vt:lpwstr>
      </vt:variant>
      <vt:variant>
        <vt:lpwstr/>
      </vt:variant>
      <vt:variant>
        <vt:i4>6815836</vt:i4>
      </vt:variant>
      <vt:variant>
        <vt:i4>42</vt:i4>
      </vt:variant>
      <vt:variant>
        <vt:i4>0</vt:i4>
      </vt:variant>
      <vt:variant>
        <vt:i4>5</vt:i4>
      </vt:variant>
      <vt:variant>
        <vt:lpwstr>mailto:UKLink@xoserve.com</vt:lpwstr>
      </vt:variant>
      <vt:variant>
        <vt:lpwstr/>
      </vt:variant>
      <vt:variant>
        <vt:i4>7274506</vt:i4>
      </vt:variant>
      <vt:variant>
        <vt:i4>39</vt:i4>
      </vt:variant>
      <vt:variant>
        <vt:i4>0</vt:i4>
      </vt:variant>
      <vt:variant>
        <vt:i4>5</vt:i4>
      </vt:variant>
      <vt:variant>
        <vt:lpwstr>mailto:darren.lond@nationalgrid.com</vt:lpwstr>
      </vt:variant>
      <vt:variant>
        <vt:lpwstr/>
      </vt:variant>
      <vt:variant>
        <vt:i4>4259941</vt:i4>
      </vt:variant>
      <vt:variant>
        <vt:i4>36</vt:i4>
      </vt:variant>
      <vt:variant>
        <vt:i4>0</vt:i4>
      </vt:variant>
      <vt:variant>
        <vt:i4>5</vt:i4>
      </vt:variant>
      <vt:variant>
        <vt:lpwstr>mailto:abates@southhookgas.com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5177348</vt:i4>
      </vt:variant>
      <vt:variant>
        <vt:i4>3</vt:i4>
      </vt:variant>
      <vt:variant>
        <vt:i4>0</vt:i4>
      </vt:variant>
      <vt:variant>
        <vt:i4>5</vt:i4>
      </vt:variant>
      <vt:variant>
        <vt:lpwstr>https://www.nationalgrid.com/uk/gas-transmission/document/128001/download</vt:lpwstr>
      </vt:variant>
      <vt:variant>
        <vt:lpwstr/>
      </vt:variant>
      <vt:variant>
        <vt:i4>6094874</vt:i4>
      </vt:variant>
      <vt:variant>
        <vt:i4>0</vt:i4>
      </vt:variant>
      <vt:variant>
        <vt:i4>0</vt:i4>
      </vt:variant>
      <vt:variant>
        <vt:i4>5</vt:i4>
      </vt:variant>
      <vt:variant>
        <vt:lpwstr>https://www.gasgovernance.co.uk/0678</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9</cp:revision>
  <cp:lastPrinted>2021-03-02T16:09:00Z</cp:lastPrinted>
  <dcterms:created xsi:type="dcterms:W3CDTF">2021-03-30T13:04:00Z</dcterms:created>
  <dcterms:modified xsi:type="dcterms:W3CDTF">2021-03-30T14:05:00Z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0x01010036A745D585ED404BBCCFF567EE255FAB</vt:lpwstr>
  </property>
  <property fmtid="{D5CDD505-2E9C-101B-9397-08002B2CF9AE}" pid="3" name="_dlc_DocIdPersistId">
    <vt:lpwstr/>
  </property>
  <property fmtid="{D5CDD505-2E9C-101B-9397-08002B2CF9AE}" pid="4" name="TaxCatchAll">
    <vt:lpwstr/>
  </property>
  <property fmtid="{D5CDD505-2E9C-101B-9397-08002B2CF9AE}" pid="5" name="Audience">
    <vt:lpwstr/>
  </property>
  <property fmtid="{D5CDD505-2E9C-101B-9397-08002B2CF9AE}" pid="6" name="Topic(s)">
    <vt:lpwstr/>
  </property>
  <property fmtid="{D5CDD505-2E9C-101B-9397-08002B2CF9AE}" pid="7" name="_dlc_DocId">
    <vt:lpwstr>R5U3RVHVNQW6-942054574-1681</vt:lpwstr>
  </property>
  <property fmtid="{D5CDD505-2E9C-101B-9397-08002B2CF9AE}" pid="8" name="_dlc_DocIdItemGuid">
    <vt:lpwstr>268d974a-96e8-4dcd-b2a0-df1c78a75c77</vt:lpwstr>
  </property>
  <property fmtid="{D5CDD505-2E9C-101B-9397-08002B2CF9AE}" pid="9" name="_dlc_DocIdUrl">
    <vt:lpwstr>https://southhookgas.sharepoint.com/sites/CommercialOpsWorkplace/_layouts/15/DocIdRedir.aspx?ID=R5U3RVHVNQW6-942054574-1681, R5U3RVHVNQW6-942054574-1681</vt:lpwstr>
  </property>
  <property fmtid="{D5CDD505-2E9C-101B-9397-08002B2CF9AE}" pid="10" name="display_urn:schemas-microsoft-com:office:office#SharedWithUsers">
    <vt:lpwstr>Kay Riley;Richard Sinclair</vt:lpwstr>
  </property>
  <property fmtid="{D5CDD505-2E9C-101B-9397-08002B2CF9AE}" pid="11" name="SharedWithUsers">
    <vt:lpwstr>24;#Kay Riley;#33;#Richard Sinclair</vt:lpwstr>
  </property>
</Properties>
</file>