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4" w:type="dxa"/>
        <w:tblInd w:w="-277"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shd w:val="clear" w:color="auto" w:fill="CCE0DA"/>
        <w:tblLayout w:type="fixed"/>
        <w:tblCellMar>
          <w:left w:w="0" w:type="dxa"/>
          <w:right w:w="0" w:type="dxa"/>
        </w:tblCellMar>
        <w:tblLook w:val="01E0" w:firstRow="1" w:lastRow="1" w:firstColumn="1" w:lastColumn="1" w:noHBand="0" w:noVBand="0"/>
      </w:tblPr>
      <w:tblGrid>
        <w:gridCol w:w="7973"/>
        <w:gridCol w:w="2161"/>
      </w:tblGrid>
      <w:tr w:rsidR="00224658" w:rsidRPr="00CA74C4" w14:paraId="40DC9146" w14:textId="77777777" w:rsidTr="00C6615E">
        <w:trPr>
          <w:trHeight w:val="690"/>
        </w:trPr>
        <w:tc>
          <w:tcPr>
            <w:tcW w:w="7973" w:type="dxa"/>
            <w:shd w:val="clear" w:color="auto" w:fill="auto"/>
          </w:tcPr>
          <w:p w14:paraId="01092F65" w14:textId="0154AAA6" w:rsidR="00224658" w:rsidRPr="00714EDE" w:rsidRDefault="00FF5A4B" w:rsidP="00ED3528">
            <w:pPr>
              <w:pStyle w:val="UNC2WGR"/>
            </w:pPr>
            <w:r>
              <w:t xml:space="preserve"> </w:t>
            </w:r>
            <w:r w:rsidR="00224658" w:rsidRPr="00224658">
              <w:t xml:space="preserve">UNC </w:t>
            </w:r>
            <w:r w:rsidR="00ED3528">
              <w:t>Workgroup Report</w:t>
            </w:r>
            <w:r w:rsidR="00ED3528">
              <w:tab/>
            </w:r>
          </w:p>
        </w:tc>
        <w:tc>
          <w:tcPr>
            <w:tcW w:w="2161" w:type="dxa"/>
            <w:shd w:val="clear" w:color="auto" w:fill="auto"/>
          </w:tcPr>
          <w:p w14:paraId="586BF681" w14:textId="77777777" w:rsidR="00224658" w:rsidRPr="00224658" w:rsidRDefault="00224658" w:rsidP="00ED3528">
            <w:pPr>
              <w:pStyle w:val="UNCStage2"/>
            </w:pPr>
            <w:r w:rsidRPr="00224658">
              <w:t xml:space="preserve">At what stage is this </w:t>
            </w:r>
            <w:r w:rsidRPr="00714EDE">
              <w:t>document</w:t>
            </w:r>
            <w:r w:rsidRPr="00224658">
              <w:t xml:space="preserve"> in the process?</w:t>
            </w:r>
          </w:p>
        </w:tc>
      </w:tr>
      <w:tr w:rsidR="006F19E3" w:rsidRPr="00CA74C4" w14:paraId="2E6EDA2F" w14:textId="77777777" w:rsidTr="003261A6">
        <w:trPr>
          <w:trHeight w:val="2725"/>
        </w:trPr>
        <w:tc>
          <w:tcPr>
            <w:tcW w:w="7973" w:type="dxa"/>
            <w:shd w:val="clear" w:color="auto" w:fill="auto"/>
          </w:tcPr>
          <w:p w14:paraId="68BE0AA3" w14:textId="5023EF21" w:rsidR="00E367F4" w:rsidRDefault="00E367F4" w:rsidP="007C1163">
            <w:pPr>
              <w:ind w:left="113" w:right="113"/>
              <w:rPr>
                <w:rFonts w:cs="Arial"/>
                <w:color w:val="008576"/>
                <w:sz w:val="80"/>
                <w:szCs w:val="80"/>
              </w:rPr>
            </w:pPr>
            <w:r>
              <w:rPr>
                <w:rFonts w:cs="Arial"/>
                <w:color w:val="008576"/>
                <w:sz w:val="80"/>
                <w:szCs w:val="80"/>
              </w:rPr>
              <w:t xml:space="preserve">UNC </w:t>
            </w:r>
            <w:r w:rsidR="005753C3">
              <w:rPr>
                <w:rFonts w:cs="Arial"/>
                <w:color w:val="008576"/>
                <w:sz w:val="80"/>
                <w:szCs w:val="80"/>
              </w:rPr>
              <w:t>0805</w:t>
            </w:r>
            <w:r w:rsidR="00FF5A4B">
              <w:rPr>
                <w:rFonts w:cs="Arial"/>
                <w:color w:val="008576"/>
                <w:sz w:val="80"/>
                <w:szCs w:val="80"/>
              </w:rPr>
              <w:t>S</w:t>
            </w:r>
            <w:r w:rsidR="006F19E3" w:rsidRPr="00CA74C4">
              <w:rPr>
                <w:rFonts w:cs="Arial"/>
                <w:color w:val="008576"/>
                <w:sz w:val="80"/>
                <w:szCs w:val="80"/>
              </w:rPr>
              <w:t>:</w:t>
            </w:r>
          </w:p>
          <w:p w14:paraId="5DAAF1BE" w14:textId="77777777" w:rsidR="006F19E3" w:rsidRPr="00CA74C4" w:rsidRDefault="003F73D8" w:rsidP="007C1163">
            <w:pPr>
              <w:ind w:left="113" w:right="113"/>
              <w:rPr>
                <w:rFonts w:cs="Arial"/>
                <w:i/>
                <w:color w:val="00B274"/>
                <w:sz w:val="24"/>
              </w:rPr>
            </w:pPr>
            <w:r>
              <w:rPr>
                <w:rFonts w:cs="Arial"/>
                <w:color w:val="008000"/>
                <w:sz w:val="48"/>
                <w:szCs w:val="48"/>
              </w:rPr>
              <w:t xml:space="preserve">Introduction of Weekly </w:t>
            </w:r>
            <w:r w:rsidR="005D521A">
              <w:rPr>
                <w:rFonts w:cs="Arial"/>
                <w:color w:val="008000"/>
                <w:sz w:val="48"/>
                <w:szCs w:val="48"/>
              </w:rPr>
              <w:t xml:space="preserve">NTS </w:t>
            </w:r>
            <w:r>
              <w:rPr>
                <w:rFonts w:cs="Arial"/>
                <w:color w:val="008000"/>
                <w:sz w:val="48"/>
                <w:szCs w:val="48"/>
              </w:rPr>
              <w:t>E</w:t>
            </w:r>
            <w:r w:rsidR="0048091F">
              <w:rPr>
                <w:rFonts w:cs="Arial"/>
                <w:color w:val="008000"/>
                <w:sz w:val="48"/>
                <w:szCs w:val="48"/>
              </w:rPr>
              <w:t>xit</w:t>
            </w:r>
            <w:r>
              <w:rPr>
                <w:rFonts w:cs="Arial"/>
                <w:color w:val="008000"/>
                <w:sz w:val="48"/>
                <w:szCs w:val="48"/>
              </w:rPr>
              <w:t xml:space="preserve"> Capacity Auctions </w:t>
            </w:r>
          </w:p>
        </w:tc>
        <w:tc>
          <w:tcPr>
            <w:tcW w:w="2161" w:type="dxa"/>
            <w:shd w:val="clear" w:color="auto" w:fill="auto"/>
          </w:tcPr>
          <w:p w14:paraId="020900C3" w14:textId="282EC8F7" w:rsidR="006F19E3" w:rsidRPr="00CA74C4" w:rsidRDefault="00ED3528" w:rsidP="007C1163">
            <w:pPr>
              <w:spacing w:line="240" w:lineRule="auto"/>
              <w:ind w:left="28" w:right="28"/>
              <w:rPr>
                <w:rFonts w:cs="Arial"/>
                <w:color w:val="008576"/>
                <w:szCs w:val="20"/>
              </w:rPr>
            </w:pPr>
            <w:r w:rsidRPr="004D08C9">
              <w:rPr>
                <w:rFonts w:cs="Arial"/>
                <w:noProof/>
                <w:lang w:val="en-US"/>
              </w:rPr>
              <w:drawing>
                <wp:inline distT="0" distB="0" distL="0" distR="0" wp14:anchorId="25E0735D" wp14:editId="2EB690C7">
                  <wp:extent cx="1250315" cy="1524000"/>
                  <wp:effectExtent l="0" t="0" r="0" b="0"/>
                  <wp:docPr id="15" name="Diagra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0315" cy="1524000"/>
                          </a:xfrm>
                          <a:prstGeom prst="rect">
                            <a:avLst/>
                          </a:prstGeom>
                          <a:noFill/>
                          <a:ln>
                            <a:noFill/>
                          </a:ln>
                        </pic:spPr>
                      </pic:pic>
                    </a:graphicData>
                  </a:graphic>
                </wp:inline>
              </w:drawing>
            </w:r>
          </w:p>
        </w:tc>
      </w:tr>
      <w:tr w:rsidR="006F19E3" w:rsidRPr="00CA74C4" w14:paraId="5F08C88F" w14:textId="77777777" w:rsidTr="003261A6">
        <w:trPr>
          <w:trHeight w:val="862"/>
        </w:trPr>
        <w:tc>
          <w:tcPr>
            <w:tcW w:w="10134" w:type="dxa"/>
            <w:gridSpan w:val="2"/>
            <w:shd w:val="clear" w:color="auto" w:fill="auto"/>
          </w:tcPr>
          <w:p w14:paraId="6DB51065" w14:textId="77777777" w:rsidR="006F19E3" w:rsidRPr="00CA74C4" w:rsidRDefault="006F19E3" w:rsidP="007C1163">
            <w:pPr>
              <w:pStyle w:val="BodyText2"/>
              <w:ind w:left="113" w:right="113"/>
              <w:rPr>
                <w:rFonts w:cs="Arial"/>
                <w:i/>
                <w:color w:val="00B274"/>
                <w:sz w:val="24"/>
              </w:rPr>
            </w:pPr>
            <w:r w:rsidRPr="00CA74C4">
              <w:rPr>
                <w:rFonts w:cs="Arial"/>
                <w:b/>
                <w:sz w:val="24"/>
              </w:rPr>
              <w:t>Purpose of Modification:</w:t>
            </w:r>
            <w:r w:rsidRPr="00CA74C4">
              <w:rPr>
                <w:rFonts w:cs="Arial"/>
                <w:i/>
                <w:color w:val="00B274"/>
                <w:sz w:val="24"/>
              </w:rPr>
              <w:t xml:space="preserve"> </w:t>
            </w:r>
          </w:p>
          <w:p w14:paraId="5642E2EF" w14:textId="77777777" w:rsidR="006F19E3" w:rsidRPr="00CA74C4" w:rsidRDefault="003F73D8" w:rsidP="007C1163">
            <w:pPr>
              <w:ind w:left="113" w:right="113"/>
              <w:rPr>
                <w:rFonts w:cs="Arial"/>
              </w:rPr>
            </w:pPr>
            <w:r>
              <w:rPr>
                <w:rFonts w:cs="Arial"/>
                <w:sz w:val="24"/>
              </w:rPr>
              <w:t xml:space="preserve">To introduce </w:t>
            </w:r>
            <w:r w:rsidR="005D521A">
              <w:rPr>
                <w:rFonts w:cs="Arial"/>
                <w:sz w:val="24"/>
              </w:rPr>
              <w:t>Weekly NTS E</w:t>
            </w:r>
            <w:r w:rsidR="0048091F">
              <w:rPr>
                <w:rFonts w:cs="Arial"/>
                <w:sz w:val="24"/>
              </w:rPr>
              <w:t>xit</w:t>
            </w:r>
            <w:r w:rsidR="005D521A">
              <w:rPr>
                <w:rFonts w:cs="Arial"/>
                <w:sz w:val="24"/>
              </w:rPr>
              <w:t xml:space="preserve"> Capacity Auctions to allow for more economic and efficient capacity bookings.</w:t>
            </w:r>
          </w:p>
        </w:tc>
      </w:tr>
      <w:tr w:rsidR="00AD2304" w:rsidRPr="00CA74C4" w14:paraId="3EEADA27" w14:textId="77777777" w:rsidTr="003261A6">
        <w:trPr>
          <w:trHeight w:val="862"/>
        </w:trPr>
        <w:tc>
          <w:tcPr>
            <w:tcW w:w="10134" w:type="dxa"/>
            <w:gridSpan w:val="2"/>
            <w:shd w:val="clear" w:color="auto" w:fill="auto"/>
          </w:tcPr>
          <w:p w14:paraId="3496AAA2" w14:textId="77777777" w:rsidR="002D59B2" w:rsidRPr="002D59B2" w:rsidRDefault="002D59B2" w:rsidP="002D59B2">
            <w:pPr>
              <w:pStyle w:val="BodyText2"/>
              <w:ind w:left="113" w:right="113"/>
              <w:rPr>
                <w:rFonts w:cs="Arial"/>
                <w:b/>
                <w:sz w:val="24"/>
              </w:rPr>
            </w:pPr>
            <w:r w:rsidRPr="002D59B2">
              <w:rPr>
                <w:rFonts w:cs="Arial"/>
                <w:b/>
                <w:sz w:val="24"/>
              </w:rPr>
              <w:t>Next Steps:</w:t>
            </w:r>
          </w:p>
          <w:p w14:paraId="0EA59384" w14:textId="77777777" w:rsidR="002D59B2" w:rsidRPr="002D59B2" w:rsidRDefault="002D59B2" w:rsidP="002D59B2">
            <w:pPr>
              <w:pStyle w:val="BodyText2"/>
              <w:ind w:left="113" w:right="113"/>
              <w:rPr>
                <w:rFonts w:cs="Arial"/>
                <w:bCs/>
                <w:sz w:val="24"/>
              </w:rPr>
            </w:pPr>
            <w:r w:rsidRPr="002D59B2">
              <w:rPr>
                <w:rFonts w:cs="Arial"/>
                <w:bCs/>
                <w:sz w:val="24"/>
              </w:rPr>
              <w:t>The Workgroup recommends that this modification should be subject to Self-Governance</w:t>
            </w:r>
          </w:p>
          <w:p w14:paraId="31AC6D53" w14:textId="0118EC06" w:rsidR="00AD2304" w:rsidRPr="00CA74C4" w:rsidRDefault="002D59B2" w:rsidP="002D59B2">
            <w:pPr>
              <w:pStyle w:val="BodyText2"/>
              <w:ind w:left="113" w:right="113"/>
              <w:rPr>
                <w:rFonts w:cs="Arial"/>
                <w:b/>
                <w:sz w:val="24"/>
              </w:rPr>
            </w:pPr>
            <w:r w:rsidRPr="002D59B2">
              <w:rPr>
                <w:rFonts w:cs="Arial"/>
                <w:bCs/>
                <w:sz w:val="24"/>
              </w:rPr>
              <w:t>The Panel will consider this Workgroup Report on 16 Jun 2022.  The Panel will consider the recommendations and determine the appropriate next steps.</w:t>
            </w:r>
          </w:p>
        </w:tc>
      </w:tr>
      <w:tr w:rsidR="002D59B2" w:rsidRPr="00CA74C4" w14:paraId="5540231F" w14:textId="77777777" w:rsidTr="003261A6">
        <w:trPr>
          <w:trHeight w:val="862"/>
        </w:trPr>
        <w:tc>
          <w:tcPr>
            <w:tcW w:w="10134" w:type="dxa"/>
            <w:gridSpan w:val="2"/>
            <w:shd w:val="clear" w:color="auto" w:fill="auto"/>
          </w:tcPr>
          <w:p w14:paraId="0C257275" w14:textId="1F8B5418" w:rsidR="008B1C97" w:rsidRPr="00A90299" w:rsidRDefault="008B1C97" w:rsidP="008B1C97">
            <w:pPr>
              <w:pStyle w:val="BodyText2"/>
              <w:ind w:left="113" w:right="113"/>
              <w:rPr>
                <w:rFonts w:cs="Arial"/>
                <w:i/>
                <w:color w:val="00B274"/>
                <w:sz w:val="24"/>
              </w:rPr>
            </w:pPr>
            <w:r w:rsidRPr="0093726B">
              <w:rPr>
                <w:rFonts w:cs="Arial"/>
                <w:b/>
                <w:sz w:val="24"/>
              </w:rPr>
              <w:t xml:space="preserve">Impacted Parties: </w:t>
            </w:r>
          </w:p>
          <w:p w14:paraId="2F803459" w14:textId="7E6D26DF" w:rsidR="008B1C97" w:rsidRPr="0093726B" w:rsidRDefault="008B1C97" w:rsidP="008B1C97">
            <w:pPr>
              <w:pStyle w:val="BodyText3"/>
              <w:ind w:left="113" w:right="113"/>
              <w:rPr>
                <w:szCs w:val="24"/>
              </w:rPr>
            </w:pPr>
            <w:r w:rsidRPr="0093726B">
              <w:rPr>
                <w:szCs w:val="24"/>
              </w:rPr>
              <w:t>High:</w:t>
            </w:r>
            <w:r>
              <w:rPr>
                <w:szCs w:val="24"/>
              </w:rPr>
              <w:t xml:space="preserve"> None</w:t>
            </w:r>
          </w:p>
          <w:p w14:paraId="6464FE37" w14:textId="3A888883" w:rsidR="008B1C97" w:rsidRPr="0093726B" w:rsidRDefault="008B1C97" w:rsidP="008B1C97">
            <w:pPr>
              <w:pStyle w:val="BodyText3"/>
              <w:ind w:left="113" w:right="113"/>
              <w:rPr>
                <w:szCs w:val="24"/>
              </w:rPr>
            </w:pPr>
            <w:r>
              <w:rPr>
                <w:szCs w:val="24"/>
              </w:rPr>
              <w:t>Medium</w:t>
            </w:r>
            <w:r w:rsidRPr="0093726B">
              <w:rPr>
                <w:szCs w:val="24"/>
              </w:rPr>
              <w:t>:</w:t>
            </w:r>
            <w:r>
              <w:rPr>
                <w:szCs w:val="24"/>
              </w:rPr>
              <w:t xml:space="preserve"> National Grid NTS</w:t>
            </w:r>
          </w:p>
          <w:p w14:paraId="4B8555FA" w14:textId="70B20B2F" w:rsidR="002D59B2" w:rsidRPr="002D59B2" w:rsidRDefault="00B63E2C" w:rsidP="008B1C97">
            <w:pPr>
              <w:pStyle w:val="BodyText3"/>
              <w:ind w:left="113" w:right="113"/>
              <w:rPr>
                <w:rFonts w:cs="Arial"/>
                <w:b/>
              </w:rPr>
            </w:pPr>
            <w:r>
              <w:rPr>
                <w:szCs w:val="24"/>
              </w:rPr>
              <w:t>Low</w:t>
            </w:r>
            <w:r w:rsidR="008B1C97" w:rsidRPr="0093726B">
              <w:rPr>
                <w:szCs w:val="24"/>
              </w:rPr>
              <w:t>:</w:t>
            </w:r>
            <w:r>
              <w:rPr>
                <w:szCs w:val="24"/>
              </w:rPr>
              <w:t xml:space="preserve"> Users</w:t>
            </w:r>
          </w:p>
        </w:tc>
      </w:tr>
      <w:tr w:rsidR="00B63E2C" w:rsidRPr="00CA74C4" w14:paraId="6A91E8E2" w14:textId="77777777" w:rsidTr="003261A6">
        <w:trPr>
          <w:trHeight w:val="862"/>
        </w:trPr>
        <w:tc>
          <w:tcPr>
            <w:tcW w:w="10134" w:type="dxa"/>
            <w:gridSpan w:val="2"/>
            <w:shd w:val="clear" w:color="auto" w:fill="auto"/>
          </w:tcPr>
          <w:p w14:paraId="4F381317" w14:textId="111DD7DA" w:rsidR="00CE0C93" w:rsidRPr="0093726B" w:rsidRDefault="00CE0C93" w:rsidP="00CE0C93">
            <w:pPr>
              <w:pStyle w:val="BodyText2"/>
              <w:ind w:left="113" w:right="113"/>
              <w:rPr>
                <w:rFonts w:cs="Arial"/>
                <w:b/>
                <w:sz w:val="24"/>
              </w:rPr>
            </w:pPr>
            <w:r w:rsidRPr="0093726B">
              <w:rPr>
                <w:rFonts w:cs="Arial"/>
                <w:b/>
                <w:sz w:val="24"/>
              </w:rPr>
              <w:t xml:space="preserve">Impacted Codes: </w:t>
            </w:r>
          </w:p>
          <w:p w14:paraId="00A239D9" w14:textId="1CF21837" w:rsidR="00B63E2C" w:rsidRPr="0093726B" w:rsidRDefault="007C4987" w:rsidP="00CE0C93">
            <w:pPr>
              <w:pStyle w:val="BodyText2"/>
              <w:ind w:left="113" w:right="113"/>
              <w:rPr>
                <w:rFonts w:cs="Arial"/>
                <w:b/>
                <w:sz w:val="24"/>
              </w:rPr>
            </w:pPr>
            <w:r>
              <w:rPr>
                <w:rFonts w:cs="Arial"/>
                <w:sz w:val="24"/>
              </w:rPr>
              <w:t>None.</w:t>
            </w:r>
          </w:p>
        </w:tc>
      </w:tr>
    </w:tbl>
    <w:p w14:paraId="359F342A" w14:textId="42FE63F1" w:rsidR="005079E0" w:rsidRPr="00CA74C4" w:rsidRDefault="00B86205" w:rsidP="005B378E">
      <w:pPr>
        <w:rPr>
          <w:rFonts w:cs="Arial"/>
        </w:rPr>
      </w:pPr>
      <w:r>
        <w:rPr>
          <w:noProof/>
        </w:rPr>
        <mc:AlternateContent>
          <mc:Choice Requires="wps">
            <w:drawing>
              <wp:anchor distT="0" distB="0" distL="114300" distR="114300" simplePos="0" relativeHeight="251657728" behindDoc="0" locked="0" layoutInCell="1" allowOverlap="1" wp14:anchorId="48362FDC" wp14:editId="03788E79">
                <wp:simplePos x="0" y="0"/>
                <wp:positionH relativeFrom="column">
                  <wp:posOffset>-228600</wp:posOffset>
                </wp:positionH>
                <wp:positionV relativeFrom="paragraph">
                  <wp:posOffset>7810500</wp:posOffset>
                </wp:positionV>
                <wp:extent cx="6617970" cy="125158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7970" cy="1251585"/>
                        </a:xfrm>
                        <a:prstGeom prst="rect">
                          <a:avLst/>
                        </a:prstGeom>
                        <a:noFill/>
                        <a:ln>
                          <a:noFill/>
                        </a:ln>
                      </wps:spPr>
                      <wps:txbx>
                        <w:txbxContent>
                          <w:p w14:paraId="3A8A1DE4" w14:textId="77777777" w:rsidR="00547AD0" w:rsidRPr="009A03A4" w:rsidRDefault="00547AD0" w:rsidP="00187E2F">
                            <w:pPr>
                              <w:pStyle w:val="BodyText"/>
                              <w:spacing w:after="60" w:line="240" w:lineRule="auto"/>
                              <w:ind w:left="-57" w:right="-57"/>
                              <w:rPr>
                                <w:rFonts w:cs="Arial"/>
                                <w:i/>
                                <w:color w:val="00B274"/>
                              </w:rPr>
                            </w:pPr>
                            <w:r w:rsidRPr="009A03A4">
                              <w:rPr>
                                <w:rFonts w:cs="Arial"/>
                                <w:b/>
                                <w:i/>
                                <w:color w:val="00B274"/>
                              </w:rPr>
                              <w:t xml:space="preserve">Guidance </w:t>
                            </w:r>
                            <w:r>
                              <w:rPr>
                                <w:rFonts w:cs="Arial"/>
                                <w:b/>
                                <w:i/>
                                <w:color w:val="00B274"/>
                              </w:rPr>
                              <w:t xml:space="preserve">on the use of this </w:t>
                            </w:r>
                            <w:r w:rsidRPr="009A03A4">
                              <w:rPr>
                                <w:rFonts w:cs="Arial"/>
                                <w:b/>
                                <w:i/>
                                <w:color w:val="00B274"/>
                              </w:rPr>
                              <w:t>Template</w:t>
                            </w:r>
                            <w:r w:rsidRPr="009A03A4">
                              <w:rPr>
                                <w:rFonts w:cs="Arial"/>
                                <w:i/>
                                <w:color w:val="00B274"/>
                              </w:rPr>
                              <w:t xml:space="preserve">: </w:t>
                            </w:r>
                          </w:p>
                          <w:p w14:paraId="5FA9996E" w14:textId="77777777" w:rsidR="00547AD0" w:rsidRPr="009A03A4" w:rsidRDefault="00547AD0" w:rsidP="006F19E3">
                            <w:pPr>
                              <w:pStyle w:val="BodyText"/>
                              <w:spacing w:after="60" w:line="240" w:lineRule="auto"/>
                              <w:ind w:left="-57" w:right="-57"/>
                              <w:rPr>
                                <w:rFonts w:cs="Arial"/>
                                <w:i/>
                                <w:color w:val="00B274"/>
                              </w:rPr>
                            </w:pPr>
                            <w:r w:rsidRPr="009A03A4">
                              <w:rPr>
                                <w:rFonts w:cs="Arial"/>
                                <w:i/>
                                <w:color w:val="00B274"/>
                              </w:rPr>
                              <w:t>Please complete all sections unless specifically marked for the Code Administrator.</w:t>
                            </w:r>
                          </w:p>
                          <w:p w14:paraId="086FF67E" w14:textId="77777777" w:rsidR="00547AD0" w:rsidRPr="009A03A4" w:rsidRDefault="00547AD0" w:rsidP="006F19E3">
                            <w:pPr>
                              <w:pStyle w:val="BodyText"/>
                              <w:spacing w:after="60" w:line="240" w:lineRule="auto"/>
                              <w:ind w:left="-57" w:right="-57"/>
                              <w:rPr>
                                <w:rFonts w:cs="Arial"/>
                                <w:i/>
                                <w:color w:val="00B274"/>
                              </w:rPr>
                            </w:pPr>
                            <w:r w:rsidRPr="009A03A4">
                              <w:rPr>
                                <w:rFonts w:cs="Arial"/>
                                <w:i/>
                                <w:color w:val="00B274"/>
                              </w:rPr>
                              <w:t>Green italic text is provided as guidance</w:t>
                            </w:r>
                            <w:r>
                              <w:rPr>
                                <w:rFonts w:cs="Arial"/>
                                <w:i/>
                                <w:color w:val="00B274"/>
                              </w:rPr>
                              <w:t xml:space="preserve"> and should be removed before submission.</w:t>
                            </w:r>
                          </w:p>
                          <w:p w14:paraId="4A4FF7F8" w14:textId="77777777" w:rsidR="00547AD0" w:rsidRPr="00623022" w:rsidRDefault="00547AD0" w:rsidP="003C2E56">
                            <w:pPr>
                              <w:pStyle w:val="BodyText"/>
                              <w:tabs>
                                <w:tab w:val="left" w:pos="9639"/>
                              </w:tabs>
                              <w:spacing w:after="60" w:line="240" w:lineRule="auto"/>
                              <w:ind w:left="-57" w:right="-54"/>
                              <w:rPr>
                                <w:rFonts w:cs="Arial"/>
                                <w:i/>
                                <w:color w:val="00B274"/>
                              </w:rPr>
                            </w:pPr>
                            <w:r w:rsidRPr="009A03A4">
                              <w:rPr>
                                <w:rFonts w:cs="Arial"/>
                                <w:i/>
                                <w:color w:val="00B274"/>
                              </w:rPr>
                              <w:t>The Code Administrator is available to help and support the drafting of any modifications, including guidance on completion of this template and the wider modification process. Contact</w:t>
                            </w:r>
                            <w:r w:rsidRPr="003C2E56">
                              <w:rPr>
                                <w:rFonts w:cs="Arial"/>
                                <w:i/>
                                <w:color w:val="00B274"/>
                              </w:rPr>
                              <w:t xml:space="preserve">: </w:t>
                            </w:r>
                            <w:hyperlink r:id="rId15" w:history="1">
                              <w:r w:rsidRPr="003C2E56">
                                <w:rPr>
                                  <w:rStyle w:val="Hyperlink"/>
                                  <w:rFonts w:cs="Arial"/>
                                  <w:i/>
                                </w:rPr>
                                <w:t>enquiries@gasgovernance.co.uk</w:t>
                              </w:r>
                            </w:hyperlink>
                            <w:r w:rsidRPr="003C2E56">
                              <w:rPr>
                                <w:rFonts w:cs="Arial"/>
                                <w:i/>
                                <w:color w:val="00B274"/>
                              </w:rPr>
                              <w:t xml:space="preserve"> or 0121 288 2107.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8362FDC" id="_x0000_t202" coordsize="21600,21600" o:spt="202" path="m,l,21600r21600,l21600,xe">
                <v:stroke joinstyle="miter"/>
                <v:path gradientshapeok="t" o:connecttype="rect"/>
              </v:shapetype>
              <v:shape id="Text Box 11" o:spid="_x0000_s1026" type="#_x0000_t202" style="position:absolute;margin-left:-18pt;margin-top:615pt;width:521.1pt;height:9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" filled="f" stroked="f">
                <v:textbox>
                  <w:txbxContent>
                    <w:p w14:paraId="3A8A1DE4" w14:textId="77777777" w:rsidR="00547AD0" w:rsidRPr="009A03A4" w:rsidRDefault="00547AD0" w:rsidP="00187E2F">
                      <w:pPr>
                        <w:pStyle w:val="BodyText"/>
                        <w:spacing w:after="60" w:line="240" w:lineRule="auto"/>
                        <w:ind w:left="-57" w:right="-57"/>
                        <w:rPr>
                          <w:rFonts w:cs="Arial"/>
                          <w:i/>
                          <w:color w:val="00B274"/>
                        </w:rPr>
                      </w:pPr>
                      <w:r w:rsidRPr="009A03A4">
                        <w:rPr>
                          <w:rFonts w:cs="Arial"/>
                          <w:b/>
                          <w:i/>
                          <w:color w:val="00B274"/>
                        </w:rPr>
                        <w:t xml:space="preserve">Guidance </w:t>
                      </w:r>
                      <w:r>
                        <w:rPr>
                          <w:rFonts w:cs="Arial"/>
                          <w:b/>
                          <w:i/>
                          <w:color w:val="00B274"/>
                        </w:rPr>
                        <w:t xml:space="preserve">on the use of this </w:t>
                      </w:r>
                      <w:r w:rsidRPr="009A03A4">
                        <w:rPr>
                          <w:rFonts w:cs="Arial"/>
                          <w:b/>
                          <w:i/>
                          <w:color w:val="00B274"/>
                        </w:rPr>
                        <w:t>Template</w:t>
                      </w:r>
                      <w:r w:rsidRPr="009A03A4">
                        <w:rPr>
                          <w:rFonts w:cs="Arial"/>
                          <w:i/>
                          <w:color w:val="00B274"/>
                        </w:rPr>
                        <w:t xml:space="preserve">: </w:t>
                      </w:r>
                    </w:p>
                    <w:p w14:paraId="5FA9996E" w14:textId="77777777" w:rsidR="00547AD0" w:rsidRPr="009A03A4" w:rsidRDefault="00547AD0" w:rsidP="006F19E3">
                      <w:pPr>
                        <w:pStyle w:val="BodyText"/>
                        <w:spacing w:after="60" w:line="240" w:lineRule="auto"/>
                        <w:ind w:left="-57" w:right="-57"/>
                        <w:rPr>
                          <w:rFonts w:cs="Arial"/>
                          <w:i/>
                          <w:color w:val="00B274"/>
                        </w:rPr>
                      </w:pPr>
                      <w:r w:rsidRPr="009A03A4">
                        <w:rPr>
                          <w:rFonts w:cs="Arial"/>
                          <w:i/>
                          <w:color w:val="00B274"/>
                        </w:rPr>
                        <w:t>Please complete all sections unless specifically marked for the Code Administrator.</w:t>
                      </w:r>
                    </w:p>
                    <w:p w14:paraId="086FF67E" w14:textId="77777777" w:rsidR="00547AD0" w:rsidRPr="009A03A4" w:rsidRDefault="00547AD0" w:rsidP="006F19E3">
                      <w:pPr>
                        <w:pStyle w:val="BodyText"/>
                        <w:spacing w:after="60" w:line="240" w:lineRule="auto"/>
                        <w:ind w:left="-57" w:right="-57"/>
                        <w:rPr>
                          <w:rFonts w:cs="Arial"/>
                          <w:i/>
                          <w:color w:val="00B274"/>
                        </w:rPr>
                      </w:pPr>
                      <w:r w:rsidRPr="009A03A4">
                        <w:rPr>
                          <w:rFonts w:cs="Arial"/>
                          <w:i/>
                          <w:color w:val="00B274"/>
                        </w:rPr>
                        <w:t>Green italic text is provided as guidance</w:t>
                      </w:r>
                      <w:r>
                        <w:rPr>
                          <w:rFonts w:cs="Arial"/>
                          <w:i/>
                          <w:color w:val="00B274"/>
                        </w:rPr>
                        <w:t xml:space="preserve"> and should be removed before submission.</w:t>
                      </w:r>
                    </w:p>
                    <w:p w14:paraId="4A4FF7F8" w14:textId="77777777" w:rsidR="00547AD0" w:rsidRPr="00623022" w:rsidRDefault="00547AD0" w:rsidP="003C2E56">
                      <w:pPr>
                        <w:pStyle w:val="BodyText"/>
                        <w:tabs>
                          <w:tab w:val="left" w:pos="9639"/>
                        </w:tabs>
                        <w:spacing w:after="60" w:line="240" w:lineRule="auto"/>
                        <w:ind w:left="-57" w:right="-54"/>
                        <w:rPr>
                          <w:rFonts w:cs="Arial"/>
                          <w:i/>
                          <w:color w:val="00B274"/>
                        </w:rPr>
                      </w:pPr>
                      <w:r w:rsidRPr="009A03A4">
                        <w:rPr>
                          <w:rFonts w:cs="Arial"/>
                          <w:i/>
                          <w:color w:val="00B274"/>
                        </w:rPr>
                        <w:t>The Code Administrator is available to help and support the drafting of any modifications, including guidance on completion of this template and the wider modification process. Contact</w:t>
                      </w:r>
                      <w:r w:rsidRPr="003C2E56">
                        <w:rPr>
                          <w:rFonts w:cs="Arial"/>
                          <w:i/>
                          <w:color w:val="00B274"/>
                        </w:rPr>
                        <w:t xml:space="preserve">: </w:t>
                      </w:r>
                      <w:hyperlink r:id="rId16" w:history="1">
                        <w:r w:rsidRPr="003C2E56">
                          <w:rPr>
                            <w:rStyle w:val="Hyperlink"/>
                            <w:rFonts w:cs="Arial"/>
                            <w:i/>
                          </w:rPr>
                          <w:t>enquiries@gasgovernance.co.uk</w:t>
                        </w:r>
                      </w:hyperlink>
                      <w:r w:rsidRPr="003C2E56">
                        <w:rPr>
                          <w:rFonts w:cs="Arial"/>
                          <w:i/>
                          <w:color w:val="00B274"/>
                        </w:rPr>
                        <w:t xml:space="preserve"> or 0121 288 2107.</w:t>
                      </w:r>
                    </w:p>
                  </w:txbxContent>
                </v:textbox>
              </v:shape>
            </w:pict>
          </mc:Fallback>
        </mc:AlternateContent>
      </w:r>
    </w:p>
    <w:tbl>
      <w:tblPr>
        <w:tblW w:w="10163" w:type="dxa"/>
        <w:tblInd w:w="-261" w:type="dxa"/>
        <w:tblLayout w:type="fixed"/>
        <w:tblLook w:val="04A0" w:firstRow="1" w:lastRow="0" w:firstColumn="1" w:lastColumn="0" w:noHBand="0" w:noVBand="1"/>
      </w:tblPr>
      <w:tblGrid>
        <w:gridCol w:w="8017"/>
        <w:gridCol w:w="2146"/>
      </w:tblGrid>
      <w:tr w:rsidR="006E3C00" w:rsidRPr="00CA74C4" w14:paraId="39C3A231" w14:textId="77777777" w:rsidTr="006E3C00">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37A0EEB9" w14:textId="77777777" w:rsidR="006E3C00" w:rsidRPr="00CA74C4" w:rsidRDefault="006E3C00" w:rsidP="00EB3334">
            <w:pPr>
              <w:pStyle w:val="Contents02"/>
              <w:rPr>
                <w:noProof/>
              </w:rPr>
            </w:pPr>
            <w:r w:rsidRPr="00CA74C4">
              <w:rPr>
                <w:noProof/>
              </w:rPr>
              <w:lastRenderedPageBreak/>
              <w:t>Contents</w:t>
            </w:r>
          </w:p>
          <w:p w14:paraId="33F30347" w14:textId="256715EC" w:rsidR="006E3C00" w:rsidRPr="00CA74C4" w:rsidRDefault="006E3C00" w:rsidP="009723C2">
            <w:pPr>
              <w:pStyle w:val="TOCContents02WGR"/>
              <w:rPr>
                <w:rFonts w:eastAsia="MS Mincho"/>
                <w:color w:val="auto"/>
                <w:lang w:eastAsia="ja-JP"/>
              </w:rPr>
            </w:pPr>
            <w:r w:rsidRPr="00CA74C4">
              <w:fldChar w:fldCharType="begin"/>
            </w:r>
            <w:r w:rsidRPr="00CA74C4">
              <w:instrText xml:space="preserve"> TOC \o "1-1" </w:instrText>
            </w:r>
            <w:r w:rsidRPr="00CA74C4">
              <w:fldChar w:fldCharType="separate"/>
            </w:r>
            <w:r w:rsidRPr="00CA74C4">
              <w:t>1</w:t>
            </w:r>
            <w:r w:rsidRPr="00CA74C4">
              <w:rPr>
                <w:rFonts w:eastAsia="MS Mincho"/>
                <w:color w:val="auto"/>
                <w:lang w:eastAsia="ja-JP"/>
              </w:rPr>
              <w:tab/>
            </w:r>
            <w:r w:rsidRPr="00CA74C4">
              <w:t>Summary</w:t>
            </w:r>
            <w:r w:rsidRPr="00CA74C4">
              <w:tab/>
            </w:r>
            <w:r w:rsidRPr="00CA74C4">
              <w:fldChar w:fldCharType="begin"/>
            </w:r>
            <w:r w:rsidRPr="00CA74C4">
              <w:instrText xml:space="preserve"> PAGEREF _Toc318966117 \h </w:instrText>
            </w:r>
            <w:r w:rsidRPr="00CA74C4">
              <w:fldChar w:fldCharType="separate"/>
            </w:r>
            <w:r w:rsidR="009723C2">
              <w:t>3</w:t>
            </w:r>
            <w:r w:rsidRPr="00CA74C4">
              <w:fldChar w:fldCharType="end"/>
            </w:r>
          </w:p>
          <w:p w14:paraId="0CD18CFE" w14:textId="473011DA" w:rsidR="006E3C00" w:rsidRPr="00CA74C4" w:rsidRDefault="006E3C00" w:rsidP="009723C2">
            <w:pPr>
              <w:pStyle w:val="TOCContents02WGR"/>
              <w:rPr>
                <w:rFonts w:eastAsia="MS Mincho"/>
                <w:color w:val="auto"/>
                <w:lang w:eastAsia="ja-JP"/>
              </w:rPr>
            </w:pPr>
            <w:r w:rsidRPr="00CA74C4">
              <w:t>2</w:t>
            </w:r>
            <w:r w:rsidRPr="00CA74C4">
              <w:rPr>
                <w:rFonts w:eastAsia="MS Mincho"/>
                <w:color w:val="auto"/>
                <w:lang w:eastAsia="ja-JP"/>
              </w:rPr>
              <w:tab/>
            </w:r>
            <w:r w:rsidRPr="00CA74C4">
              <w:t>Governance</w:t>
            </w:r>
            <w:r w:rsidRPr="00CA74C4">
              <w:tab/>
            </w:r>
            <w:r w:rsidRPr="00CA74C4">
              <w:fldChar w:fldCharType="begin"/>
            </w:r>
            <w:r w:rsidRPr="00CA74C4">
              <w:instrText xml:space="preserve"> PAGEREF _Toc318966118 \h </w:instrText>
            </w:r>
            <w:r w:rsidRPr="00CA74C4">
              <w:fldChar w:fldCharType="separate"/>
            </w:r>
            <w:r w:rsidR="009723C2">
              <w:t>3</w:t>
            </w:r>
            <w:r w:rsidRPr="00CA74C4">
              <w:fldChar w:fldCharType="end"/>
            </w:r>
          </w:p>
          <w:p w14:paraId="5E1AA9B7" w14:textId="4A836D41" w:rsidR="006E3C00" w:rsidRPr="00CA74C4" w:rsidRDefault="006E3C00" w:rsidP="009723C2">
            <w:pPr>
              <w:pStyle w:val="TOCContents02WGR"/>
              <w:rPr>
                <w:rFonts w:eastAsia="MS Mincho"/>
                <w:color w:val="auto"/>
                <w:lang w:eastAsia="ja-JP"/>
              </w:rPr>
            </w:pPr>
            <w:r w:rsidRPr="00CA74C4">
              <w:t>3</w:t>
            </w:r>
            <w:r w:rsidRPr="00CA74C4">
              <w:rPr>
                <w:rFonts w:eastAsia="MS Mincho"/>
                <w:color w:val="auto"/>
                <w:lang w:eastAsia="ja-JP"/>
              </w:rPr>
              <w:tab/>
            </w:r>
            <w:r w:rsidRPr="00CA74C4">
              <w:t>Why Change?</w:t>
            </w:r>
            <w:r w:rsidRPr="00CA74C4">
              <w:tab/>
            </w:r>
            <w:r w:rsidRPr="00CA74C4">
              <w:fldChar w:fldCharType="begin"/>
            </w:r>
            <w:r w:rsidRPr="00CA74C4">
              <w:instrText xml:space="preserve"> PAGEREF _Toc318966119 \h </w:instrText>
            </w:r>
            <w:r w:rsidRPr="00CA74C4">
              <w:fldChar w:fldCharType="separate"/>
            </w:r>
            <w:r w:rsidR="009723C2">
              <w:t>4</w:t>
            </w:r>
            <w:r w:rsidRPr="00CA74C4">
              <w:fldChar w:fldCharType="end"/>
            </w:r>
          </w:p>
          <w:p w14:paraId="3FEDA939" w14:textId="2974D7A8" w:rsidR="006E3C00" w:rsidRPr="00CA74C4" w:rsidRDefault="006E3C00" w:rsidP="009723C2">
            <w:pPr>
              <w:pStyle w:val="TOCContents02WGR"/>
              <w:rPr>
                <w:rFonts w:eastAsia="MS Mincho"/>
                <w:color w:val="auto"/>
                <w:lang w:eastAsia="ja-JP"/>
              </w:rPr>
            </w:pPr>
            <w:r w:rsidRPr="00CA74C4">
              <w:t>4</w:t>
            </w:r>
            <w:r w:rsidRPr="00CA74C4">
              <w:rPr>
                <w:rFonts w:eastAsia="MS Mincho"/>
                <w:color w:val="auto"/>
                <w:lang w:eastAsia="ja-JP"/>
              </w:rPr>
              <w:tab/>
            </w:r>
            <w:r w:rsidRPr="00CA74C4">
              <w:t>Code Specific Matters</w:t>
            </w:r>
            <w:r w:rsidRPr="00CA74C4">
              <w:tab/>
            </w:r>
            <w:r w:rsidRPr="00CA74C4">
              <w:fldChar w:fldCharType="begin"/>
            </w:r>
            <w:r w:rsidRPr="00CA74C4">
              <w:instrText xml:space="preserve"> PAGEREF _Toc318966120 \h </w:instrText>
            </w:r>
            <w:r w:rsidRPr="00CA74C4">
              <w:fldChar w:fldCharType="separate"/>
            </w:r>
            <w:r w:rsidR="009723C2">
              <w:t>5</w:t>
            </w:r>
            <w:r w:rsidRPr="00CA74C4">
              <w:fldChar w:fldCharType="end"/>
            </w:r>
          </w:p>
          <w:p w14:paraId="1B81BE16" w14:textId="54B940ED" w:rsidR="006E3C00" w:rsidRPr="00CA74C4" w:rsidRDefault="006E3C00" w:rsidP="009723C2">
            <w:pPr>
              <w:pStyle w:val="TOCContents02WGR"/>
              <w:rPr>
                <w:rFonts w:eastAsia="MS Mincho"/>
                <w:color w:val="auto"/>
                <w:lang w:eastAsia="ja-JP"/>
              </w:rPr>
            </w:pPr>
            <w:r w:rsidRPr="00CA74C4">
              <w:t>5</w:t>
            </w:r>
            <w:r w:rsidRPr="00CA74C4">
              <w:rPr>
                <w:rFonts w:eastAsia="MS Mincho"/>
                <w:color w:val="auto"/>
                <w:lang w:eastAsia="ja-JP"/>
              </w:rPr>
              <w:tab/>
            </w:r>
            <w:r w:rsidRPr="00CA74C4">
              <w:t>Solution</w:t>
            </w:r>
            <w:r w:rsidRPr="00CA74C4">
              <w:tab/>
            </w:r>
            <w:r w:rsidRPr="00CA74C4">
              <w:fldChar w:fldCharType="begin"/>
            </w:r>
            <w:r w:rsidRPr="00CA74C4">
              <w:instrText xml:space="preserve"> PAGEREF _Toc318966121 \h </w:instrText>
            </w:r>
            <w:r w:rsidRPr="00CA74C4">
              <w:fldChar w:fldCharType="separate"/>
            </w:r>
            <w:r w:rsidR="009723C2">
              <w:t>5</w:t>
            </w:r>
            <w:r w:rsidRPr="00CA74C4">
              <w:fldChar w:fldCharType="end"/>
            </w:r>
          </w:p>
          <w:p w14:paraId="5B660551" w14:textId="3349A89B" w:rsidR="006E3C00" w:rsidRPr="00CA74C4" w:rsidRDefault="006E3C00" w:rsidP="009723C2">
            <w:pPr>
              <w:pStyle w:val="TOCContents02WGR"/>
              <w:rPr>
                <w:rFonts w:eastAsia="MS Mincho"/>
                <w:color w:val="auto"/>
                <w:lang w:eastAsia="ja-JP"/>
              </w:rPr>
            </w:pPr>
            <w:r w:rsidRPr="00CA74C4">
              <w:t>6</w:t>
            </w:r>
            <w:r w:rsidRPr="00CA74C4">
              <w:rPr>
                <w:rFonts w:eastAsia="MS Mincho"/>
                <w:color w:val="auto"/>
                <w:lang w:eastAsia="ja-JP"/>
              </w:rPr>
              <w:tab/>
            </w:r>
            <w:r w:rsidRPr="00CA74C4">
              <w:t>Impacts &amp; Other Considerations</w:t>
            </w:r>
            <w:r w:rsidRPr="00CA74C4">
              <w:tab/>
            </w:r>
            <w:r w:rsidRPr="00CA74C4">
              <w:fldChar w:fldCharType="begin"/>
            </w:r>
            <w:r w:rsidRPr="00CA74C4">
              <w:instrText xml:space="preserve"> PAGEREF _Toc318966122 \h </w:instrText>
            </w:r>
            <w:r w:rsidRPr="00CA74C4">
              <w:fldChar w:fldCharType="separate"/>
            </w:r>
            <w:r w:rsidR="009723C2">
              <w:t>5</w:t>
            </w:r>
            <w:r w:rsidRPr="00CA74C4">
              <w:fldChar w:fldCharType="end"/>
            </w:r>
          </w:p>
          <w:p w14:paraId="73E6DE85" w14:textId="4D596E20" w:rsidR="006E3C00" w:rsidRPr="00CA74C4" w:rsidRDefault="006E3C00" w:rsidP="009723C2">
            <w:pPr>
              <w:pStyle w:val="TOCContents02WGR"/>
              <w:rPr>
                <w:rFonts w:eastAsia="MS Mincho"/>
                <w:color w:val="auto"/>
                <w:lang w:eastAsia="ja-JP"/>
              </w:rPr>
            </w:pPr>
            <w:r w:rsidRPr="00CA74C4">
              <w:t>7</w:t>
            </w:r>
            <w:r w:rsidRPr="00CA74C4">
              <w:rPr>
                <w:rFonts w:eastAsia="MS Mincho"/>
                <w:color w:val="auto"/>
                <w:lang w:eastAsia="ja-JP"/>
              </w:rPr>
              <w:tab/>
            </w:r>
            <w:r w:rsidRPr="00CA74C4">
              <w:t>Relevant Objectives</w:t>
            </w:r>
            <w:r w:rsidRPr="00CA74C4">
              <w:tab/>
            </w:r>
            <w:r w:rsidRPr="00CA74C4">
              <w:fldChar w:fldCharType="begin"/>
            </w:r>
            <w:r w:rsidRPr="00CA74C4">
              <w:instrText xml:space="preserve"> PAGEREF _Toc318966123 \h </w:instrText>
            </w:r>
            <w:r w:rsidRPr="00CA74C4">
              <w:fldChar w:fldCharType="separate"/>
            </w:r>
            <w:r w:rsidR="009723C2">
              <w:t>7</w:t>
            </w:r>
            <w:r w:rsidRPr="00CA74C4">
              <w:fldChar w:fldCharType="end"/>
            </w:r>
          </w:p>
          <w:p w14:paraId="7AF39C4F" w14:textId="65053849" w:rsidR="006E3C00" w:rsidRPr="00CA74C4" w:rsidRDefault="006E3C00" w:rsidP="009723C2">
            <w:pPr>
              <w:pStyle w:val="TOCContents02WGR"/>
              <w:rPr>
                <w:rFonts w:eastAsia="MS Mincho"/>
                <w:color w:val="auto"/>
                <w:lang w:eastAsia="ja-JP"/>
              </w:rPr>
            </w:pPr>
            <w:r w:rsidRPr="00CA74C4">
              <w:t>8</w:t>
            </w:r>
            <w:r w:rsidRPr="00CA74C4">
              <w:rPr>
                <w:rFonts w:eastAsia="MS Mincho"/>
                <w:color w:val="auto"/>
                <w:lang w:eastAsia="ja-JP"/>
              </w:rPr>
              <w:tab/>
            </w:r>
            <w:r w:rsidRPr="00CA74C4">
              <w:t>Implementation</w:t>
            </w:r>
            <w:r w:rsidRPr="00CA74C4">
              <w:tab/>
            </w:r>
            <w:r w:rsidRPr="00CA74C4">
              <w:fldChar w:fldCharType="begin"/>
            </w:r>
            <w:r w:rsidRPr="00CA74C4">
              <w:instrText xml:space="preserve"> PAGEREF _Toc318966124 \h </w:instrText>
            </w:r>
            <w:r w:rsidRPr="00CA74C4">
              <w:fldChar w:fldCharType="separate"/>
            </w:r>
            <w:r w:rsidR="009723C2">
              <w:t>8</w:t>
            </w:r>
            <w:r w:rsidRPr="00CA74C4">
              <w:fldChar w:fldCharType="end"/>
            </w:r>
          </w:p>
          <w:p w14:paraId="6EC0769C" w14:textId="706ADB3A" w:rsidR="006E3C00" w:rsidRPr="00CA74C4" w:rsidRDefault="006E3C00" w:rsidP="009723C2">
            <w:pPr>
              <w:pStyle w:val="TOCContents02WGR"/>
              <w:rPr>
                <w:rFonts w:eastAsia="MS Mincho"/>
                <w:color w:val="auto"/>
                <w:lang w:eastAsia="ja-JP"/>
              </w:rPr>
            </w:pPr>
            <w:r w:rsidRPr="00CA74C4">
              <w:t>9</w:t>
            </w:r>
            <w:r w:rsidRPr="00CA74C4">
              <w:rPr>
                <w:rFonts w:eastAsia="MS Mincho"/>
                <w:color w:val="auto"/>
                <w:lang w:eastAsia="ja-JP"/>
              </w:rPr>
              <w:tab/>
            </w:r>
            <w:r w:rsidRPr="00CA74C4">
              <w:t>Legal Text</w:t>
            </w:r>
            <w:r w:rsidRPr="00CA74C4">
              <w:tab/>
            </w:r>
            <w:r w:rsidRPr="00CA74C4">
              <w:fldChar w:fldCharType="begin"/>
            </w:r>
            <w:r w:rsidRPr="00CA74C4">
              <w:instrText xml:space="preserve"> PAGEREF _Toc318966125 \h </w:instrText>
            </w:r>
            <w:r w:rsidRPr="00CA74C4">
              <w:fldChar w:fldCharType="separate"/>
            </w:r>
            <w:r w:rsidR="009723C2">
              <w:t>8</w:t>
            </w:r>
            <w:r w:rsidRPr="00CA74C4">
              <w:fldChar w:fldCharType="end"/>
            </w:r>
          </w:p>
          <w:p w14:paraId="68933EDF" w14:textId="33F97007" w:rsidR="006E3C00" w:rsidRPr="00CA74C4" w:rsidRDefault="006E3C00" w:rsidP="009723C2">
            <w:pPr>
              <w:pStyle w:val="TOCContents02WGR"/>
              <w:rPr>
                <w:rFonts w:eastAsia="MS Mincho"/>
                <w:color w:val="auto"/>
                <w:lang w:eastAsia="ja-JP"/>
              </w:rPr>
            </w:pPr>
            <w:r w:rsidRPr="00CA74C4">
              <w:t>10</w:t>
            </w:r>
            <w:r w:rsidRPr="00CA74C4">
              <w:rPr>
                <w:rFonts w:eastAsia="MS Mincho"/>
                <w:color w:val="auto"/>
                <w:lang w:eastAsia="ja-JP"/>
              </w:rPr>
              <w:tab/>
            </w:r>
            <w:r w:rsidRPr="00CA74C4">
              <w:t>Recommendations</w:t>
            </w:r>
            <w:r w:rsidRPr="00CA74C4">
              <w:tab/>
            </w:r>
            <w:r w:rsidRPr="00CA74C4">
              <w:fldChar w:fldCharType="begin"/>
            </w:r>
            <w:r w:rsidRPr="00CA74C4">
              <w:instrText xml:space="preserve"> PAGEREF _Toc318966126 \h </w:instrText>
            </w:r>
            <w:r w:rsidRPr="00CA74C4">
              <w:fldChar w:fldCharType="separate"/>
            </w:r>
            <w:r w:rsidR="009723C2">
              <w:t>8</w:t>
            </w:r>
            <w:r w:rsidRPr="00CA74C4">
              <w:fldChar w:fldCharType="end"/>
            </w:r>
          </w:p>
          <w:p w14:paraId="73DFE91E" w14:textId="77777777" w:rsidR="006E3C00" w:rsidRPr="00CA74C4" w:rsidRDefault="006E3C00" w:rsidP="009723C2">
            <w:pPr>
              <w:pStyle w:val="TOCContents02WGR"/>
            </w:pPr>
            <w:r w:rsidRPr="00CA74C4">
              <w:fldChar w:fldCharType="end"/>
            </w:r>
          </w:p>
          <w:p w14:paraId="6FFF2A9E" w14:textId="77777777" w:rsidR="006E3C00" w:rsidRPr="00CA74C4" w:rsidRDefault="006E3C00" w:rsidP="00EB3334">
            <w:pPr>
              <w:pStyle w:val="Timetable02"/>
            </w:pPr>
            <w:r w:rsidRPr="00CA74C4">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5949"/>
              <w:gridCol w:w="1984"/>
            </w:tblGrid>
            <w:tr w:rsidR="006E3C00" w:rsidRPr="00CA74C4" w14:paraId="0E28D398" w14:textId="77777777" w:rsidTr="00E81739">
              <w:tc>
                <w:tcPr>
                  <w:tcW w:w="7933" w:type="dxa"/>
                  <w:gridSpan w:val="2"/>
                  <w:shd w:val="clear" w:color="auto" w:fill="auto"/>
                </w:tcPr>
                <w:p w14:paraId="2B12E004" w14:textId="451FEF5D" w:rsidR="006E3C00" w:rsidRPr="00CA74C4" w:rsidRDefault="00EB3334" w:rsidP="006E3C00">
                  <w:pPr>
                    <w:spacing w:before="40" w:after="40"/>
                    <w:rPr>
                      <w:rFonts w:cs="Arial"/>
                      <w:szCs w:val="20"/>
                    </w:rPr>
                  </w:pPr>
                  <w:r>
                    <w:rPr>
                      <w:rFonts w:cs="Arial"/>
                      <w:b/>
                      <w:szCs w:val="20"/>
                    </w:rPr>
                    <w:t>Modification</w:t>
                  </w:r>
                  <w:r w:rsidR="006E3C00" w:rsidRPr="00CA74C4">
                    <w:rPr>
                      <w:rFonts w:cs="Arial"/>
                      <w:b/>
                      <w:szCs w:val="20"/>
                    </w:rPr>
                    <w:t xml:space="preserve"> timetable:</w:t>
                  </w:r>
                  <w:r w:rsidR="006E3C00" w:rsidRPr="00CA74C4">
                    <w:rPr>
                      <w:rFonts w:cs="Arial"/>
                      <w:i/>
                      <w:szCs w:val="20"/>
                    </w:rPr>
                    <w:t xml:space="preserve"> </w:t>
                  </w:r>
                </w:p>
              </w:tc>
            </w:tr>
            <w:tr w:rsidR="006E3C00" w:rsidRPr="00CA74C4" w14:paraId="3A0E34E0" w14:textId="77777777" w:rsidTr="00EB3334">
              <w:tc>
                <w:tcPr>
                  <w:tcW w:w="5949" w:type="dxa"/>
                  <w:shd w:val="clear" w:color="auto" w:fill="auto"/>
                </w:tcPr>
                <w:p w14:paraId="4F4A3566" w14:textId="77777777" w:rsidR="006E3C00" w:rsidRPr="00CA74C4" w:rsidRDefault="006E3C00" w:rsidP="006E3C00">
                  <w:pPr>
                    <w:tabs>
                      <w:tab w:val="left" w:pos="171"/>
                    </w:tabs>
                    <w:spacing w:before="40" w:after="40"/>
                    <w:rPr>
                      <w:rFonts w:cs="Arial"/>
                      <w:szCs w:val="20"/>
                    </w:rPr>
                  </w:pPr>
                  <w:r w:rsidRPr="00CA74C4">
                    <w:rPr>
                      <w:rFonts w:cs="Arial"/>
                      <w:szCs w:val="20"/>
                    </w:rPr>
                    <w:t>Initial consideration by Workgroup</w:t>
                  </w:r>
                </w:p>
              </w:tc>
              <w:tc>
                <w:tcPr>
                  <w:tcW w:w="1984" w:type="dxa"/>
                  <w:shd w:val="clear" w:color="auto" w:fill="auto"/>
                  <w:vAlign w:val="center"/>
                </w:tcPr>
                <w:p w14:paraId="6CEF7952" w14:textId="77777777" w:rsidR="006E3C00" w:rsidRPr="00CA74C4" w:rsidRDefault="004948AA" w:rsidP="006E3C00">
                  <w:pPr>
                    <w:spacing w:before="40" w:after="40"/>
                    <w:rPr>
                      <w:rFonts w:cs="Arial"/>
                      <w:szCs w:val="20"/>
                    </w:rPr>
                  </w:pPr>
                  <w:r>
                    <w:rPr>
                      <w:rFonts w:cs="Arial"/>
                      <w:szCs w:val="20"/>
                    </w:rPr>
                    <w:t>07 April 2022</w:t>
                  </w:r>
                </w:p>
              </w:tc>
            </w:tr>
            <w:tr w:rsidR="006E3C00" w:rsidRPr="00CA74C4" w14:paraId="2FC69B30" w14:textId="77777777" w:rsidTr="00EB3334">
              <w:tc>
                <w:tcPr>
                  <w:tcW w:w="5949" w:type="dxa"/>
                  <w:shd w:val="clear" w:color="auto" w:fill="auto"/>
                </w:tcPr>
                <w:p w14:paraId="4E0F5967" w14:textId="77777777" w:rsidR="006E3C00" w:rsidRPr="00CA74C4" w:rsidRDefault="006E3C00" w:rsidP="006E3C00">
                  <w:pPr>
                    <w:tabs>
                      <w:tab w:val="left" w:pos="171"/>
                    </w:tabs>
                    <w:spacing w:before="40" w:after="40"/>
                    <w:rPr>
                      <w:rFonts w:cs="Arial"/>
                      <w:szCs w:val="20"/>
                    </w:rPr>
                  </w:pPr>
                  <w:r w:rsidRPr="00CA74C4">
                    <w:rPr>
                      <w:rFonts w:cs="Arial"/>
                      <w:szCs w:val="20"/>
                    </w:rPr>
                    <w:t>Workgroup Report presented to Panel</w:t>
                  </w:r>
                </w:p>
              </w:tc>
              <w:tc>
                <w:tcPr>
                  <w:tcW w:w="1984" w:type="dxa"/>
                  <w:shd w:val="clear" w:color="auto" w:fill="auto"/>
                  <w:vAlign w:val="center"/>
                </w:tcPr>
                <w:p w14:paraId="3DE5B110" w14:textId="77777777" w:rsidR="006E3C00" w:rsidRPr="00CA74C4" w:rsidRDefault="004948AA" w:rsidP="006E3C00">
                  <w:pPr>
                    <w:spacing w:before="40" w:after="40"/>
                    <w:rPr>
                      <w:rFonts w:cs="Arial"/>
                      <w:szCs w:val="20"/>
                    </w:rPr>
                  </w:pPr>
                  <w:r>
                    <w:rPr>
                      <w:rFonts w:cs="Arial"/>
                      <w:szCs w:val="20"/>
                    </w:rPr>
                    <w:t>16 June 2022</w:t>
                  </w:r>
                </w:p>
              </w:tc>
            </w:tr>
            <w:tr w:rsidR="006E3C00" w:rsidRPr="00CA74C4" w14:paraId="246A3A47" w14:textId="77777777" w:rsidTr="00EB3334">
              <w:tc>
                <w:tcPr>
                  <w:tcW w:w="5949" w:type="dxa"/>
                  <w:shd w:val="clear" w:color="auto" w:fill="auto"/>
                </w:tcPr>
                <w:p w14:paraId="713C5B3F" w14:textId="77777777" w:rsidR="006E3C00" w:rsidRPr="00CA74C4" w:rsidRDefault="006E3C00" w:rsidP="006E3C00">
                  <w:pPr>
                    <w:tabs>
                      <w:tab w:val="left" w:pos="171"/>
                    </w:tabs>
                    <w:spacing w:before="40" w:after="40"/>
                    <w:rPr>
                      <w:rFonts w:cs="Arial"/>
                      <w:szCs w:val="20"/>
                    </w:rPr>
                  </w:pPr>
                  <w:r w:rsidRPr="00CA74C4">
                    <w:rPr>
                      <w:rFonts w:cs="Arial"/>
                      <w:szCs w:val="20"/>
                    </w:rPr>
                    <w:t>Draft Modification Report issued for consultation</w:t>
                  </w:r>
                </w:p>
              </w:tc>
              <w:tc>
                <w:tcPr>
                  <w:tcW w:w="1984" w:type="dxa"/>
                  <w:shd w:val="clear" w:color="auto" w:fill="auto"/>
                  <w:vAlign w:val="center"/>
                </w:tcPr>
                <w:p w14:paraId="338585C9" w14:textId="77777777" w:rsidR="006E3C00" w:rsidRPr="00CA74C4" w:rsidRDefault="004948AA" w:rsidP="006E3C00">
                  <w:pPr>
                    <w:spacing w:before="40" w:after="40"/>
                    <w:rPr>
                      <w:rFonts w:cs="Arial"/>
                      <w:szCs w:val="20"/>
                    </w:rPr>
                  </w:pPr>
                  <w:r>
                    <w:rPr>
                      <w:rFonts w:cs="Arial"/>
                      <w:szCs w:val="20"/>
                    </w:rPr>
                    <w:t>17 June 2022</w:t>
                  </w:r>
                </w:p>
              </w:tc>
            </w:tr>
            <w:tr w:rsidR="006E3C00" w:rsidRPr="00CA74C4" w14:paraId="184762B9" w14:textId="77777777" w:rsidTr="00EB3334">
              <w:tc>
                <w:tcPr>
                  <w:tcW w:w="5949" w:type="dxa"/>
                  <w:shd w:val="clear" w:color="auto" w:fill="auto"/>
                </w:tcPr>
                <w:p w14:paraId="1A4A697F" w14:textId="77777777" w:rsidR="006E3C00" w:rsidRPr="00CA74C4" w:rsidRDefault="006E3C00" w:rsidP="006E3C00">
                  <w:pPr>
                    <w:tabs>
                      <w:tab w:val="left" w:pos="171"/>
                    </w:tabs>
                    <w:spacing w:before="40" w:after="40"/>
                    <w:rPr>
                      <w:rFonts w:cs="Arial"/>
                      <w:szCs w:val="20"/>
                    </w:rPr>
                  </w:pPr>
                  <w:r w:rsidRPr="00CA74C4">
                    <w:rPr>
                      <w:rFonts w:cs="Arial"/>
                      <w:szCs w:val="20"/>
                    </w:rPr>
                    <w:t>Consultation Close-out for representations</w:t>
                  </w:r>
                </w:p>
              </w:tc>
              <w:tc>
                <w:tcPr>
                  <w:tcW w:w="1984" w:type="dxa"/>
                  <w:shd w:val="clear" w:color="auto" w:fill="auto"/>
                  <w:vAlign w:val="center"/>
                </w:tcPr>
                <w:p w14:paraId="33BDED5A" w14:textId="77777777" w:rsidR="006E3C00" w:rsidRPr="00CA74C4" w:rsidRDefault="00FD7968" w:rsidP="006E3C00">
                  <w:pPr>
                    <w:spacing w:before="40" w:after="40"/>
                    <w:rPr>
                      <w:rFonts w:cs="Arial"/>
                      <w:szCs w:val="20"/>
                    </w:rPr>
                  </w:pPr>
                  <w:r>
                    <w:rPr>
                      <w:rFonts w:cs="Arial"/>
                      <w:szCs w:val="20"/>
                    </w:rPr>
                    <w:t xml:space="preserve">08 </w:t>
                  </w:r>
                  <w:r w:rsidR="004948AA">
                    <w:rPr>
                      <w:rFonts w:cs="Arial"/>
                      <w:szCs w:val="20"/>
                    </w:rPr>
                    <w:t>July 2022</w:t>
                  </w:r>
                </w:p>
              </w:tc>
            </w:tr>
            <w:tr w:rsidR="006E3C00" w:rsidRPr="00CA74C4" w14:paraId="44A6DE9A" w14:textId="77777777" w:rsidTr="00EB3334">
              <w:tc>
                <w:tcPr>
                  <w:tcW w:w="5949" w:type="dxa"/>
                  <w:shd w:val="clear" w:color="auto" w:fill="auto"/>
                </w:tcPr>
                <w:p w14:paraId="05A3228F" w14:textId="77777777" w:rsidR="006E3C00" w:rsidRPr="00CA74C4" w:rsidRDefault="006E3C00" w:rsidP="006E3C00">
                  <w:pPr>
                    <w:tabs>
                      <w:tab w:val="left" w:pos="171"/>
                    </w:tabs>
                    <w:spacing w:before="40" w:after="40"/>
                    <w:rPr>
                      <w:rFonts w:cs="Arial"/>
                      <w:szCs w:val="20"/>
                    </w:rPr>
                  </w:pPr>
                  <w:r w:rsidRPr="00CA74C4">
                    <w:rPr>
                      <w:rFonts w:cs="Arial"/>
                      <w:szCs w:val="20"/>
                    </w:rPr>
                    <w:t>Final Modification Report available for Panel</w:t>
                  </w:r>
                </w:p>
              </w:tc>
              <w:tc>
                <w:tcPr>
                  <w:tcW w:w="1984" w:type="dxa"/>
                  <w:shd w:val="clear" w:color="auto" w:fill="auto"/>
                  <w:vAlign w:val="center"/>
                </w:tcPr>
                <w:p w14:paraId="5E718923" w14:textId="77777777" w:rsidR="006E3C00" w:rsidRPr="00CA74C4" w:rsidRDefault="004948AA" w:rsidP="006E3C00">
                  <w:pPr>
                    <w:spacing w:before="40" w:after="40"/>
                    <w:rPr>
                      <w:rFonts w:cs="Arial"/>
                      <w:szCs w:val="20"/>
                    </w:rPr>
                  </w:pPr>
                  <w:r>
                    <w:rPr>
                      <w:rFonts w:cs="Arial"/>
                      <w:szCs w:val="20"/>
                    </w:rPr>
                    <w:t>13 July 2022</w:t>
                  </w:r>
                </w:p>
              </w:tc>
            </w:tr>
            <w:tr w:rsidR="006E3C00" w:rsidRPr="00CA74C4" w14:paraId="7CBCE235" w14:textId="77777777" w:rsidTr="00EB3334">
              <w:tc>
                <w:tcPr>
                  <w:tcW w:w="5949" w:type="dxa"/>
                  <w:shd w:val="clear" w:color="auto" w:fill="auto"/>
                </w:tcPr>
                <w:p w14:paraId="50B6A072" w14:textId="77777777" w:rsidR="006E3C00" w:rsidRPr="00CA74C4" w:rsidRDefault="006E3C00" w:rsidP="006E3C00">
                  <w:pPr>
                    <w:tabs>
                      <w:tab w:val="left" w:pos="171"/>
                    </w:tabs>
                    <w:spacing w:before="40" w:after="40"/>
                    <w:rPr>
                      <w:rFonts w:cs="Arial"/>
                      <w:szCs w:val="20"/>
                    </w:rPr>
                  </w:pPr>
                  <w:r w:rsidRPr="00CA74C4">
                    <w:rPr>
                      <w:rFonts w:cs="Arial"/>
                      <w:szCs w:val="20"/>
                    </w:rPr>
                    <w:t>Modification Panel decision</w:t>
                  </w:r>
                </w:p>
              </w:tc>
              <w:tc>
                <w:tcPr>
                  <w:tcW w:w="1984" w:type="dxa"/>
                  <w:shd w:val="clear" w:color="auto" w:fill="auto"/>
                  <w:vAlign w:val="center"/>
                </w:tcPr>
                <w:p w14:paraId="093621D7" w14:textId="77777777" w:rsidR="006E3C00" w:rsidRPr="00CA74C4" w:rsidRDefault="004948AA" w:rsidP="006E3C00">
                  <w:pPr>
                    <w:spacing w:before="40" w:after="40"/>
                    <w:rPr>
                      <w:rFonts w:cs="Arial"/>
                      <w:szCs w:val="20"/>
                    </w:rPr>
                  </w:pPr>
                  <w:r>
                    <w:rPr>
                      <w:rFonts w:cs="Arial"/>
                      <w:szCs w:val="20"/>
                    </w:rPr>
                    <w:t>21 July 2022</w:t>
                  </w:r>
                </w:p>
              </w:tc>
            </w:tr>
            <w:tr w:rsidR="006E3C00" w:rsidRPr="00CA74C4" w14:paraId="720D6D38" w14:textId="77777777" w:rsidTr="00EB3334">
              <w:tc>
                <w:tcPr>
                  <w:tcW w:w="5949" w:type="dxa"/>
                  <w:shd w:val="clear" w:color="auto" w:fill="auto"/>
                </w:tcPr>
                <w:p w14:paraId="753F18CA" w14:textId="77777777" w:rsidR="006E3C00" w:rsidRPr="00CA74C4" w:rsidRDefault="006E3C00" w:rsidP="006E3C00">
                  <w:pPr>
                    <w:tabs>
                      <w:tab w:val="left" w:pos="171"/>
                    </w:tabs>
                    <w:spacing w:before="40" w:after="40"/>
                    <w:rPr>
                      <w:rFonts w:cs="Arial"/>
                      <w:szCs w:val="20"/>
                    </w:rPr>
                  </w:pPr>
                </w:p>
              </w:tc>
              <w:tc>
                <w:tcPr>
                  <w:tcW w:w="1984" w:type="dxa"/>
                  <w:shd w:val="clear" w:color="auto" w:fill="auto"/>
                  <w:vAlign w:val="center"/>
                </w:tcPr>
                <w:p w14:paraId="10A7023C" w14:textId="77777777" w:rsidR="006E3C00" w:rsidRPr="00CA74C4" w:rsidRDefault="006E3C00" w:rsidP="006E3C00">
                  <w:pPr>
                    <w:spacing w:before="40" w:after="40"/>
                    <w:rPr>
                      <w:rFonts w:cs="Arial"/>
                      <w:szCs w:val="20"/>
                    </w:rPr>
                  </w:pPr>
                </w:p>
              </w:tc>
            </w:tr>
            <w:tr w:rsidR="006E3C00" w:rsidRPr="00CA74C4" w14:paraId="14B1293E" w14:textId="77777777" w:rsidTr="00EB3334">
              <w:trPr>
                <w:trHeight w:val="93"/>
              </w:trPr>
              <w:tc>
                <w:tcPr>
                  <w:tcW w:w="5949" w:type="dxa"/>
                  <w:shd w:val="clear" w:color="auto" w:fill="auto"/>
                </w:tcPr>
                <w:p w14:paraId="0823EABE" w14:textId="77777777" w:rsidR="006E3C00" w:rsidRPr="00CA74C4" w:rsidRDefault="006E3C00" w:rsidP="006E3C00">
                  <w:pPr>
                    <w:tabs>
                      <w:tab w:val="left" w:pos="171"/>
                    </w:tabs>
                    <w:spacing w:before="40" w:after="40"/>
                    <w:rPr>
                      <w:rFonts w:cs="Arial"/>
                      <w:szCs w:val="20"/>
                    </w:rPr>
                  </w:pPr>
                </w:p>
              </w:tc>
              <w:tc>
                <w:tcPr>
                  <w:tcW w:w="1984" w:type="dxa"/>
                  <w:shd w:val="clear" w:color="auto" w:fill="auto"/>
                  <w:vAlign w:val="center"/>
                </w:tcPr>
                <w:p w14:paraId="64F135FD" w14:textId="77777777" w:rsidR="006E3C00" w:rsidRPr="00CA74C4" w:rsidRDefault="006E3C00" w:rsidP="006E3C00">
                  <w:pPr>
                    <w:spacing w:before="40" w:after="40"/>
                    <w:rPr>
                      <w:rFonts w:cs="Arial"/>
                      <w:szCs w:val="20"/>
                    </w:rPr>
                  </w:pPr>
                </w:p>
              </w:tc>
            </w:tr>
          </w:tbl>
          <w:p w14:paraId="6B87EC70" w14:textId="77777777" w:rsidR="006E3C00" w:rsidRPr="00CA74C4" w:rsidRDefault="006E3C00" w:rsidP="006E3C00">
            <w:pPr>
              <w:pStyle w:val="BodyTextFirstIndent"/>
              <w:ind w:firstLine="0"/>
              <w:rPr>
                <w:rFonts w:cs="Arial"/>
              </w:rPr>
            </w:pPr>
          </w:p>
          <w:p w14:paraId="58867860" w14:textId="77777777" w:rsidR="006E3C00" w:rsidRPr="00CA74C4" w:rsidRDefault="006E3C00" w:rsidP="006E3C00">
            <w:pPr>
              <w:pStyle w:val="BodyTextFirstIndent"/>
              <w:ind w:firstLine="0"/>
              <w:rPr>
                <w:rFonts w:cs="Arial"/>
              </w:rPr>
            </w:pPr>
          </w:p>
          <w:p w14:paraId="39C4E619" w14:textId="77777777" w:rsidR="006E3C00" w:rsidRPr="00CA74C4" w:rsidRDefault="006E3C00" w:rsidP="006E3C00">
            <w:pPr>
              <w:pStyle w:val="BodyTextFirstIndent"/>
              <w:tabs>
                <w:tab w:val="left" w:pos="3430"/>
              </w:tabs>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tcPr>
          <w:p w14:paraId="51BC2426" w14:textId="6924F3BF" w:rsidR="006E3C00" w:rsidRPr="009B429B" w:rsidRDefault="00B86205" w:rsidP="006E3C00">
            <w:pPr>
              <w:pStyle w:val="BodyText"/>
              <w:spacing w:before="60" w:after="60" w:line="240" w:lineRule="auto"/>
              <w:rPr>
                <w:rFonts w:cs="Arial"/>
                <w:noProof/>
                <w:szCs w:val="20"/>
              </w:rPr>
            </w:pPr>
            <w:r>
              <w:rPr>
                <w:rFonts w:cs="Arial"/>
                <w:noProof/>
                <w:szCs w:val="20"/>
              </w:rPr>
              <w:drawing>
                <wp:inline distT="0" distB="0" distL="0" distR="0" wp14:anchorId="61D6D71F" wp14:editId="64B75AD8">
                  <wp:extent cx="285750" cy="28575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6E3C00" w:rsidRPr="00D1570A">
              <w:rPr>
                <w:rFonts w:cs="Arial"/>
                <w:b/>
                <w:color w:val="008576"/>
                <w:szCs w:val="20"/>
              </w:rPr>
              <w:t xml:space="preserve"> Any questions?</w:t>
            </w:r>
          </w:p>
        </w:tc>
      </w:tr>
      <w:tr w:rsidR="006E3C00" w:rsidRPr="00CA74C4" w14:paraId="1EC1A1F4" w14:textId="77777777" w:rsidTr="006E3C00">
        <w:trPr>
          <w:trHeight w:val="615"/>
        </w:trPr>
        <w:tc>
          <w:tcPr>
            <w:tcW w:w="8017" w:type="dxa"/>
            <w:vMerge/>
            <w:tcBorders>
              <w:left w:val="single" w:sz="4" w:space="0" w:color="4A8958"/>
              <w:bottom w:val="single" w:sz="4" w:space="0" w:color="4A8958"/>
              <w:right w:val="single" w:sz="4" w:space="0" w:color="4A8958"/>
            </w:tcBorders>
            <w:shd w:val="clear" w:color="auto" w:fill="auto"/>
          </w:tcPr>
          <w:p w14:paraId="21320A38" w14:textId="77777777" w:rsidR="006E3C00" w:rsidRPr="00CA74C4" w:rsidRDefault="006E3C00" w:rsidP="006E3C00">
            <w:pPr>
              <w:pStyle w:val="Contents01"/>
              <w:rPr>
                <w:noProof/>
              </w:rPr>
            </w:pPr>
          </w:p>
        </w:tc>
        <w:tc>
          <w:tcPr>
            <w:tcW w:w="2146" w:type="dxa"/>
            <w:tcBorders>
              <w:left w:val="single" w:sz="4" w:space="0" w:color="4A8958"/>
              <w:bottom w:val="single" w:sz="4" w:space="0" w:color="4A8958"/>
              <w:right w:val="single" w:sz="4" w:space="0" w:color="4A8958"/>
            </w:tcBorders>
          </w:tcPr>
          <w:p w14:paraId="17BEC6B6" w14:textId="77777777" w:rsidR="006E3C00" w:rsidRPr="00D1570A" w:rsidRDefault="006E3C00" w:rsidP="006E3C00">
            <w:pPr>
              <w:spacing w:before="60" w:after="60" w:line="240" w:lineRule="auto"/>
              <w:rPr>
                <w:rFonts w:cs="Arial"/>
                <w:color w:val="008576"/>
                <w:szCs w:val="20"/>
              </w:rPr>
            </w:pPr>
            <w:r w:rsidRPr="00D1570A">
              <w:rPr>
                <w:rFonts w:cs="Arial"/>
                <w:color w:val="008576"/>
                <w:szCs w:val="20"/>
              </w:rPr>
              <w:t>Contact:</w:t>
            </w:r>
          </w:p>
          <w:p w14:paraId="0CD9E8B8" w14:textId="77777777" w:rsidR="006E3C00" w:rsidRPr="00CA74C4" w:rsidRDefault="006E3C00" w:rsidP="006E3C00">
            <w:pPr>
              <w:spacing w:before="60" w:after="60" w:line="240" w:lineRule="auto"/>
              <w:rPr>
                <w:rFonts w:cs="Arial"/>
                <w:color w:val="008576"/>
                <w:szCs w:val="20"/>
              </w:rPr>
            </w:pPr>
            <w:r w:rsidRPr="00D1570A">
              <w:rPr>
                <w:rFonts w:cs="Arial"/>
                <w:b/>
                <w:color w:val="008576"/>
                <w:szCs w:val="20"/>
              </w:rPr>
              <w:t>Joint Office of Gas Transporters</w:t>
            </w:r>
          </w:p>
        </w:tc>
      </w:tr>
      <w:tr w:rsidR="006E3C00" w:rsidRPr="00CA74C4" w14:paraId="2CD52854" w14:textId="77777777" w:rsidTr="006E3C00">
        <w:trPr>
          <w:trHeight w:val="615"/>
        </w:trPr>
        <w:tc>
          <w:tcPr>
            <w:tcW w:w="8017" w:type="dxa"/>
            <w:vMerge/>
            <w:tcBorders>
              <w:left w:val="single" w:sz="4" w:space="0" w:color="4A8958"/>
              <w:bottom w:val="single" w:sz="4" w:space="0" w:color="4A8958"/>
              <w:right w:val="single" w:sz="4" w:space="0" w:color="4A8958"/>
            </w:tcBorders>
            <w:shd w:val="clear" w:color="auto" w:fill="auto"/>
          </w:tcPr>
          <w:p w14:paraId="056ECF95" w14:textId="77777777" w:rsidR="006E3C00" w:rsidRPr="00CA74C4" w:rsidRDefault="006E3C00" w:rsidP="006E3C00">
            <w:pPr>
              <w:pStyle w:val="Contents01"/>
              <w:rPr>
                <w:noProof/>
              </w:rPr>
            </w:pPr>
          </w:p>
        </w:tc>
        <w:tc>
          <w:tcPr>
            <w:tcW w:w="2146" w:type="dxa"/>
            <w:tcBorders>
              <w:left w:val="single" w:sz="4" w:space="0" w:color="4A8958"/>
              <w:bottom w:val="single" w:sz="4" w:space="0" w:color="4A8958"/>
              <w:right w:val="single" w:sz="4" w:space="0" w:color="4A8958"/>
            </w:tcBorders>
          </w:tcPr>
          <w:p w14:paraId="071E349D" w14:textId="5C0D9D4F" w:rsidR="006E3C00" w:rsidRPr="009B429B" w:rsidRDefault="00B86205" w:rsidP="006E3C00">
            <w:pPr>
              <w:pStyle w:val="BodyText"/>
              <w:spacing w:before="60" w:after="60" w:line="240" w:lineRule="auto"/>
              <w:rPr>
                <w:rFonts w:cs="Arial"/>
                <w:b/>
                <w:noProof/>
                <w:color w:val="008576"/>
                <w:szCs w:val="20"/>
              </w:rPr>
            </w:pPr>
            <w:r>
              <w:rPr>
                <w:rFonts w:cs="Arial"/>
                <w:b/>
                <w:noProof/>
                <w:color w:val="008576"/>
                <w:szCs w:val="20"/>
              </w:rPr>
              <w:drawing>
                <wp:inline distT="0" distB="0" distL="0" distR="0" wp14:anchorId="0A07B60D" wp14:editId="0307C498">
                  <wp:extent cx="285750" cy="28575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6E3C00" w:rsidRPr="0065262A">
              <w:rPr>
                <w:rFonts w:cs="Arial"/>
                <w:b/>
                <w:color w:val="008576"/>
                <w:szCs w:val="20"/>
              </w:rPr>
              <w:t xml:space="preserve"> </w:t>
            </w:r>
            <w:hyperlink r:id="rId19" w:history="1">
              <w:r w:rsidR="006E3C00" w:rsidRPr="0065262A">
                <w:rPr>
                  <w:rStyle w:val="Hyperlink"/>
                  <w:rFonts w:cs="Arial"/>
                  <w:b/>
                  <w:szCs w:val="20"/>
                </w:rPr>
                <w:t>enquiries@gasgovernance.co.uk</w:t>
              </w:r>
            </w:hyperlink>
          </w:p>
        </w:tc>
      </w:tr>
      <w:tr w:rsidR="006E3C00" w:rsidRPr="00CA74C4" w14:paraId="303336B9" w14:textId="77777777" w:rsidTr="006E3C00">
        <w:trPr>
          <w:trHeight w:val="615"/>
        </w:trPr>
        <w:tc>
          <w:tcPr>
            <w:tcW w:w="8017" w:type="dxa"/>
            <w:vMerge/>
            <w:tcBorders>
              <w:left w:val="single" w:sz="4" w:space="0" w:color="4A8958"/>
              <w:bottom w:val="single" w:sz="4" w:space="0" w:color="4A8958"/>
              <w:right w:val="single" w:sz="4" w:space="0" w:color="4A8958"/>
            </w:tcBorders>
            <w:shd w:val="clear" w:color="auto" w:fill="auto"/>
          </w:tcPr>
          <w:p w14:paraId="0878E853" w14:textId="77777777" w:rsidR="006E3C00" w:rsidRPr="00CA74C4" w:rsidRDefault="006E3C00" w:rsidP="006E3C00">
            <w:pPr>
              <w:pStyle w:val="Contents01"/>
              <w:rPr>
                <w:noProof/>
              </w:rPr>
            </w:pPr>
          </w:p>
        </w:tc>
        <w:tc>
          <w:tcPr>
            <w:tcW w:w="2146" w:type="dxa"/>
            <w:tcBorders>
              <w:left w:val="single" w:sz="4" w:space="0" w:color="4A8958"/>
              <w:bottom w:val="single" w:sz="4" w:space="0" w:color="4A8958"/>
              <w:right w:val="single" w:sz="4" w:space="0" w:color="4A8958"/>
            </w:tcBorders>
          </w:tcPr>
          <w:p w14:paraId="21756869" w14:textId="06BAE6B1" w:rsidR="006E3C00" w:rsidRPr="009B429B" w:rsidRDefault="00B86205" w:rsidP="006E3C00">
            <w:pPr>
              <w:pStyle w:val="BodyText"/>
              <w:spacing w:before="60" w:after="60" w:line="240" w:lineRule="auto"/>
              <w:rPr>
                <w:rFonts w:cs="Arial"/>
                <w:b/>
                <w:noProof/>
                <w:color w:val="008576"/>
                <w:szCs w:val="20"/>
              </w:rPr>
            </w:pPr>
            <w:r>
              <w:rPr>
                <w:rFonts w:cs="Arial"/>
                <w:b/>
                <w:noProof/>
                <w:color w:val="008576"/>
                <w:szCs w:val="20"/>
              </w:rPr>
              <w:drawing>
                <wp:inline distT="0" distB="0" distL="0" distR="0" wp14:anchorId="64DFD8E0" wp14:editId="6C40A305">
                  <wp:extent cx="285750" cy="28575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6E3C00" w:rsidRPr="00D1570A">
              <w:rPr>
                <w:rFonts w:cs="Arial"/>
                <w:b/>
                <w:color w:val="008576"/>
                <w:szCs w:val="20"/>
              </w:rPr>
              <w:t>0121 288 2107</w:t>
            </w:r>
          </w:p>
        </w:tc>
      </w:tr>
      <w:tr w:rsidR="006E3C00" w:rsidRPr="00CA74C4" w14:paraId="6F1AC745" w14:textId="77777777" w:rsidTr="006E3C00">
        <w:trPr>
          <w:trHeight w:val="615"/>
        </w:trPr>
        <w:tc>
          <w:tcPr>
            <w:tcW w:w="8017" w:type="dxa"/>
            <w:vMerge/>
            <w:tcBorders>
              <w:left w:val="single" w:sz="4" w:space="0" w:color="4A8958"/>
              <w:bottom w:val="single" w:sz="4" w:space="0" w:color="4A8958"/>
              <w:right w:val="single" w:sz="4" w:space="0" w:color="4A8958"/>
            </w:tcBorders>
            <w:shd w:val="clear" w:color="auto" w:fill="auto"/>
          </w:tcPr>
          <w:p w14:paraId="37C721FC" w14:textId="77777777" w:rsidR="006E3C00" w:rsidRPr="00CA74C4" w:rsidRDefault="006E3C00" w:rsidP="006E3C00">
            <w:pPr>
              <w:pStyle w:val="Contents01"/>
              <w:rPr>
                <w:noProof/>
              </w:rPr>
            </w:pPr>
          </w:p>
        </w:tc>
        <w:tc>
          <w:tcPr>
            <w:tcW w:w="2146" w:type="dxa"/>
            <w:tcBorders>
              <w:left w:val="single" w:sz="4" w:space="0" w:color="4A8958"/>
              <w:bottom w:val="single" w:sz="4" w:space="0" w:color="4A8958"/>
              <w:right w:val="single" w:sz="4" w:space="0" w:color="4A8958"/>
            </w:tcBorders>
          </w:tcPr>
          <w:p w14:paraId="6D6FA506" w14:textId="77777777" w:rsidR="006E3C00" w:rsidRPr="00CA74C4" w:rsidRDefault="006E3C00" w:rsidP="006E3C00">
            <w:pPr>
              <w:spacing w:before="60" w:after="60" w:line="240" w:lineRule="auto"/>
              <w:rPr>
                <w:rFonts w:cs="Arial"/>
                <w:color w:val="008576"/>
                <w:szCs w:val="20"/>
              </w:rPr>
            </w:pPr>
            <w:r w:rsidRPr="00D1570A">
              <w:rPr>
                <w:rFonts w:cs="Arial"/>
                <w:color w:val="008576"/>
                <w:szCs w:val="20"/>
              </w:rPr>
              <w:t>Proposer:</w:t>
            </w:r>
            <w:r>
              <w:rPr>
                <w:rFonts w:cs="Arial"/>
                <w:color w:val="008576"/>
                <w:szCs w:val="20"/>
              </w:rPr>
              <w:t xml:space="preserve"> </w:t>
            </w:r>
            <w:r>
              <w:rPr>
                <w:rFonts w:cs="Arial"/>
                <w:b/>
                <w:bCs/>
                <w:color w:val="008576"/>
                <w:szCs w:val="20"/>
              </w:rPr>
              <w:t>Iwan Hughes, Vitol SA</w:t>
            </w:r>
          </w:p>
        </w:tc>
      </w:tr>
      <w:tr w:rsidR="006E3C00" w:rsidRPr="00CA74C4" w14:paraId="52A984DD" w14:textId="77777777" w:rsidTr="006E3C00">
        <w:trPr>
          <w:trHeight w:val="647"/>
        </w:trPr>
        <w:tc>
          <w:tcPr>
            <w:tcW w:w="8017" w:type="dxa"/>
            <w:vMerge/>
            <w:tcBorders>
              <w:left w:val="single" w:sz="4" w:space="0" w:color="4A8958"/>
              <w:bottom w:val="single" w:sz="4" w:space="0" w:color="4A8958"/>
              <w:right w:val="single" w:sz="4" w:space="0" w:color="4A8958"/>
            </w:tcBorders>
            <w:shd w:val="clear" w:color="auto" w:fill="auto"/>
          </w:tcPr>
          <w:p w14:paraId="715B9813" w14:textId="77777777" w:rsidR="006E3C00" w:rsidRPr="00CA74C4" w:rsidRDefault="006E3C00" w:rsidP="006E3C00">
            <w:pPr>
              <w:pStyle w:val="Contents01"/>
              <w:rPr>
                <w:noProof/>
              </w:rPr>
            </w:pPr>
          </w:p>
        </w:tc>
        <w:tc>
          <w:tcPr>
            <w:tcW w:w="2146" w:type="dxa"/>
            <w:tcBorders>
              <w:left w:val="single" w:sz="4" w:space="0" w:color="4A8958"/>
              <w:bottom w:val="single" w:sz="4" w:space="0" w:color="4A8958"/>
              <w:right w:val="single" w:sz="4" w:space="0" w:color="4A8958"/>
            </w:tcBorders>
          </w:tcPr>
          <w:p w14:paraId="61E61466" w14:textId="2252B028" w:rsidR="005753C3" w:rsidRPr="009B429B" w:rsidRDefault="00B86205" w:rsidP="005753C3">
            <w:pPr>
              <w:pStyle w:val="BodyText"/>
              <w:spacing w:before="60" w:after="60" w:line="240" w:lineRule="auto"/>
              <w:rPr>
                <w:rFonts w:cs="Arial"/>
                <w:b/>
                <w:noProof/>
                <w:color w:val="008576"/>
                <w:szCs w:val="20"/>
              </w:rPr>
            </w:pPr>
            <w:r>
              <w:rPr>
                <w:rFonts w:cs="Arial"/>
                <w:b/>
                <w:noProof/>
                <w:color w:val="008576"/>
                <w:szCs w:val="20"/>
              </w:rPr>
              <w:drawing>
                <wp:inline distT="0" distB="0" distL="0" distR="0" wp14:anchorId="7A900681" wp14:editId="15D4DDEE">
                  <wp:extent cx="285750" cy="285750"/>
                  <wp:effectExtent l="0" t="0" r="0" b="0"/>
                  <wp:docPr id="9" name="Picture 9"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email_us_go_on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6E3C00" w:rsidRPr="00D1570A">
              <w:rPr>
                <w:rFonts w:cs="Arial"/>
                <w:b/>
                <w:color w:val="008576"/>
                <w:szCs w:val="20"/>
              </w:rPr>
              <w:t xml:space="preserve"> </w:t>
            </w:r>
            <w:hyperlink r:id="rId21" w:history="1">
              <w:r w:rsidR="005753C3" w:rsidRPr="00692CC2">
                <w:rPr>
                  <w:rStyle w:val="Hyperlink"/>
                  <w:rFonts w:cs="Arial"/>
                  <w:b/>
                  <w:szCs w:val="20"/>
                </w:rPr>
                <w:t>ihughes@vpi-i.com</w:t>
              </w:r>
            </w:hyperlink>
          </w:p>
        </w:tc>
      </w:tr>
      <w:tr w:rsidR="006E3C00" w:rsidRPr="00CA74C4" w14:paraId="7DDB772D" w14:textId="77777777" w:rsidTr="006E3C00">
        <w:trPr>
          <w:trHeight w:val="615"/>
        </w:trPr>
        <w:tc>
          <w:tcPr>
            <w:tcW w:w="8017" w:type="dxa"/>
            <w:vMerge/>
            <w:tcBorders>
              <w:left w:val="single" w:sz="4" w:space="0" w:color="4A8958"/>
              <w:bottom w:val="single" w:sz="4" w:space="0" w:color="4A8958"/>
              <w:right w:val="single" w:sz="4" w:space="0" w:color="4A8958"/>
            </w:tcBorders>
            <w:shd w:val="clear" w:color="auto" w:fill="auto"/>
          </w:tcPr>
          <w:p w14:paraId="4C5AFD22" w14:textId="77777777" w:rsidR="006E3C00" w:rsidRPr="00CA74C4" w:rsidRDefault="006E3C00" w:rsidP="006E3C00">
            <w:pPr>
              <w:pStyle w:val="Contents01"/>
              <w:rPr>
                <w:noProof/>
              </w:rPr>
            </w:pPr>
          </w:p>
        </w:tc>
        <w:tc>
          <w:tcPr>
            <w:tcW w:w="2146" w:type="dxa"/>
            <w:tcBorders>
              <w:left w:val="single" w:sz="4" w:space="0" w:color="4A8958"/>
              <w:bottom w:val="single" w:sz="4" w:space="0" w:color="4A8958"/>
              <w:right w:val="single" w:sz="4" w:space="0" w:color="4A8958"/>
            </w:tcBorders>
          </w:tcPr>
          <w:p w14:paraId="59ADDBF0" w14:textId="1D36C2F2" w:rsidR="006E3C00" w:rsidRPr="009B429B" w:rsidRDefault="00B86205" w:rsidP="006E3C00">
            <w:pPr>
              <w:pStyle w:val="BodyText"/>
              <w:spacing w:before="60" w:after="60" w:line="240" w:lineRule="auto"/>
              <w:rPr>
                <w:rFonts w:cs="Arial"/>
                <w:b/>
                <w:noProof/>
                <w:color w:val="008576"/>
                <w:szCs w:val="20"/>
              </w:rPr>
            </w:pPr>
            <w:r>
              <w:rPr>
                <w:rFonts w:cs="Arial"/>
                <w:b/>
                <w:noProof/>
                <w:color w:val="008576"/>
                <w:szCs w:val="20"/>
              </w:rPr>
              <w:drawing>
                <wp:inline distT="0" distB="0" distL="0" distR="0" wp14:anchorId="025669BE" wp14:editId="122B2BAA">
                  <wp:extent cx="285750" cy="285750"/>
                  <wp:effectExtent l="0" t="0" r="0" b="0"/>
                  <wp:docPr id="1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6E3C00" w:rsidRPr="00D1570A">
              <w:rPr>
                <w:rFonts w:cs="Arial"/>
                <w:b/>
                <w:color w:val="008576"/>
                <w:szCs w:val="20"/>
              </w:rPr>
              <w:t xml:space="preserve"> </w:t>
            </w:r>
            <w:r w:rsidR="00510CB4">
              <w:rPr>
                <w:rFonts w:cs="Arial"/>
                <w:b/>
                <w:color w:val="008576"/>
                <w:szCs w:val="20"/>
              </w:rPr>
              <w:t>020 3837 5795</w:t>
            </w:r>
          </w:p>
        </w:tc>
      </w:tr>
      <w:tr w:rsidR="006E3C00" w:rsidRPr="00CA74C4" w14:paraId="3EDAE453" w14:textId="77777777" w:rsidTr="006E3C00">
        <w:trPr>
          <w:trHeight w:val="615"/>
        </w:trPr>
        <w:tc>
          <w:tcPr>
            <w:tcW w:w="8017" w:type="dxa"/>
            <w:vMerge/>
            <w:tcBorders>
              <w:left w:val="single" w:sz="4" w:space="0" w:color="4A8958"/>
              <w:bottom w:val="single" w:sz="4" w:space="0" w:color="4A8958"/>
              <w:right w:val="single" w:sz="4" w:space="0" w:color="4A8958"/>
            </w:tcBorders>
            <w:shd w:val="clear" w:color="auto" w:fill="auto"/>
          </w:tcPr>
          <w:p w14:paraId="6777F640" w14:textId="77777777" w:rsidR="006E3C00" w:rsidRPr="00CA74C4" w:rsidRDefault="006E3C00" w:rsidP="006E3C00">
            <w:pPr>
              <w:pStyle w:val="Contents01"/>
              <w:rPr>
                <w:noProof/>
              </w:rPr>
            </w:pPr>
          </w:p>
        </w:tc>
        <w:tc>
          <w:tcPr>
            <w:tcW w:w="2146" w:type="dxa"/>
            <w:tcBorders>
              <w:left w:val="single" w:sz="4" w:space="0" w:color="4A8958"/>
              <w:bottom w:val="single" w:sz="4" w:space="0" w:color="4A8958"/>
              <w:right w:val="single" w:sz="4" w:space="0" w:color="4A8958"/>
            </w:tcBorders>
          </w:tcPr>
          <w:p w14:paraId="002EEDAA" w14:textId="77777777" w:rsidR="006E3C00" w:rsidRPr="00D1570A" w:rsidRDefault="006E3C00" w:rsidP="006E3C00">
            <w:pPr>
              <w:spacing w:before="60" w:after="60" w:line="240" w:lineRule="auto"/>
              <w:rPr>
                <w:rFonts w:cs="Arial"/>
                <w:color w:val="008576"/>
                <w:szCs w:val="20"/>
              </w:rPr>
            </w:pPr>
            <w:r w:rsidRPr="00D1570A">
              <w:rPr>
                <w:rFonts w:cs="Arial"/>
                <w:color w:val="008576"/>
                <w:szCs w:val="20"/>
              </w:rPr>
              <w:t>Transporter:</w:t>
            </w:r>
          </w:p>
          <w:p w14:paraId="23604244" w14:textId="77777777" w:rsidR="006E3C00" w:rsidRPr="002A7B38" w:rsidRDefault="006E3C00" w:rsidP="006E3C00">
            <w:pPr>
              <w:spacing w:before="60" w:after="60" w:line="240" w:lineRule="auto"/>
              <w:rPr>
                <w:rFonts w:cs="Arial"/>
                <w:color w:val="008576"/>
                <w:szCs w:val="20"/>
              </w:rPr>
            </w:pPr>
            <w:r>
              <w:rPr>
                <w:rFonts w:cs="Arial"/>
                <w:b/>
                <w:color w:val="008576"/>
                <w:szCs w:val="20"/>
              </w:rPr>
              <w:t xml:space="preserve">National Grid </w:t>
            </w:r>
          </w:p>
        </w:tc>
      </w:tr>
      <w:tr w:rsidR="006E3C00" w:rsidRPr="00CA74C4" w14:paraId="45EC3750" w14:textId="77777777" w:rsidTr="006E3C00">
        <w:trPr>
          <w:trHeight w:val="492"/>
        </w:trPr>
        <w:tc>
          <w:tcPr>
            <w:tcW w:w="8017" w:type="dxa"/>
            <w:vMerge/>
            <w:tcBorders>
              <w:left w:val="single" w:sz="4" w:space="0" w:color="4A8958"/>
              <w:bottom w:val="single" w:sz="4" w:space="0" w:color="4A8958"/>
              <w:right w:val="single" w:sz="4" w:space="0" w:color="4A8958"/>
            </w:tcBorders>
            <w:shd w:val="clear" w:color="auto" w:fill="auto"/>
          </w:tcPr>
          <w:p w14:paraId="6E762029" w14:textId="77777777" w:rsidR="006E3C00" w:rsidRPr="00CA74C4" w:rsidRDefault="006E3C00" w:rsidP="006E3C00">
            <w:pPr>
              <w:pStyle w:val="BodyText"/>
              <w:rPr>
                <w:rFonts w:cs="Arial"/>
                <w:b/>
                <w:bCs/>
                <w:noProof/>
                <w:color w:val="00B274"/>
                <w:szCs w:val="32"/>
              </w:rPr>
            </w:pPr>
          </w:p>
        </w:tc>
        <w:tc>
          <w:tcPr>
            <w:tcW w:w="2146" w:type="dxa"/>
            <w:tcBorders>
              <w:left w:val="single" w:sz="4" w:space="0" w:color="4A8958"/>
              <w:bottom w:val="single" w:sz="4" w:space="0" w:color="4A8958"/>
              <w:right w:val="single" w:sz="4" w:space="0" w:color="4A8958"/>
            </w:tcBorders>
          </w:tcPr>
          <w:p w14:paraId="44BCC732" w14:textId="77777777" w:rsidR="006E3C00" w:rsidRPr="00D1570A" w:rsidRDefault="006E3C00" w:rsidP="006E3C00">
            <w:pPr>
              <w:spacing w:before="60" w:after="60" w:line="240" w:lineRule="auto"/>
              <w:rPr>
                <w:rFonts w:cs="Arial"/>
                <w:color w:val="008576"/>
                <w:szCs w:val="20"/>
              </w:rPr>
            </w:pPr>
            <w:r w:rsidRPr="00D1570A">
              <w:rPr>
                <w:rFonts w:cs="Arial"/>
                <w:color w:val="008576"/>
                <w:szCs w:val="20"/>
              </w:rPr>
              <w:t>Systems Provider:</w:t>
            </w:r>
          </w:p>
          <w:p w14:paraId="19329E36" w14:textId="77777777" w:rsidR="006E3C00" w:rsidRPr="009B429B" w:rsidRDefault="006E3C00" w:rsidP="006E3C00">
            <w:pPr>
              <w:pStyle w:val="BodyText"/>
              <w:spacing w:before="60" w:after="60"/>
              <w:rPr>
                <w:rFonts w:cs="Arial"/>
                <w:b/>
                <w:noProof/>
                <w:color w:val="008576"/>
                <w:szCs w:val="20"/>
              </w:rPr>
            </w:pPr>
            <w:r w:rsidRPr="00D1570A">
              <w:rPr>
                <w:rFonts w:cs="Arial"/>
                <w:b/>
                <w:color w:val="008576"/>
                <w:szCs w:val="20"/>
              </w:rPr>
              <w:t>Xoserve</w:t>
            </w:r>
          </w:p>
        </w:tc>
      </w:tr>
      <w:tr w:rsidR="006E3C00" w:rsidRPr="00CA74C4" w14:paraId="62AAF1E6" w14:textId="77777777" w:rsidTr="006E3C00">
        <w:trPr>
          <w:trHeight w:val="492"/>
        </w:trPr>
        <w:tc>
          <w:tcPr>
            <w:tcW w:w="8017" w:type="dxa"/>
            <w:vMerge/>
            <w:tcBorders>
              <w:left w:val="single" w:sz="4" w:space="0" w:color="4A8958"/>
              <w:bottom w:val="single" w:sz="4" w:space="0" w:color="4A8958"/>
              <w:right w:val="single" w:sz="4" w:space="0" w:color="4A8958"/>
            </w:tcBorders>
            <w:shd w:val="clear" w:color="auto" w:fill="auto"/>
          </w:tcPr>
          <w:p w14:paraId="1212CCA9" w14:textId="77777777" w:rsidR="006E3C00" w:rsidRPr="00CA74C4" w:rsidRDefault="006E3C00" w:rsidP="006E3C00">
            <w:pPr>
              <w:pStyle w:val="BodyText"/>
              <w:rPr>
                <w:rFonts w:cs="Arial"/>
                <w:b/>
                <w:bCs/>
                <w:noProof/>
                <w:color w:val="00B274"/>
                <w:szCs w:val="32"/>
              </w:rPr>
            </w:pPr>
          </w:p>
        </w:tc>
        <w:tc>
          <w:tcPr>
            <w:tcW w:w="2146" w:type="dxa"/>
            <w:tcBorders>
              <w:left w:val="single" w:sz="4" w:space="0" w:color="4A8958"/>
              <w:bottom w:val="single" w:sz="4" w:space="0" w:color="4A8958"/>
              <w:right w:val="single" w:sz="4" w:space="0" w:color="4A8958"/>
            </w:tcBorders>
          </w:tcPr>
          <w:p w14:paraId="764225A4" w14:textId="431C63B7" w:rsidR="006E3C00" w:rsidRPr="009B429B" w:rsidRDefault="00B86205" w:rsidP="006E3C00">
            <w:pPr>
              <w:pStyle w:val="BodyText"/>
              <w:spacing w:before="60" w:after="60"/>
              <w:rPr>
                <w:rFonts w:cs="Arial"/>
                <w:b/>
                <w:noProof/>
                <w:color w:val="008576"/>
                <w:szCs w:val="20"/>
              </w:rPr>
            </w:pPr>
            <w:r>
              <w:rPr>
                <w:rFonts w:cs="Arial"/>
                <w:b/>
                <w:noProof/>
                <w:color w:val="008576"/>
                <w:szCs w:val="20"/>
              </w:rPr>
              <w:drawing>
                <wp:inline distT="0" distB="0" distL="0" distR="0" wp14:anchorId="482360A2" wp14:editId="187106BE">
                  <wp:extent cx="285750" cy="285750"/>
                  <wp:effectExtent l="0" t="0" r="0" b="0"/>
                  <wp:docPr id="11" name="Picture 13"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email_us_go_on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6E3C00" w:rsidRPr="00D1570A">
              <w:rPr>
                <w:rFonts w:cs="Arial"/>
                <w:b/>
                <w:color w:val="008576"/>
                <w:szCs w:val="20"/>
              </w:rPr>
              <w:t xml:space="preserve"> </w:t>
            </w:r>
            <w:hyperlink r:id="rId22" w:history="1">
              <w:r w:rsidR="006E3C00" w:rsidRPr="0065262A">
                <w:rPr>
                  <w:rStyle w:val="Hyperlink"/>
                  <w:rFonts w:eastAsia="Cambria" w:cs="Arial"/>
                  <w:b/>
                  <w:szCs w:val="20"/>
                  <w:u w:color="083AA5"/>
                  <w:lang w:eastAsia="en-US"/>
                </w:rPr>
                <w:t>commercial.enquiries@xoserve.com</w:t>
              </w:r>
            </w:hyperlink>
          </w:p>
        </w:tc>
      </w:tr>
      <w:tr w:rsidR="006E3C00" w:rsidRPr="00CA74C4" w14:paraId="36D7FD45" w14:textId="77777777" w:rsidTr="00F77EAA">
        <w:trPr>
          <w:trHeight w:val="493"/>
        </w:trPr>
        <w:tc>
          <w:tcPr>
            <w:tcW w:w="8017" w:type="dxa"/>
            <w:vMerge/>
            <w:tcBorders>
              <w:left w:val="single" w:sz="4" w:space="0" w:color="4A8958"/>
              <w:bottom w:val="single" w:sz="4" w:space="0" w:color="4A8958"/>
              <w:right w:val="single" w:sz="4" w:space="0" w:color="4A8958"/>
            </w:tcBorders>
            <w:shd w:val="clear" w:color="auto" w:fill="auto"/>
          </w:tcPr>
          <w:p w14:paraId="530EDEFE" w14:textId="77777777" w:rsidR="006E3C00" w:rsidRPr="00CA74C4" w:rsidRDefault="006E3C00" w:rsidP="006E3C00">
            <w:pPr>
              <w:pStyle w:val="BodyText"/>
              <w:rPr>
                <w:rFonts w:cs="Arial"/>
                <w:b/>
                <w:bCs/>
                <w:noProof/>
                <w:color w:val="00B274"/>
                <w:szCs w:val="32"/>
              </w:rPr>
            </w:pPr>
          </w:p>
        </w:tc>
        <w:tc>
          <w:tcPr>
            <w:tcW w:w="2146" w:type="dxa"/>
            <w:tcBorders>
              <w:left w:val="single" w:sz="4" w:space="0" w:color="4A8958"/>
              <w:bottom w:val="single" w:sz="4" w:space="0" w:color="auto"/>
              <w:right w:val="single" w:sz="4" w:space="0" w:color="4A8958"/>
            </w:tcBorders>
          </w:tcPr>
          <w:p w14:paraId="7C8D9953" w14:textId="77777777" w:rsidR="006E3C00" w:rsidRDefault="006E3C00" w:rsidP="006E3C00">
            <w:pPr>
              <w:pStyle w:val="BodyText"/>
              <w:spacing w:before="60" w:after="60" w:line="240" w:lineRule="auto"/>
              <w:rPr>
                <w:rFonts w:cs="Arial"/>
                <w:color w:val="008576"/>
                <w:szCs w:val="20"/>
              </w:rPr>
            </w:pPr>
            <w:r>
              <w:rPr>
                <w:rFonts w:cs="Arial"/>
                <w:color w:val="008576"/>
                <w:szCs w:val="20"/>
              </w:rPr>
              <w:t>Other:</w:t>
            </w:r>
          </w:p>
          <w:p w14:paraId="5F400A4C" w14:textId="77777777" w:rsidR="006E3C00" w:rsidRDefault="006E3C00" w:rsidP="006E3C00">
            <w:pPr>
              <w:spacing w:before="60" w:after="60" w:line="240" w:lineRule="auto"/>
              <w:rPr>
                <w:rFonts w:cs="Arial"/>
                <w:color w:val="008576"/>
                <w:szCs w:val="20"/>
              </w:rPr>
            </w:pPr>
            <w:r w:rsidRPr="00C20AD4">
              <w:rPr>
                <w:rFonts w:cs="Arial"/>
                <w:b/>
                <w:color w:val="008576"/>
                <w:szCs w:val="20"/>
              </w:rPr>
              <w:t>Nick Wye</w:t>
            </w:r>
          </w:p>
        </w:tc>
      </w:tr>
      <w:tr w:rsidR="006E3C00" w:rsidRPr="00CA74C4" w14:paraId="017707F4" w14:textId="77777777" w:rsidTr="00F77EAA">
        <w:trPr>
          <w:trHeight w:val="1020"/>
        </w:trPr>
        <w:tc>
          <w:tcPr>
            <w:tcW w:w="8017" w:type="dxa"/>
            <w:vMerge/>
            <w:tcBorders>
              <w:left w:val="single" w:sz="4" w:space="0" w:color="4A8958"/>
              <w:bottom w:val="single" w:sz="4" w:space="0" w:color="4A8958"/>
              <w:right w:val="single" w:sz="4" w:space="0" w:color="4A8958"/>
            </w:tcBorders>
            <w:shd w:val="clear" w:color="auto" w:fill="auto"/>
          </w:tcPr>
          <w:p w14:paraId="171C1CFB" w14:textId="77777777" w:rsidR="006E3C00" w:rsidRPr="00CA74C4" w:rsidRDefault="006E3C00" w:rsidP="006E3C00">
            <w:pPr>
              <w:pStyle w:val="BodyText"/>
              <w:rPr>
                <w:rFonts w:cs="Arial"/>
                <w:b/>
                <w:bCs/>
                <w:noProof/>
                <w:color w:val="00B274"/>
                <w:szCs w:val="32"/>
              </w:rPr>
            </w:pPr>
          </w:p>
        </w:tc>
        <w:tc>
          <w:tcPr>
            <w:tcW w:w="2146" w:type="dxa"/>
            <w:tcBorders>
              <w:top w:val="single" w:sz="4" w:space="0" w:color="auto"/>
              <w:left w:val="single" w:sz="4" w:space="0" w:color="4A8958"/>
              <w:bottom w:val="single" w:sz="4" w:space="0" w:color="4A8958"/>
              <w:right w:val="single" w:sz="4" w:space="0" w:color="4A8958"/>
            </w:tcBorders>
          </w:tcPr>
          <w:p w14:paraId="2C9085A7" w14:textId="507462C1" w:rsidR="006E3C00" w:rsidRDefault="00B86205" w:rsidP="006E3C00">
            <w:pPr>
              <w:pStyle w:val="BodyText"/>
              <w:spacing w:before="60" w:after="60"/>
              <w:rPr>
                <w:rFonts w:cs="Arial"/>
                <w:b/>
                <w:noProof/>
                <w:color w:val="008576"/>
                <w:szCs w:val="20"/>
              </w:rPr>
            </w:pPr>
            <w:r>
              <w:rPr>
                <w:rFonts w:cs="Arial"/>
                <w:b/>
                <w:noProof/>
                <w:color w:val="008576"/>
                <w:szCs w:val="20"/>
              </w:rPr>
              <w:drawing>
                <wp:inline distT="0" distB="0" distL="0" distR="0" wp14:anchorId="103F130E" wp14:editId="34EBADB9">
                  <wp:extent cx="285750" cy="285750"/>
                  <wp:effectExtent l="0" t="0" r="0" b="0"/>
                  <wp:docPr id="12" name="Picture 12"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email_us_go_on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3F64218C" w14:textId="77777777" w:rsidR="006E3C00" w:rsidRDefault="00584C63" w:rsidP="006E3C00">
            <w:pPr>
              <w:pStyle w:val="BodyText"/>
              <w:spacing w:before="60" w:after="60"/>
              <w:rPr>
                <w:rFonts w:cs="Arial"/>
                <w:b/>
                <w:noProof/>
                <w:color w:val="008576"/>
                <w:szCs w:val="20"/>
              </w:rPr>
            </w:pPr>
            <w:hyperlink r:id="rId23" w:history="1">
              <w:r w:rsidR="00F77EAA" w:rsidRPr="002E1750">
                <w:rPr>
                  <w:rStyle w:val="Hyperlink"/>
                  <w:rFonts w:cs="Arial"/>
                  <w:b/>
                  <w:noProof/>
                  <w:szCs w:val="20"/>
                </w:rPr>
                <w:t>nick@waterswye.co.uk</w:t>
              </w:r>
            </w:hyperlink>
          </w:p>
          <w:p w14:paraId="7F67D571" w14:textId="77777777" w:rsidR="00F77EAA" w:rsidRDefault="00F77EAA" w:rsidP="006E3C00">
            <w:pPr>
              <w:pStyle w:val="BodyText"/>
              <w:spacing w:before="60" w:after="60"/>
              <w:rPr>
                <w:rFonts w:cs="Arial"/>
                <w:b/>
                <w:noProof/>
                <w:color w:val="008576"/>
                <w:szCs w:val="20"/>
              </w:rPr>
            </w:pPr>
          </w:p>
          <w:p w14:paraId="4D744B3B" w14:textId="0A15C292" w:rsidR="00F77EAA" w:rsidRPr="009B429B" w:rsidRDefault="00B86205" w:rsidP="006E3C00">
            <w:pPr>
              <w:pStyle w:val="BodyText"/>
              <w:spacing w:before="60" w:after="60"/>
              <w:rPr>
                <w:rFonts w:cs="Arial"/>
                <w:b/>
                <w:noProof/>
                <w:color w:val="008576"/>
                <w:szCs w:val="20"/>
              </w:rPr>
            </w:pPr>
            <w:r>
              <w:rPr>
                <w:rFonts w:cs="Arial"/>
                <w:b/>
                <w:noProof/>
                <w:color w:val="008576"/>
                <w:szCs w:val="20"/>
              </w:rPr>
              <w:drawing>
                <wp:inline distT="0" distB="0" distL="0" distR="0" wp14:anchorId="5ECAAF4A" wp14:editId="577DA452">
                  <wp:extent cx="285750" cy="285750"/>
                  <wp:effectExtent l="0" t="0" r="0" b="0"/>
                  <wp:docPr id="13" name="Picture 13"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call_u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77EAA">
              <w:rPr>
                <w:rFonts w:cs="Arial"/>
                <w:b/>
                <w:noProof/>
                <w:color w:val="008576"/>
                <w:szCs w:val="20"/>
              </w:rPr>
              <w:t>01789 266 811</w:t>
            </w:r>
          </w:p>
        </w:tc>
      </w:tr>
    </w:tbl>
    <w:p w14:paraId="4E78D63C" w14:textId="77777777" w:rsidR="00435CF2" w:rsidRDefault="00435CF2">
      <w:pPr>
        <w:rPr>
          <w:rFonts w:cs="Arial"/>
        </w:rPr>
      </w:pPr>
    </w:p>
    <w:p w14:paraId="0CBF974A" w14:textId="77777777" w:rsidR="00774996" w:rsidRPr="00CA74C4" w:rsidRDefault="00774996">
      <w:pPr>
        <w:rPr>
          <w:rFonts w:cs="Arial"/>
        </w:rPr>
      </w:pPr>
    </w:p>
    <w:p w14:paraId="2D1BA882" w14:textId="77777777" w:rsidR="00FA4B61" w:rsidRDefault="00FA4B61">
      <w:pPr>
        <w:rPr>
          <w:rFonts w:cs="Arial"/>
        </w:rPr>
      </w:pPr>
    </w:p>
    <w:p w14:paraId="191C46AA" w14:textId="77777777" w:rsidR="0048091F" w:rsidRDefault="0048091F">
      <w:pPr>
        <w:rPr>
          <w:rFonts w:cs="Arial"/>
        </w:rPr>
      </w:pPr>
    </w:p>
    <w:p w14:paraId="6CCFAD83" w14:textId="77777777" w:rsidR="007008A3" w:rsidRPr="00CA74C4" w:rsidRDefault="007008A3">
      <w:pPr>
        <w:rPr>
          <w:rFonts w:cs="Arial"/>
        </w:rPr>
      </w:pPr>
    </w:p>
    <w:p w14:paraId="76407EE9" w14:textId="77777777" w:rsidR="00143041" w:rsidRPr="00CA74C4" w:rsidRDefault="004C6117" w:rsidP="00CF2DDB">
      <w:pPr>
        <w:pStyle w:val="Heading02"/>
      </w:pPr>
      <w:bookmarkStart w:id="0" w:name="_Toc188527263"/>
      <w:bookmarkStart w:id="1" w:name="_Toc318966117"/>
      <w:r w:rsidRPr="00CA74C4">
        <w:lastRenderedPageBreak/>
        <w:t>Summary</w:t>
      </w:r>
      <w:bookmarkEnd w:id="0"/>
      <w:bookmarkEnd w:id="1"/>
    </w:p>
    <w:p w14:paraId="2351A875" w14:textId="77777777" w:rsidR="004C6117" w:rsidRPr="00CB5849" w:rsidRDefault="004C6117" w:rsidP="00CB5849">
      <w:pPr>
        <w:pStyle w:val="Heading4"/>
        <w:keepLines w:val="0"/>
        <w:numPr>
          <w:ilvl w:val="0"/>
          <w:numId w:val="0"/>
        </w:numPr>
        <w:spacing w:before="240"/>
        <w:rPr>
          <w:rFonts w:ascii="Arial" w:eastAsia="Times New Roman" w:hAnsi="Arial" w:cs="Arial"/>
          <w:i w:val="0"/>
          <w:iCs w:val="0"/>
          <w:color w:val="008576"/>
          <w:sz w:val="24"/>
          <w:szCs w:val="28"/>
        </w:rPr>
      </w:pPr>
      <w:r w:rsidRPr="00CB5849">
        <w:rPr>
          <w:rFonts w:ascii="Arial" w:eastAsia="Times New Roman" w:hAnsi="Arial" w:cs="Arial"/>
          <w:i w:val="0"/>
          <w:iCs w:val="0"/>
          <w:color w:val="008576"/>
          <w:sz w:val="24"/>
          <w:szCs w:val="28"/>
        </w:rPr>
        <w:t>What</w:t>
      </w:r>
    </w:p>
    <w:p w14:paraId="0EB85511" w14:textId="77777777" w:rsidR="0048091F" w:rsidRDefault="0048091F" w:rsidP="00C83D64">
      <w:pPr>
        <w:jc w:val="both"/>
        <w:rPr>
          <w:rFonts w:cs="Arial"/>
        </w:rPr>
      </w:pPr>
      <w:r>
        <w:rPr>
          <w:rFonts w:cs="Arial"/>
        </w:rPr>
        <w:t>UNC Modification 0752S</w:t>
      </w:r>
      <w:r w:rsidR="00FD7968">
        <w:rPr>
          <w:rFonts w:cs="Arial"/>
        </w:rPr>
        <w:t xml:space="preserve"> - </w:t>
      </w:r>
      <w:r w:rsidR="00FD7968" w:rsidRPr="00993F3C">
        <w:rPr>
          <w:rFonts w:cs="Arial"/>
          <w:i/>
          <w:iCs/>
        </w:rPr>
        <w:t>Introduction of Weekly Entry Capacity Auction</w:t>
      </w:r>
      <w:r>
        <w:rPr>
          <w:rFonts w:cs="Arial"/>
        </w:rPr>
        <w:t xml:space="preserve"> which proposed the introduction of </w:t>
      </w:r>
      <w:r w:rsidR="00630581">
        <w:rPr>
          <w:rFonts w:cs="Arial"/>
        </w:rPr>
        <w:t>w</w:t>
      </w:r>
      <w:r>
        <w:rPr>
          <w:rFonts w:cs="Arial"/>
        </w:rPr>
        <w:t xml:space="preserve">eekly </w:t>
      </w:r>
      <w:r w:rsidR="00630581">
        <w:rPr>
          <w:rFonts w:cs="Arial"/>
        </w:rPr>
        <w:t>e</w:t>
      </w:r>
      <w:r>
        <w:rPr>
          <w:rFonts w:cs="Arial"/>
        </w:rPr>
        <w:t xml:space="preserve">ntry </w:t>
      </w:r>
      <w:r w:rsidR="00630581">
        <w:rPr>
          <w:rFonts w:cs="Arial"/>
        </w:rPr>
        <w:t>c</w:t>
      </w:r>
      <w:r>
        <w:rPr>
          <w:rFonts w:cs="Arial"/>
        </w:rPr>
        <w:t xml:space="preserve">apacity auctions was approved for implementation by </w:t>
      </w:r>
      <w:r w:rsidR="0004596E">
        <w:rPr>
          <w:rFonts w:cs="Arial"/>
        </w:rPr>
        <w:t>the U</w:t>
      </w:r>
      <w:r w:rsidR="0056684C">
        <w:rPr>
          <w:rFonts w:cs="Arial"/>
        </w:rPr>
        <w:t xml:space="preserve">niform </w:t>
      </w:r>
      <w:r w:rsidR="0004596E">
        <w:rPr>
          <w:rFonts w:cs="Arial"/>
        </w:rPr>
        <w:t>N</w:t>
      </w:r>
      <w:r w:rsidR="0056684C">
        <w:rPr>
          <w:rFonts w:cs="Arial"/>
        </w:rPr>
        <w:t xml:space="preserve">etwork </w:t>
      </w:r>
      <w:r w:rsidR="0004596E">
        <w:rPr>
          <w:rFonts w:cs="Arial"/>
        </w:rPr>
        <w:t>C</w:t>
      </w:r>
      <w:r w:rsidR="0056684C">
        <w:rPr>
          <w:rFonts w:cs="Arial"/>
        </w:rPr>
        <w:t>ode (UNC)</w:t>
      </w:r>
      <w:r w:rsidR="0004596E">
        <w:rPr>
          <w:rFonts w:cs="Arial"/>
        </w:rPr>
        <w:t xml:space="preserve"> Modification Panel </w:t>
      </w:r>
      <w:r>
        <w:rPr>
          <w:rFonts w:cs="Arial"/>
        </w:rPr>
        <w:t xml:space="preserve">on 21 May 2021. </w:t>
      </w:r>
    </w:p>
    <w:p w14:paraId="50A4285E" w14:textId="77777777" w:rsidR="00E949E2" w:rsidRDefault="00E949E2" w:rsidP="0019312D">
      <w:pPr>
        <w:jc w:val="both"/>
        <w:rPr>
          <w:rFonts w:cs="Arial"/>
        </w:rPr>
      </w:pPr>
      <w:r>
        <w:rPr>
          <w:rFonts w:cs="Arial"/>
        </w:rPr>
        <w:t>Under the current arrangements</w:t>
      </w:r>
      <w:r w:rsidR="0048091F">
        <w:rPr>
          <w:rFonts w:cs="Arial"/>
        </w:rPr>
        <w:t xml:space="preserve"> for the booking of N</w:t>
      </w:r>
      <w:r w:rsidR="0056684C">
        <w:rPr>
          <w:rFonts w:cs="Arial"/>
        </w:rPr>
        <w:t xml:space="preserve">ational </w:t>
      </w:r>
      <w:r w:rsidR="0048091F">
        <w:rPr>
          <w:rFonts w:cs="Arial"/>
        </w:rPr>
        <w:t>T</w:t>
      </w:r>
      <w:r w:rsidR="0056684C">
        <w:rPr>
          <w:rFonts w:cs="Arial"/>
        </w:rPr>
        <w:t xml:space="preserve">ransmission </w:t>
      </w:r>
      <w:r w:rsidR="0048091F">
        <w:rPr>
          <w:rFonts w:cs="Arial"/>
        </w:rPr>
        <w:t>S</w:t>
      </w:r>
      <w:r w:rsidR="0056684C">
        <w:rPr>
          <w:rFonts w:cs="Arial"/>
        </w:rPr>
        <w:t>ystem (NTS)</w:t>
      </w:r>
      <w:r w:rsidR="0048091F">
        <w:rPr>
          <w:rFonts w:cs="Arial"/>
        </w:rPr>
        <w:t xml:space="preserve"> Exit </w:t>
      </w:r>
      <w:r w:rsidR="00F813F4">
        <w:rPr>
          <w:rFonts w:cs="Arial"/>
        </w:rPr>
        <w:t xml:space="preserve">(flat) </w:t>
      </w:r>
      <w:r w:rsidR="0048091F">
        <w:rPr>
          <w:rFonts w:cs="Arial"/>
        </w:rPr>
        <w:t>Capacity</w:t>
      </w:r>
      <w:r>
        <w:rPr>
          <w:rFonts w:cs="Arial"/>
        </w:rPr>
        <w:t xml:space="preserve">, </w:t>
      </w:r>
      <w:r w:rsidR="00F813F4">
        <w:rPr>
          <w:rFonts w:cs="Arial"/>
        </w:rPr>
        <w:t>Users are restricted to booking Annual or Daily NT</w:t>
      </w:r>
      <w:r w:rsidR="00C47BE6">
        <w:rPr>
          <w:rFonts w:cs="Arial"/>
        </w:rPr>
        <w:t>S</w:t>
      </w:r>
      <w:r w:rsidR="00F813F4">
        <w:rPr>
          <w:rFonts w:cs="Arial"/>
        </w:rPr>
        <w:t xml:space="preserve"> Exit Firm Capacity. It is proposed to expand the </w:t>
      </w:r>
      <w:r w:rsidR="004D3A5D">
        <w:rPr>
          <w:rFonts w:cs="Arial"/>
        </w:rPr>
        <w:t xml:space="preserve">options available to Users by adding a weekly exit capacity auction to the </w:t>
      </w:r>
      <w:r w:rsidR="002E3FFA">
        <w:rPr>
          <w:rFonts w:cs="Arial"/>
        </w:rPr>
        <w:t>suite of</w:t>
      </w:r>
      <w:r w:rsidR="0019312D">
        <w:rPr>
          <w:rFonts w:cs="Arial"/>
        </w:rPr>
        <w:t xml:space="preserve"> NTS Exit Capacity</w:t>
      </w:r>
      <w:r w:rsidR="002E3FFA">
        <w:rPr>
          <w:rFonts w:cs="Arial"/>
        </w:rPr>
        <w:t xml:space="preserve"> products</w:t>
      </w:r>
      <w:r w:rsidR="0019312D">
        <w:rPr>
          <w:rFonts w:cs="Arial"/>
        </w:rPr>
        <w:t>.</w:t>
      </w:r>
    </w:p>
    <w:p w14:paraId="44AD8B05" w14:textId="77777777" w:rsidR="004C6117" w:rsidRDefault="004C6117" w:rsidP="00C83D64">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Why</w:t>
      </w:r>
    </w:p>
    <w:p w14:paraId="50BB15BC" w14:textId="77777777" w:rsidR="002E3FFA" w:rsidRDefault="00CE4AF3" w:rsidP="00C71EB7">
      <w:pPr>
        <w:jc w:val="both"/>
        <w:rPr>
          <w:rFonts w:cs="Arial"/>
        </w:rPr>
      </w:pPr>
      <w:r>
        <w:t xml:space="preserve">With the exception of NTS Exit Points connected to the Distribution Networks, Users shipping gas to Direct Connects have reduced annual </w:t>
      </w:r>
      <w:r w:rsidR="00783662">
        <w:t xml:space="preserve">NTS Exit Capacity holdings, choosing to </w:t>
      </w:r>
      <w:r w:rsidR="00730718">
        <w:t>optimise</w:t>
      </w:r>
      <w:r w:rsidR="00783662">
        <w:t xml:space="preserve"> </w:t>
      </w:r>
      <w:r w:rsidR="00730718">
        <w:t xml:space="preserve">the capacity </w:t>
      </w:r>
      <w:r w:rsidR="00783662">
        <w:t xml:space="preserve">costs by acquiring daily products (both </w:t>
      </w:r>
      <w:r w:rsidR="00212CAB">
        <w:t>F</w:t>
      </w:r>
      <w:r w:rsidR="00783662">
        <w:t xml:space="preserve">irm and Off-Peak). Following the implementation of UNC Modification 0678A - </w:t>
      </w:r>
      <w:r w:rsidR="00783662" w:rsidRPr="00993F3C">
        <w:rPr>
          <w:rFonts w:cs="Arial"/>
          <w:i/>
          <w:iCs/>
        </w:rPr>
        <w:t>Amendments to Gas Transmission Charging Regime (Postage Stamp)</w:t>
      </w:r>
      <w:r w:rsidR="00783662">
        <w:rPr>
          <w:rFonts w:cs="Arial"/>
        </w:rPr>
        <w:t>, even greater focus has been given to booking strategies as in a number of locations auction Reserve Prices have increased significantly.</w:t>
      </w:r>
    </w:p>
    <w:p w14:paraId="343D9BBF" w14:textId="77777777" w:rsidR="00783662" w:rsidRDefault="00730718" w:rsidP="00C71EB7">
      <w:pPr>
        <w:jc w:val="both"/>
        <w:rPr>
          <w:rFonts w:cs="Arial"/>
        </w:rPr>
      </w:pPr>
      <w:r>
        <w:rPr>
          <w:rFonts w:cs="Arial"/>
        </w:rPr>
        <w:t>At present</w:t>
      </w:r>
      <w:r w:rsidR="00C47BE6">
        <w:rPr>
          <w:rFonts w:cs="Arial"/>
        </w:rPr>
        <w:t>,</w:t>
      </w:r>
      <w:r>
        <w:rPr>
          <w:rFonts w:cs="Arial"/>
        </w:rPr>
        <w:t xml:space="preserve"> </w:t>
      </w:r>
      <w:r w:rsidR="00C47BE6">
        <w:rPr>
          <w:rFonts w:cs="Arial"/>
        </w:rPr>
        <w:t>NTS E</w:t>
      </w:r>
      <w:r>
        <w:rPr>
          <w:rFonts w:cs="Arial"/>
        </w:rPr>
        <w:t xml:space="preserve">xit </w:t>
      </w:r>
      <w:r w:rsidR="00C47BE6">
        <w:rPr>
          <w:rFonts w:cs="Arial"/>
        </w:rPr>
        <w:t xml:space="preserve">Capacity </w:t>
      </w:r>
      <w:r>
        <w:rPr>
          <w:rFonts w:cs="Arial"/>
        </w:rPr>
        <w:t xml:space="preserve">can only be bought on an enduring, </w:t>
      </w:r>
      <w:r w:rsidR="00C71EB7">
        <w:rPr>
          <w:rFonts w:cs="Arial"/>
        </w:rPr>
        <w:t>annual,</w:t>
      </w:r>
      <w:r>
        <w:rPr>
          <w:rFonts w:cs="Arial"/>
        </w:rPr>
        <w:t xml:space="preserve"> or daily basis. However</w:t>
      </w:r>
      <w:r w:rsidR="00C47BE6">
        <w:rPr>
          <w:rFonts w:cs="Arial"/>
        </w:rPr>
        <w:t>, U</w:t>
      </w:r>
      <w:r w:rsidR="00B826AC">
        <w:rPr>
          <w:rFonts w:cs="Arial"/>
        </w:rPr>
        <w:t xml:space="preserve">sers may wish </w:t>
      </w:r>
      <w:r>
        <w:rPr>
          <w:rFonts w:cs="Arial"/>
        </w:rPr>
        <w:t>to book a week of firm capacity rather than</w:t>
      </w:r>
      <w:r w:rsidR="00B826AC">
        <w:rPr>
          <w:rFonts w:cs="Arial"/>
        </w:rPr>
        <w:t xml:space="preserve"> rely on Daily System Exit Capacity</w:t>
      </w:r>
      <w:r w:rsidR="00C47BE6">
        <w:rPr>
          <w:rFonts w:cs="Arial"/>
        </w:rPr>
        <w:t xml:space="preserve"> </w:t>
      </w:r>
      <w:r>
        <w:rPr>
          <w:rFonts w:cs="Arial"/>
        </w:rPr>
        <w:t xml:space="preserve">(i.e. </w:t>
      </w:r>
      <w:r w:rsidR="00B826AC">
        <w:rPr>
          <w:rFonts w:cs="Arial"/>
        </w:rPr>
        <w:t>preferring to “lock in” a volume of capacity for an extended period</w:t>
      </w:r>
      <w:r>
        <w:rPr>
          <w:rFonts w:cs="Arial"/>
        </w:rPr>
        <w:t>)</w:t>
      </w:r>
      <w:r w:rsidR="00B826AC">
        <w:rPr>
          <w:rFonts w:cs="Arial"/>
        </w:rPr>
        <w:t>, for the following reasons:</w:t>
      </w:r>
    </w:p>
    <w:p w14:paraId="3A8CCF0B" w14:textId="77777777" w:rsidR="00B826AC" w:rsidRPr="00FE6A79" w:rsidRDefault="00A6790E" w:rsidP="00C71EB7">
      <w:pPr>
        <w:numPr>
          <w:ilvl w:val="0"/>
          <w:numId w:val="46"/>
        </w:numPr>
        <w:jc w:val="both"/>
      </w:pPr>
      <w:r>
        <w:rPr>
          <w:rFonts w:cs="Arial"/>
        </w:rPr>
        <w:t xml:space="preserve">Mitigate </w:t>
      </w:r>
      <w:r w:rsidR="00630581">
        <w:rPr>
          <w:rFonts w:cs="Arial"/>
        </w:rPr>
        <w:t xml:space="preserve">against </w:t>
      </w:r>
      <w:r>
        <w:rPr>
          <w:rFonts w:cs="Arial"/>
        </w:rPr>
        <w:t>risk</w:t>
      </w:r>
      <w:r w:rsidR="00630581">
        <w:rPr>
          <w:rFonts w:cs="Arial"/>
        </w:rPr>
        <w:t>s</w:t>
      </w:r>
      <w:r>
        <w:rPr>
          <w:rFonts w:cs="Arial"/>
        </w:rPr>
        <w:t xml:space="preserve"> that </w:t>
      </w:r>
      <w:r w:rsidR="00B826AC">
        <w:rPr>
          <w:rFonts w:cs="Arial"/>
        </w:rPr>
        <w:t xml:space="preserve">Daily NTS Exit (Flat) Capacity </w:t>
      </w:r>
      <w:r>
        <w:rPr>
          <w:rFonts w:cs="Arial"/>
        </w:rPr>
        <w:t>is</w:t>
      </w:r>
      <w:r w:rsidR="00B826AC">
        <w:rPr>
          <w:rFonts w:cs="Arial"/>
        </w:rPr>
        <w:t xml:space="preserve"> </w:t>
      </w:r>
      <w:r>
        <w:rPr>
          <w:rFonts w:cs="Arial"/>
        </w:rPr>
        <w:t xml:space="preserve">withheld </w:t>
      </w:r>
      <w:r w:rsidR="00B826AC">
        <w:rPr>
          <w:rFonts w:cs="Arial"/>
        </w:rPr>
        <w:t xml:space="preserve">by National Grid </w:t>
      </w:r>
      <w:r w:rsidR="00FE6A79">
        <w:rPr>
          <w:rFonts w:cs="Arial"/>
        </w:rPr>
        <w:t>because of a perceived or actual constraint</w:t>
      </w:r>
      <w:r>
        <w:rPr>
          <w:rFonts w:cs="Arial"/>
        </w:rPr>
        <w:t xml:space="preserve"> (whilst also increasing visibility for the System Operator)</w:t>
      </w:r>
      <w:r w:rsidR="00FE6A79">
        <w:rPr>
          <w:rFonts w:cs="Arial"/>
        </w:rPr>
        <w:t>; or</w:t>
      </w:r>
    </w:p>
    <w:p w14:paraId="46EFBEF9" w14:textId="77777777" w:rsidR="00FE6A79" w:rsidRPr="00FE6A79" w:rsidRDefault="00FE6A79" w:rsidP="00C71EB7">
      <w:pPr>
        <w:numPr>
          <w:ilvl w:val="0"/>
          <w:numId w:val="46"/>
        </w:numPr>
        <w:jc w:val="both"/>
      </w:pPr>
      <w:r>
        <w:rPr>
          <w:rFonts w:cs="Arial"/>
        </w:rPr>
        <w:t>want to purchase capacity ahead of the Gas Day for planning purposes; or</w:t>
      </w:r>
    </w:p>
    <w:p w14:paraId="767E3876" w14:textId="77777777" w:rsidR="00FE6A79" w:rsidRPr="00FE6A79" w:rsidRDefault="00FE6A79" w:rsidP="00C71EB7">
      <w:pPr>
        <w:numPr>
          <w:ilvl w:val="0"/>
          <w:numId w:val="46"/>
        </w:numPr>
        <w:jc w:val="both"/>
      </w:pPr>
      <w:r>
        <w:rPr>
          <w:rFonts w:cs="Arial"/>
        </w:rPr>
        <w:t>reduce administrative costs and potential booking errors when managing daily booking processes</w:t>
      </w:r>
    </w:p>
    <w:p w14:paraId="6348F72F" w14:textId="77777777" w:rsidR="00FE6A79" w:rsidRPr="0019312D" w:rsidRDefault="008B2781" w:rsidP="00C71EB7">
      <w:pPr>
        <w:jc w:val="both"/>
      </w:pPr>
      <w:r>
        <w:t>The introduction of a weekly auction product is likely to be an attractive proposition for Users and customers. A longer duration, such as a month, is unlikely to coincide with operational plans and management of costs.</w:t>
      </w:r>
    </w:p>
    <w:p w14:paraId="013FAAB5" w14:textId="77777777" w:rsidR="004C6117" w:rsidRPr="00CA74C4" w:rsidRDefault="004C6117" w:rsidP="00C71EB7">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How</w:t>
      </w:r>
    </w:p>
    <w:p w14:paraId="02849310" w14:textId="77777777" w:rsidR="0094005C" w:rsidRDefault="00E949E2" w:rsidP="00C71EB7">
      <w:pPr>
        <w:jc w:val="both"/>
        <w:rPr>
          <w:rFonts w:cs="Arial"/>
        </w:rPr>
      </w:pPr>
      <w:r>
        <w:rPr>
          <w:rFonts w:cs="Arial"/>
        </w:rPr>
        <w:t>This Modification seeks to implement a Weekly NTS E</w:t>
      </w:r>
      <w:r w:rsidR="008B2781">
        <w:rPr>
          <w:rFonts w:cs="Arial"/>
        </w:rPr>
        <w:t>xit</w:t>
      </w:r>
      <w:r>
        <w:rPr>
          <w:rFonts w:cs="Arial"/>
        </w:rPr>
        <w:t xml:space="preserve"> Capacity auction which allows </w:t>
      </w:r>
      <w:r w:rsidR="00630581">
        <w:rPr>
          <w:rFonts w:cs="Arial"/>
        </w:rPr>
        <w:t>Users</w:t>
      </w:r>
      <w:r>
        <w:rPr>
          <w:rFonts w:cs="Arial"/>
        </w:rPr>
        <w:t xml:space="preserve"> an additional opportunity to book capacity </w:t>
      </w:r>
      <w:r w:rsidR="005835F0">
        <w:rPr>
          <w:rFonts w:cs="Arial"/>
        </w:rPr>
        <w:t xml:space="preserve">more </w:t>
      </w:r>
      <w:r>
        <w:rPr>
          <w:rFonts w:cs="Arial"/>
        </w:rPr>
        <w:t xml:space="preserve">efficiently, outside of the current </w:t>
      </w:r>
      <w:r w:rsidR="008B2781">
        <w:rPr>
          <w:rFonts w:cs="Arial"/>
        </w:rPr>
        <w:t>Annual</w:t>
      </w:r>
      <w:r>
        <w:rPr>
          <w:rFonts w:cs="Arial"/>
        </w:rPr>
        <w:t xml:space="preserve">, Daily and Daily </w:t>
      </w:r>
      <w:r w:rsidR="008B2781">
        <w:rPr>
          <w:rFonts w:cs="Arial"/>
        </w:rPr>
        <w:t>Off-Peak</w:t>
      </w:r>
      <w:r>
        <w:rPr>
          <w:rFonts w:cs="Arial"/>
        </w:rPr>
        <w:t xml:space="preserve"> products. </w:t>
      </w:r>
    </w:p>
    <w:p w14:paraId="330A6DDC" w14:textId="77777777" w:rsidR="004C6117" w:rsidRPr="00CA74C4" w:rsidRDefault="0094005C" w:rsidP="00C71EB7">
      <w:pPr>
        <w:jc w:val="both"/>
        <w:rPr>
          <w:rFonts w:cs="Arial"/>
        </w:rPr>
      </w:pPr>
      <w:r>
        <w:rPr>
          <w:rFonts w:cs="Arial"/>
        </w:rPr>
        <w:t xml:space="preserve">This </w:t>
      </w:r>
      <w:r w:rsidR="003048A5">
        <w:rPr>
          <w:rFonts w:cs="Arial"/>
        </w:rPr>
        <w:t xml:space="preserve">proposed </w:t>
      </w:r>
      <w:r>
        <w:rPr>
          <w:rFonts w:cs="Arial"/>
        </w:rPr>
        <w:t>Weekly NTS E</w:t>
      </w:r>
      <w:r w:rsidR="00733372">
        <w:rPr>
          <w:rFonts w:cs="Arial"/>
        </w:rPr>
        <w:t>xit</w:t>
      </w:r>
      <w:r>
        <w:rPr>
          <w:rFonts w:cs="Arial"/>
        </w:rPr>
        <w:t xml:space="preserve"> Capacity auction will run independently of the current NTS E</w:t>
      </w:r>
      <w:r w:rsidR="008B2781">
        <w:rPr>
          <w:rFonts w:cs="Arial"/>
        </w:rPr>
        <w:t>xit</w:t>
      </w:r>
      <w:r>
        <w:rPr>
          <w:rFonts w:cs="Arial"/>
        </w:rPr>
        <w:t xml:space="preserve"> Capacity auctions and is not intended to have any adverse impacts on the current auctions. </w:t>
      </w:r>
    </w:p>
    <w:p w14:paraId="322553DE" w14:textId="77777777" w:rsidR="00E6212D" w:rsidRPr="00CA74C4" w:rsidRDefault="00E6212D" w:rsidP="00CF2DDB">
      <w:pPr>
        <w:pStyle w:val="Heading02"/>
      </w:pPr>
      <w:bookmarkStart w:id="2" w:name="_Toc318966118"/>
      <w:r w:rsidRPr="00CA74C4">
        <w:t>Governance</w:t>
      </w:r>
      <w:bookmarkEnd w:id="2"/>
    </w:p>
    <w:p w14:paraId="5D0F4D04" w14:textId="77777777" w:rsidR="00B37860" w:rsidRPr="00CA74C4" w:rsidRDefault="00B37860" w:rsidP="003C2E56">
      <w:pPr>
        <w:pStyle w:val="Heading4"/>
        <w:keepLines w:val="0"/>
        <w:numPr>
          <w:ilvl w:val="0"/>
          <w:numId w:val="0"/>
        </w:numPr>
        <w:spacing w:before="240"/>
        <w:ind w:left="90" w:hanging="9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 xml:space="preserve">Justification for </w:t>
      </w:r>
      <w:r w:rsidR="007F5304">
        <w:rPr>
          <w:rFonts w:ascii="Arial" w:eastAsia="Times New Roman" w:hAnsi="Arial" w:cs="Arial"/>
          <w:i w:val="0"/>
          <w:iCs w:val="0"/>
          <w:color w:val="008576"/>
          <w:sz w:val="24"/>
          <w:szCs w:val="28"/>
        </w:rPr>
        <w:t>S</w:t>
      </w:r>
      <w:r w:rsidR="003C2E56" w:rsidRPr="00CA74C4">
        <w:rPr>
          <w:rFonts w:ascii="Arial" w:eastAsia="Times New Roman" w:hAnsi="Arial" w:cs="Arial"/>
          <w:i w:val="0"/>
          <w:iCs w:val="0"/>
          <w:color w:val="008576"/>
          <w:sz w:val="24"/>
          <w:szCs w:val="28"/>
        </w:rPr>
        <w:t>elf-Governance</w:t>
      </w:r>
    </w:p>
    <w:p w14:paraId="2F0A8116" w14:textId="77777777" w:rsidR="00C34DCE" w:rsidRDefault="00C34DCE" w:rsidP="00C83D64">
      <w:pPr>
        <w:jc w:val="both"/>
      </w:pPr>
      <w:r>
        <w:t xml:space="preserve">Application of Self-Governance is sought because the changes proposed are unlikely to have an adverse effect on </w:t>
      </w:r>
      <w:r w:rsidRPr="00C34DCE">
        <w:t>competition in the shipping, transportation or supply of gas conveyed through pipes or any commercial activities connected with the shipping, transportation or supply of gas conveyed through pipes</w:t>
      </w:r>
      <w:r>
        <w:t>.</w:t>
      </w:r>
      <w:r w:rsidRPr="00C34DCE">
        <w:t xml:space="preserve"> </w:t>
      </w:r>
    </w:p>
    <w:p w14:paraId="4106F711" w14:textId="77777777" w:rsidR="003C2E56" w:rsidRDefault="007F5304" w:rsidP="00C83D64">
      <w:pPr>
        <w:jc w:val="both"/>
      </w:pPr>
      <w:r>
        <w:t>The</w:t>
      </w:r>
      <w:r w:rsidR="00347E25">
        <w:t xml:space="preserve"> Modification</w:t>
      </w:r>
      <w:r w:rsidR="003048A5">
        <w:t xml:space="preserve"> </w:t>
      </w:r>
      <w:r w:rsidR="00C34DCE">
        <w:t xml:space="preserve">is unlikely </w:t>
      </w:r>
      <w:r>
        <w:t xml:space="preserve">to discriminate between different classes of parties to the </w:t>
      </w:r>
      <w:r w:rsidR="003048A5">
        <w:t>UNC</w:t>
      </w:r>
      <w:r w:rsidR="00C34DCE">
        <w:t xml:space="preserve"> or Gas Shippers due to the changes having the same impact on UNC parties as per the current rules </w:t>
      </w:r>
      <w:r w:rsidR="00B0247A">
        <w:t xml:space="preserve">for </w:t>
      </w:r>
      <w:r w:rsidR="00C34DCE">
        <w:t>NTS E</w:t>
      </w:r>
      <w:r w:rsidR="001167CD">
        <w:t>xit</w:t>
      </w:r>
      <w:r w:rsidR="00C34DCE">
        <w:t xml:space="preserve"> Capacity Auctions. </w:t>
      </w:r>
    </w:p>
    <w:p w14:paraId="43412B5B" w14:textId="77777777" w:rsidR="00733372" w:rsidRDefault="00733372" w:rsidP="00C83D64">
      <w:pPr>
        <w:jc w:val="both"/>
      </w:pPr>
    </w:p>
    <w:p w14:paraId="36291647" w14:textId="77777777" w:rsidR="00B37860" w:rsidRPr="00CA74C4" w:rsidRDefault="00B37860" w:rsidP="00B37860">
      <w:pPr>
        <w:pStyle w:val="Heading4"/>
        <w:keepLines w:val="0"/>
        <w:numPr>
          <w:ilvl w:val="0"/>
          <w:numId w:val="0"/>
        </w:numPr>
        <w:spacing w:before="240"/>
        <w:rPr>
          <w:rFonts w:ascii="Arial" w:eastAsia="Times New Roman" w:hAnsi="Arial" w:cs="Arial"/>
          <w:b w:val="0"/>
          <w:iCs w:val="0"/>
          <w:color w:val="FF0000"/>
          <w:szCs w:val="20"/>
        </w:rPr>
      </w:pPr>
      <w:r w:rsidRPr="00CA74C4">
        <w:rPr>
          <w:rFonts w:ascii="Arial" w:eastAsia="Times New Roman" w:hAnsi="Arial" w:cs="Arial"/>
          <w:i w:val="0"/>
          <w:iCs w:val="0"/>
          <w:color w:val="008576"/>
          <w:sz w:val="24"/>
        </w:rPr>
        <w:lastRenderedPageBreak/>
        <w:t>Requested Next Steps</w:t>
      </w:r>
    </w:p>
    <w:p w14:paraId="614881ED" w14:textId="77777777" w:rsidR="007008A3" w:rsidRDefault="005054CF" w:rsidP="007008A3">
      <w:pPr>
        <w:pStyle w:val="BodyText3"/>
        <w:ind w:right="113"/>
        <w:rPr>
          <w:rFonts w:cs="Arial"/>
          <w:sz w:val="20"/>
          <w:szCs w:val="20"/>
        </w:rPr>
      </w:pPr>
      <w:bookmarkStart w:id="3" w:name="_Toc318966119"/>
      <w:r w:rsidRPr="00F20FAB">
        <w:rPr>
          <w:sz w:val="20"/>
          <w:szCs w:val="20"/>
        </w:rPr>
        <w:t xml:space="preserve">This </w:t>
      </w:r>
      <w:r w:rsidR="00347E25">
        <w:rPr>
          <w:sz w:val="20"/>
          <w:szCs w:val="20"/>
        </w:rPr>
        <w:t>M</w:t>
      </w:r>
      <w:r w:rsidRPr="00F20FAB">
        <w:rPr>
          <w:sz w:val="20"/>
          <w:szCs w:val="20"/>
        </w:rPr>
        <w:t>odi</w:t>
      </w:r>
      <w:r>
        <w:rPr>
          <w:sz w:val="20"/>
          <w:szCs w:val="20"/>
        </w:rPr>
        <w:t>fication should</w:t>
      </w:r>
      <w:r w:rsidRPr="00F20FAB">
        <w:rPr>
          <w:sz w:val="20"/>
          <w:szCs w:val="20"/>
        </w:rPr>
        <w:t>:</w:t>
      </w:r>
      <w:r w:rsidRPr="00F20FAB">
        <w:rPr>
          <w:rFonts w:cs="Arial"/>
          <w:sz w:val="20"/>
          <w:szCs w:val="20"/>
        </w:rPr>
        <w:t xml:space="preserve"> </w:t>
      </w:r>
    </w:p>
    <w:p w14:paraId="35AD3CA9" w14:textId="77777777" w:rsidR="005054CF" w:rsidRDefault="005054CF" w:rsidP="007008A3">
      <w:pPr>
        <w:pStyle w:val="BodyText3"/>
        <w:numPr>
          <w:ilvl w:val="0"/>
          <w:numId w:val="45"/>
        </w:numPr>
        <w:ind w:right="113"/>
        <w:rPr>
          <w:rFonts w:cs="Arial"/>
          <w:sz w:val="20"/>
          <w:szCs w:val="20"/>
        </w:rPr>
      </w:pPr>
      <w:r>
        <w:rPr>
          <w:rFonts w:cs="Arial"/>
          <w:sz w:val="20"/>
          <w:szCs w:val="20"/>
        </w:rPr>
        <w:t xml:space="preserve">be </w:t>
      </w:r>
      <w:r w:rsidRPr="00A101DF">
        <w:rPr>
          <w:rFonts w:cs="Arial"/>
          <w:sz w:val="20"/>
          <w:szCs w:val="20"/>
        </w:rPr>
        <w:t xml:space="preserve">considered a </w:t>
      </w:r>
      <w:r>
        <w:rPr>
          <w:rFonts w:cs="Arial"/>
          <w:sz w:val="20"/>
          <w:szCs w:val="20"/>
        </w:rPr>
        <w:t>non-</w:t>
      </w:r>
      <w:r w:rsidRPr="00A101DF">
        <w:rPr>
          <w:rFonts w:cs="Arial"/>
          <w:sz w:val="20"/>
          <w:szCs w:val="20"/>
        </w:rPr>
        <w:t xml:space="preserve">material change and subject to </w:t>
      </w:r>
      <w:r w:rsidR="001028CE">
        <w:rPr>
          <w:rFonts w:cs="Arial"/>
          <w:sz w:val="20"/>
          <w:szCs w:val="20"/>
        </w:rPr>
        <w:t>S</w:t>
      </w:r>
      <w:r w:rsidR="00305810" w:rsidRPr="00A101DF">
        <w:rPr>
          <w:rFonts w:cs="Arial"/>
          <w:sz w:val="20"/>
          <w:szCs w:val="20"/>
        </w:rPr>
        <w:t>elf-</w:t>
      </w:r>
      <w:r w:rsidR="001028CE">
        <w:rPr>
          <w:rFonts w:cs="Arial"/>
          <w:sz w:val="20"/>
          <w:szCs w:val="20"/>
        </w:rPr>
        <w:t>G</w:t>
      </w:r>
      <w:r w:rsidR="00305810" w:rsidRPr="00A101DF">
        <w:rPr>
          <w:rFonts w:cs="Arial"/>
          <w:sz w:val="20"/>
          <w:szCs w:val="20"/>
        </w:rPr>
        <w:t>overnance.</w:t>
      </w:r>
      <w:r>
        <w:rPr>
          <w:rFonts w:cs="Arial"/>
          <w:sz w:val="20"/>
          <w:szCs w:val="20"/>
        </w:rPr>
        <w:t xml:space="preserve"> </w:t>
      </w:r>
    </w:p>
    <w:p w14:paraId="51FCF7E2" w14:textId="77777777" w:rsidR="005054CF" w:rsidRPr="00F20FAB" w:rsidRDefault="005054CF" w:rsidP="005054CF">
      <w:pPr>
        <w:pStyle w:val="BodyText3"/>
        <w:numPr>
          <w:ilvl w:val="0"/>
          <w:numId w:val="15"/>
        </w:numPr>
        <w:ind w:left="716" w:right="113" w:hanging="427"/>
        <w:rPr>
          <w:rFonts w:cs="Arial"/>
          <w:sz w:val="20"/>
          <w:szCs w:val="20"/>
        </w:rPr>
      </w:pPr>
      <w:r>
        <w:rPr>
          <w:rFonts w:cs="Arial"/>
          <w:sz w:val="20"/>
          <w:szCs w:val="20"/>
        </w:rPr>
        <w:t xml:space="preserve">be </w:t>
      </w:r>
      <w:r w:rsidRPr="00F20FAB">
        <w:rPr>
          <w:rFonts w:cs="Arial"/>
          <w:sz w:val="20"/>
          <w:szCs w:val="20"/>
        </w:rPr>
        <w:t xml:space="preserve">assessed by a </w:t>
      </w:r>
      <w:r w:rsidR="00305810" w:rsidRPr="00F20FAB">
        <w:rPr>
          <w:rFonts w:cs="Arial"/>
          <w:sz w:val="20"/>
          <w:szCs w:val="20"/>
        </w:rPr>
        <w:t>Workgroup.</w:t>
      </w:r>
    </w:p>
    <w:p w14:paraId="70BE86CB" w14:textId="77777777" w:rsidR="004C6117" w:rsidRPr="00CA74C4" w:rsidRDefault="004C6117" w:rsidP="00CF2DDB">
      <w:pPr>
        <w:pStyle w:val="Heading02"/>
      </w:pPr>
      <w:r w:rsidRPr="00CA74C4">
        <w:t>Why Change?</w:t>
      </w:r>
      <w:bookmarkEnd w:id="3"/>
    </w:p>
    <w:p w14:paraId="584616F3" w14:textId="77777777" w:rsidR="00432932" w:rsidRPr="00CA74C4" w:rsidRDefault="003336FA" w:rsidP="00432932">
      <w:pPr>
        <w:pStyle w:val="Heading4"/>
        <w:keepLines w:val="0"/>
        <w:numPr>
          <w:ilvl w:val="0"/>
          <w:numId w:val="0"/>
        </w:numPr>
        <w:spacing w:before="12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Introduction</w:t>
      </w:r>
    </w:p>
    <w:p w14:paraId="13EB5633" w14:textId="77777777" w:rsidR="009E7FAD" w:rsidRDefault="008A79FE" w:rsidP="00C83D64">
      <w:pPr>
        <w:jc w:val="both"/>
        <w:rPr>
          <w:rFonts w:cs="Arial"/>
        </w:rPr>
      </w:pPr>
      <w:r>
        <w:rPr>
          <w:rFonts w:cs="Arial"/>
        </w:rPr>
        <w:t>NTS E</w:t>
      </w:r>
      <w:r w:rsidR="001167CD">
        <w:rPr>
          <w:rFonts w:cs="Arial"/>
        </w:rPr>
        <w:t>xit</w:t>
      </w:r>
      <w:r>
        <w:rPr>
          <w:rFonts w:cs="Arial"/>
        </w:rPr>
        <w:t xml:space="preserve"> </w:t>
      </w:r>
      <w:r w:rsidR="005A5B37">
        <w:rPr>
          <w:rFonts w:cs="Arial"/>
        </w:rPr>
        <w:t xml:space="preserve">(Flat) </w:t>
      </w:r>
      <w:r>
        <w:rPr>
          <w:rFonts w:cs="Arial"/>
        </w:rPr>
        <w:t xml:space="preserve">Capacity is </w:t>
      </w:r>
      <w:r w:rsidR="00A36E4F">
        <w:rPr>
          <w:rFonts w:cs="Arial"/>
        </w:rPr>
        <w:t>required to be purchased</w:t>
      </w:r>
      <w:r w:rsidR="009E7FAD">
        <w:rPr>
          <w:rStyle w:val="FootnoteReference"/>
          <w:rFonts w:cs="Arial"/>
        </w:rPr>
        <w:footnoteReference w:id="2"/>
      </w:r>
      <w:r w:rsidR="00A36E4F">
        <w:rPr>
          <w:rFonts w:cs="Arial"/>
        </w:rPr>
        <w:t xml:space="preserve"> to allow a </w:t>
      </w:r>
      <w:r w:rsidR="00630581">
        <w:rPr>
          <w:rFonts w:cs="Arial"/>
        </w:rPr>
        <w:t>User</w:t>
      </w:r>
      <w:r w:rsidR="00A36E4F">
        <w:rPr>
          <w:rFonts w:cs="Arial"/>
        </w:rPr>
        <w:t xml:space="preserve"> to </w:t>
      </w:r>
      <w:r w:rsidR="001167CD">
        <w:rPr>
          <w:rFonts w:cs="Arial"/>
        </w:rPr>
        <w:t>offtake gas from</w:t>
      </w:r>
      <w:r w:rsidR="00A36E4F">
        <w:rPr>
          <w:rFonts w:cs="Arial"/>
        </w:rPr>
        <w:t xml:space="preserve"> the NTS and is </w:t>
      </w:r>
      <w:r>
        <w:rPr>
          <w:rFonts w:cs="Arial"/>
        </w:rPr>
        <w:t xml:space="preserve">made available </w:t>
      </w:r>
      <w:r w:rsidR="006A624C">
        <w:rPr>
          <w:rFonts w:cs="Arial"/>
        </w:rPr>
        <w:t>through</w:t>
      </w:r>
      <w:r>
        <w:rPr>
          <w:rFonts w:cs="Arial"/>
        </w:rPr>
        <w:t xml:space="preserve"> </w:t>
      </w:r>
      <w:r w:rsidR="00A36E4F">
        <w:rPr>
          <w:rFonts w:cs="Arial"/>
        </w:rPr>
        <w:t>various</w:t>
      </w:r>
      <w:r>
        <w:rPr>
          <w:rFonts w:cs="Arial"/>
        </w:rPr>
        <w:t xml:space="preserve"> </w:t>
      </w:r>
      <w:r w:rsidR="008F55C3">
        <w:rPr>
          <w:rFonts w:cs="Arial"/>
        </w:rPr>
        <w:t>NTS E</w:t>
      </w:r>
      <w:r w:rsidR="001167CD">
        <w:rPr>
          <w:rFonts w:cs="Arial"/>
        </w:rPr>
        <w:t>xit</w:t>
      </w:r>
      <w:r w:rsidR="008F55C3">
        <w:rPr>
          <w:rFonts w:cs="Arial"/>
        </w:rPr>
        <w:t xml:space="preserve"> Capacity </w:t>
      </w:r>
      <w:r w:rsidR="00EE35E4">
        <w:rPr>
          <w:rFonts w:cs="Arial"/>
        </w:rPr>
        <w:t xml:space="preserve">Application Windows and </w:t>
      </w:r>
      <w:r w:rsidR="00A36E4F">
        <w:rPr>
          <w:rFonts w:cs="Arial"/>
        </w:rPr>
        <w:t>a</w:t>
      </w:r>
      <w:r w:rsidR="008F55C3">
        <w:rPr>
          <w:rFonts w:cs="Arial"/>
        </w:rPr>
        <w:t>uctions</w:t>
      </w:r>
      <w:r w:rsidR="00A36E4F">
        <w:rPr>
          <w:rFonts w:cs="Arial"/>
        </w:rPr>
        <w:t>,</w:t>
      </w:r>
      <w:r w:rsidR="008F55C3">
        <w:rPr>
          <w:rFonts w:cs="Arial"/>
        </w:rPr>
        <w:t xml:space="preserve"> </w:t>
      </w:r>
      <w:r w:rsidR="00A36E4F">
        <w:rPr>
          <w:rFonts w:cs="Arial"/>
        </w:rPr>
        <w:t xml:space="preserve">which are prescribed </w:t>
      </w:r>
      <w:r w:rsidR="008F55C3">
        <w:rPr>
          <w:rFonts w:cs="Arial"/>
        </w:rPr>
        <w:t xml:space="preserve">within UNC TPD Section </w:t>
      </w:r>
      <w:r w:rsidR="005543AE" w:rsidRPr="00FC02D9">
        <w:rPr>
          <w:rFonts w:cs="Arial"/>
        </w:rPr>
        <w:t>B</w:t>
      </w:r>
      <w:r w:rsidR="005A5B37">
        <w:rPr>
          <w:rFonts w:cs="Arial"/>
        </w:rPr>
        <w:t>3</w:t>
      </w:r>
      <w:r w:rsidR="008F55C3">
        <w:rPr>
          <w:rFonts w:cs="Arial"/>
        </w:rPr>
        <w:t xml:space="preserve"> </w:t>
      </w:r>
      <w:r>
        <w:rPr>
          <w:rFonts w:cs="Arial"/>
        </w:rPr>
        <w:t>(</w:t>
      </w:r>
      <w:r w:rsidR="008F55C3">
        <w:rPr>
          <w:rFonts w:cs="Arial"/>
        </w:rPr>
        <w:t>summarised within Table 1</w:t>
      </w:r>
      <w:r>
        <w:rPr>
          <w:rFonts w:cs="Arial"/>
        </w:rPr>
        <w:t>)</w:t>
      </w:r>
      <w:r w:rsidR="008F55C3">
        <w:rPr>
          <w:rFonts w:cs="Arial"/>
        </w:rPr>
        <w:t>.</w:t>
      </w:r>
      <w:r>
        <w:rPr>
          <w:rFonts w:cs="Arial"/>
        </w:rPr>
        <w:t xml:space="preserve"> </w:t>
      </w:r>
    </w:p>
    <w:p w14:paraId="4656A7E9" w14:textId="77777777" w:rsidR="006D2870" w:rsidRDefault="009E7FAD" w:rsidP="00C83D64">
      <w:pPr>
        <w:jc w:val="both"/>
        <w:rPr>
          <w:rFonts w:cs="Arial"/>
        </w:rPr>
      </w:pPr>
      <w:r>
        <w:rPr>
          <w:rFonts w:cs="Arial"/>
        </w:rPr>
        <w:t xml:space="preserve">Following </w:t>
      </w:r>
      <w:r w:rsidR="00A36E4F">
        <w:rPr>
          <w:rFonts w:cs="Arial"/>
        </w:rPr>
        <w:t>the implementation of UNC Modification 0678A</w:t>
      </w:r>
      <w:r>
        <w:rPr>
          <w:rStyle w:val="FootnoteReference"/>
          <w:rFonts w:cs="Arial"/>
        </w:rPr>
        <w:footnoteReference w:id="3"/>
      </w:r>
      <w:r>
        <w:rPr>
          <w:rFonts w:cs="Arial"/>
        </w:rPr>
        <w:t xml:space="preserve">, which changed the charging methodology associated with NTS Capacity, </w:t>
      </w:r>
      <w:r w:rsidR="00EE35E4">
        <w:rPr>
          <w:rFonts w:cs="Arial"/>
        </w:rPr>
        <w:t xml:space="preserve">NTS Exit Capacity Reserve Prices have become uniform. As a result, </w:t>
      </w:r>
      <w:r w:rsidR="00630581">
        <w:rPr>
          <w:rFonts w:cs="Arial"/>
        </w:rPr>
        <w:t>Users</w:t>
      </w:r>
      <w:r w:rsidR="00EE35E4">
        <w:rPr>
          <w:rFonts w:cs="Arial"/>
        </w:rPr>
        <w:t xml:space="preserve"> saw </w:t>
      </w:r>
      <w:r w:rsidR="00212CAB">
        <w:rPr>
          <w:rFonts w:cs="Arial"/>
        </w:rPr>
        <w:t>significant</w:t>
      </w:r>
      <w:r w:rsidR="00EE35E4">
        <w:rPr>
          <w:rFonts w:cs="Arial"/>
        </w:rPr>
        <w:t xml:space="preserve"> changes to Reserve Prices at a number of locations and, we understand</w:t>
      </w:r>
      <w:r w:rsidR="00733372">
        <w:rPr>
          <w:rFonts w:cs="Arial"/>
        </w:rPr>
        <w:t>,</w:t>
      </w:r>
      <w:r w:rsidR="00EE35E4">
        <w:rPr>
          <w:rFonts w:cs="Arial"/>
        </w:rPr>
        <w:t xml:space="preserve"> </w:t>
      </w:r>
      <w:r w:rsidR="00C10FEC">
        <w:rPr>
          <w:rFonts w:cs="Arial"/>
        </w:rPr>
        <w:t xml:space="preserve">have shifted focus towards </w:t>
      </w:r>
      <w:r w:rsidR="00EE35E4">
        <w:rPr>
          <w:rFonts w:cs="Arial"/>
        </w:rPr>
        <w:t xml:space="preserve">booking capacity </w:t>
      </w:r>
      <w:r w:rsidR="00C10FEC">
        <w:rPr>
          <w:rFonts w:cs="Arial"/>
        </w:rPr>
        <w:t>on a daily basis</w:t>
      </w:r>
      <w:r w:rsidR="00733372">
        <w:rPr>
          <w:rFonts w:cs="Arial"/>
        </w:rPr>
        <w:t>,</w:t>
      </w:r>
      <w:r w:rsidR="00C10FEC">
        <w:rPr>
          <w:rFonts w:cs="Arial"/>
        </w:rPr>
        <w:t xml:space="preserve"> aligning purchases with anticipated offtake quantities.</w:t>
      </w:r>
    </w:p>
    <w:p w14:paraId="05747721" w14:textId="77777777" w:rsidR="00BC6F59" w:rsidRPr="00BC6F59" w:rsidRDefault="00BC6F59" w:rsidP="00774996">
      <w:pPr>
        <w:pStyle w:val="Caption"/>
        <w:keepNext/>
        <w:spacing w:before="240" w:after="120"/>
        <w:rPr>
          <w:b w:val="0"/>
          <w:bCs w:val="0"/>
          <w:color w:val="auto"/>
        </w:rPr>
      </w:pPr>
      <w:r w:rsidRPr="00BC6F59">
        <w:rPr>
          <w:color w:val="auto"/>
        </w:rPr>
        <w:t xml:space="preserve">Table </w:t>
      </w:r>
      <w:r w:rsidRPr="00BC6F59">
        <w:rPr>
          <w:color w:val="auto"/>
        </w:rPr>
        <w:fldChar w:fldCharType="begin"/>
      </w:r>
      <w:r w:rsidRPr="00BC6F59">
        <w:rPr>
          <w:color w:val="auto"/>
        </w:rPr>
        <w:instrText xml:space="preserve"> SEQ Table \* ARABIC </w:instrText>
      </w:r>
      <w:r w:rsidRPr="00BC6F59">
        <w:rPr>
          <w:color w:val="auto"/>
        </w:rPr>
        <w:fldChar w:fldCharType="separate"/>
      </w:r>
      <w:r w:rsidR="00C93870">
        <w:rPr>
          <w:noProof/>
          <w:color w:val="auto"/>
        </w:rPr>
        <w:t>1</w:t>
      </w:r>
      <w:r w:rsidRPr="00BC6F59">
        <w:rPr>
          <w:color w:val="auto"/>
        </w:rPr>
        <w:fldChar w:fldCharType="end"/>
      </w:r>
      <w:r w:rsidRPr="00BC6F59">
        <w:rPr>
          <w:b w:val="0"/>
          <w:bCs w:val="0"/>
          <w:color w:val="auto"/>
        </w:rPr>
        <w:t xml:space="preserve">: Summary of NTS </w:t>
      </w:r>
      <w:r w:rsidR="005543AE">
        <w:rPr>
          <w:b w:val="0"/>
          <w:bCs w:val="0"/>
          <w:color w:val="auto"/>
        </w:rPr>
        <w:t>E</w:t>
      </w:r>
      <w:r w:rsidR="004C1CF9">
        <w:rPr>
          <w:b w:val="0"/>
          <w:bCs w:val="0"/>
          <w:color w:val="auto"/>
        </w:rPr>
        <w:t>xit</w:t>
      </w:r>
      <w:r w:rsidR="005543AE">
        <w:rPr>
          <w:b w:val="0"/>
          <w:bCs w:val="0"/>
          <w:color w:val="auto"/>
        </w:rPr>
        <w:t xml:space="preserve"> </w:t>
      </w:r>
      <w:r w:rsidRPr="00BC6F59">
        <w:rPr>
          <w:b w:val="0"/>
          <w:bCs w:val="0"/>
          <w:color w:val="auto"/>
        </w:rPr>
        <w:t>Capacity</w:t>
      </w:r>
      <w:r w:rsidR="004C1CF9">
        <w:rPr>
          <w:b w:val="0"/>
          <w:bCs w:val="0"/>
          <w:color w:val="auto"/>
        </w:rPr>
        <w:t xml:space="preserve"> (Flat)</w:t>
      </w:r>
      <w:r w:rsidRPr="00BC6F59">
        <w:rPr>
          <w:b w:val="0"/>
          <w:bCs w:val="0"/>
          <w:color w:val="auto"/>
        </w:rPr>
        <w:t xml:space="preserve"> </w:t>
      </w:r>
      <w:r w:rsidR="004C1CF9">
        <w:rPr>
          <w:b w:val="0"/>
          <w:bCs w:val="0"/>
          <w:color w:val="auto"/>
        </w:rPr>
        <w:t>Application Windows/</w:t>
      </w:r>
      <w:r w:rsidRPr="00BC6F59">
        <w:rPr>
          <w:b w:val="0"/>
          <w:bCs w:val="0"/>
          <w:color w:val="auto"/>
        </w:rPr>
        <w:t>Auctions</w:t>
      </w:r>
    </w:p>
    <w:tbl>
      <w:tblPr>
        <w:tblW w:w="8500" w:type="dxa"/>
        <w:jc w:val="center"/>
        <w:tblCellMar>
          <w:left w:w="0" w:type="dxa"/>
          <w:right w:w="0" w:type="dxa"/>
        </w:tblCellMar>
        <w:tblLook w:val="0420" w:firstRow="1" w:lastRow="0" w:firstColumn="0" w:lastColumn="0" w:noHBand="0" w:noVBand="1"/>
      </w:tblPr>
      <w:tblGrid>
        <w:gridCol w:w="1920"/>
        <w:gridCol w:w="2020"/>
        <w:gridCol w:w="2280"/>
        <w:gridCol w:w="2280"/>
      </w:tblGrid>
      <w:tr w:rsidR="004C1CF9" w:rsidRPr="00BC6F59" w14:paraId="070CE356" w14:textId="77777777" w:rsidTr="0019312D">
        <w:trPr>
          <w:trHeight w:val="584"/>
          <w:jc w:val="center"/>
        </w:trPr>
        <w:tc>
          <w:tcPr>
            <w:tcW w:w="1920" w:type="dxa"/>
            <w:tcBorders>
              <w:top w:val="single" w:sz="8" w:space="0" w:color="FFFFFF"/>
              <w:left w:val="single" w:sz="8" w:space="0" w:color="FFFFFF"/>
              <w:bottom w:val="single" w:sz="24" w:space="0" w:color="FFFFFF"/>
              <w:right w:val="single" w:sz="8" w:space="0" w:color="FFFFFF"/>
            </w:tcBorders>
            <w:shd w:val="clear" w:color="auto" w:fill="64B1BC"/>
            <w:tcMar>
              <w:top w:w="72" w:type="dxa"/>
              <w:left w:w="144" w:type="dxa"/>
              <w:bottom w:w="72" w:type="dxa"/>
              <w:right w:w="144" w:type="dxa"/>
            </w:tcMar>
            <w:vAlign w:val="center"/>
            <w:hideMark/>
          </w:tcPr>
          <w:p w14:paraId="600AEC87" w14:textId="77777777" w:rsidR="004C1CF9" w:rsidRPr="00BC6F59" w:rsidRDefault="004C1CF9" w:rsidP="00BC6F59">
            <w:pPr>
              <w:spacing w:before="0" w:after="0" w:line="240" w:lineRule="auto"/>
              <w:rPr>
                <w:rFonts w:cs="Arial"/>
                <w:b/>
                <w:bCs/>
                <w:sz w:val="36"/>
                <w:szCs w:val="36"/>
              </w:rPr>
            </w:pPr>
            <w:r w:rsidRPr="00BC6F59">
              <w:rPr>
                <w:rFonts w:cs="Arial"/>
                <w:b/>
                <w:bCs/>
                <w:color w:val="FFFFFF"/>
                <w:kern w:val="24"/>
                <w:szCs w:val="20"/>
                <w:lang w:val="en-US"/>
              </w:rPr>
              <w:t>Capacity Product</w:t>
            </w:r>
          </w:p>
        </w:tc>
        <w:tc>
          <w:tcPr>
            <w:tcW w:w="2020" w:type="dxa"/>
            <w:tcBorders>
              <w:top w:val="single" w:sz="8" w:space="0" w:color="FFFFFF"/>
              <w:left w:val="single" w:sz="8" w:space="0" w:color="FFFFFF"/>
              <w:bottom w:val="single" w:sz="24" w:space="0" w:color="FFFFFF"/>
              <w:right w:val="single" w:sz="8" w:space="0" w:color="FFFFFF"/>
            </w:tcBorders>
            <w:shd w:val="clear" w:color="auto" w:fill="64B1BC"/>
            <w:tcMar>
              <w:top w:w="72" w:type="dxa"/>
              <w:left w:w="144" w:type="dxa"/>
              <w:bottom w:w="72" w:type="dxa"/>
              <w:right w:w="144" w:type="dxa"/>
            </w:tcMar>
            <w:vAlign w:val="center"/>
            <w:hideMark/>
          </w:tcPr>
          <w:p w14:paraId="1E20D215" w14:textId="77777777" w:rsidR="004C1CF9" w:rsidRPr="00BC6F59" w:rsidRDefault="004C1CF9" w:rsidP="00BC6F59">
            <w:pPr>
              <w:spacing w:before="0" w:after="0" w:line="240" w:lineRule="auto"/>
              <w:rPr>
                <w:rFonts w:cs="Arial"/>
                <w:b/>
                <w:bCs/>
                <w:sz w:val="36"/>
                <w:szCs w:val="36"/>
              </w:rPr>
            </w:pPr>
            <w:r w:rsidRPr="00BC6F59">
              <w:rPr>
                <w:rFonts w:cs="Arial"/>
                <w:b/>
                <w:bCs/>
                <w:color w:val="FFFFFF"/>
                <w:kern w:val="24"/>
                <w:szCs w:val="20"/>
                <w:lang w:val="en-US"/>
              </w:rPr>
              <w:t>Product</w:t>
            </w:r>
          </w:p>
        </w:tc>
        <w:tc>
          <w:tcPr>
            <w:tcW w:w="2280" w:type="dxa"/>
            <w:tcBorders>
              <w:top w:val="single" w:sz="8" w:space="0" w:color="FFFFFF"/>
              <w:left w:val="single" w:sz="8" w:space="0" w:color="FFFFFF"/>
              <w:bottom w:val="single" w:sz="24" w:space="0" w:color="FFFFFF"/>
              <w:right w:val="single" w:sz="8" w:space="0" w:color="FFFFFF"/>
            </w:tcBorders>
            <w:shd w:val="clear" w:color="auto" w:fill="64B1BC"/>
            <w:tcMar>
              <w:top w:w="72" w:type="dxa"/>
              <w:left w:w="144" w:type="dxa"/>
              <w:bottom w:w="72" w:type="dxa"/>
              <w:right w:w="144" w:type="dxa"/>
            </w:tcMar>
            <w:vAlign w:val="center"/>
            <w:hideMark/>
          </w:tcPr>
          <w:p w14:paraId="6C283DB4" w14:textId="77777777" w:rsidR="004C1CF9" w:rsidRPr="00BC6F59" w:rsidRDefault="004C1CF9" w:rsidP="00BC6F59">
            <w:pPr>
              <w:spacing w:before="0" w:after="0" w:line="240" w:lineRule="auto"/>
              <w:rPr>
                <w:rFonts w:cs="Arial"/>
                <w:b/>
                <w:bCs/>
                <w:sz w:val="36"/>
                <w:szCs w:val="36"/>
              </w:rPr>
            </w:pPr>
            <w:r w:rsidRPr="00BC6F59">
              <w:rPr>
                <w:rFonts w:cs="Arial"/>
                <w:b/>
                <w:bCs/>
                <w:color w:val="FFFFFF"/>
                <w:kern w:val="24"/>
                <w:szCs w:val="20"/>
                <w:lang w:val="en-US"/>
              </w:rPr>
              <w:t>Timeline</w:t>
            </w:r>
          </w:p>
        </w:tc>
        <w:tc>
          <w:tcPr>
            <w:tcW w:w="2280" w:type="dxa"/>
            <w:tcBorders>
              <w:top w:val="single" w:sz="8" w:space="0" w:color="FFFFFF"/>
              <w:left w:val="single" w:sz="8" w:space="0" w:color="FFFFFF"/>
              <w:bottom w:val="single" w:sz="24" w:space="0" w:color="FFFFFF"/>
              <w:right w:val="single" w:sz="8" w:space="0" w:color="FFFFFF"/>
            </w:tcBorders>
            <w:shd w:val="clear" w:color="auto" w:fill="64B1BC"/>
          </w:tcPr>
          <w:p w14:paraId="5ED40691" w14:textId="77777777" w:rsidR="004C1CF9" w:rsidRPr="00BC6F59" w:rsidRDefault="004C1CF9" w:rsidP="00BC6F59">
            <w:pPr>
              <w:spacing w:before="0" w:after="0" w:line="240" w:lineRule="auto"/>
              <w:rPr>
                <w:rFonts w:cs="Arial"/>
                <w:b/>
                <w:bCs/>
                <w:color w:val="FFFFFF"/>
                <w:kern w:val="24"/>
                <w:szCs w:val="20"/>
                <w:lang w:val="en-US"/>
              </w:rPr>
            </w:pPr>
          </w:p>
        </w:tc>
      </w:tr>
      <w:tr w:rsidR="004C1CF9" w:rsidRPr="00BC6F59" w14:paraId="5BB3723A" w14:textId="77777777" w:rsidTr="0019312D">
        <w:trPr>
          <w:trHeight w:val="584"/>
          <w:jc w:val="center"/>
        </w:trPr>
        <w:tc>
          <w:tcPr>
            <w:tcW w:w="1920" w:type="dxa"/>
            <w:tcBorders>
              <w:top w:val="single" w:sz="24" w:space="0" w:color="FFFFFF"/>
              <w:left w:val="single" w:sz="8" w:space="0" w:color="FFFFFF"/>
              <w:bottom w:val="single" w:sz="8" w:space="0" w:color="FFFFFF"/>
              <w:right w:val="single" w:sz="8" w:space="0" w:color="FFFFFF"/>
            </w:tcBorders>
            <w:shd w:val="clear" w:color="auto" w:fill="D3E4E7"/>
            <w:tcMar>
              <w:top w:w="72" w:type="dxa"/>
              <w:left w:w="144" w:type="dxa"/>
              <w:bottom w:w="72" w:type="dxa"/>
              <w:right w:w="144" w:type="dxa"/>
            </w:tcMar>
            <w:vAlign w:val="center"/>
            <w:hideMark/>
          </w:tcPr>
          <w:p w14:paraId="147A1AFC" w14:textId="77777777" w:rsidR="004C1CF9" w:rsidRPr="00BC6F59" w:rsidRDefault="004C1CF9" w:rsidP="00BC6F59">
            <w:pPr>
              <w:spacing w:before="0" w:after="0" w:line="240" w:lineRule="auto"/>
              <w:rPr>
                <w:rFonts w:cs="Arial"/>
                <w:sz w:val="36"/>
                <w:szCs w:val="36"/>
              </w:rPr>
            </w:pPr>
            <w:r>
              <w:rPr>
                <w:rFonts w:cs="Arial"/>
                <w:color w:val="000000"/>
                <w:kern w:val="24"/>
                <w:szCs w:val="20"/>
                <w:lang w:val="en-US"/>
              </w:rPr>
              <w:t>Enduring Annual (EAFLEC)</w:t>
            </w:r>
            <w:r w:rsidR="009A25B0">
              <w:rPr>
                <w:rStyle w:val="FootnoteReference"/>
                <w:rFonts w:cs="Arial"/>
                <w:color w:val="000000"/>
                <w:kern w:val="24"/>
                <w:szCs w:val="20"/>
                <w:lang w:val="en-US"/>
              </w:rPr>
              <w:footnoteReference w:id="4"/>
            </w:r>
          </w:p>
        </w:tc>
        <w:tc>
          <w:tcPr>
            <w:tcW w:w="2020" w:type="dxa"/>
            <w:tcBorders>
              <w:top w:val="single" w:sz="24" w:space="0" w:color="FFFFFF"/>
              <w:left w:val="single" w:sz="8" w:space="0" w:color="FFFFFF"/>
              <w:bottom w:val="single" w:sz="8" w:space="0" w:color="FFFFFF"/>
              <w:right w:val="single" w:sz="8" w:space="0" w:color="FFFFFF"/>
            </w:tcBorders>
            <w:shd w:val="clear" w:color="auto" w:fill="D3E4E7"/>
            <w:tcMar>
              <w:top w:w="72" w:type="dxa"/>
              <w:left w:w="144" w:type="dxa"/>
              <w:bottom w:w="72" w:type="dxa"/>
              <w:right w:w="144" w:type="dxa"/>
            </w:tcMar>
            <w:vAlign w:val="center"/>
            <w:hideMark/>
          </w:tcPr>
          <w:p w14:paraId="2B69E6A0" w14:textId="77777777" w:rsidR="004C1CF9" w:rsidRPr="00BC6F59" w:rsidRDefault="004C1CF9" w:rsidP="00BC6F59">
            <w:pPr>
              <w:spacing w:before="0" w:after="0" w:line="240" w:lineRule="auto"/>
              <w:rPr>
                <w:rFonts w:cs="Arial"/>
                <w:sz w:val="36"/>
                <w:szCs w:val="36"/>
              </w:rPr>
            </w:pPr>
            <w:r w:rsidRPr="00BC6F59">
              <w:rPr>
                <w:rFonts w:cs="Arial"/>
                <w:color w:val="000000"/>
                <w:kern w:val="24"/>
                <w:szCs w:val="20"/>
                <w:lang w:val="en-US"/>
              </w:rPr>
              <w:t xml:space="preserve">Flat </w:t>
            </w:r>
            <w:r>
              <w:rPr>
                <w:rFonts w:cs="Arial"/>
                <w:color w:val="000000"/>
                <w:kern w:val="24"/>
                <w:szCs w:val="20"/>
                <w:lang w:val="en-US"/>
              </w:rPr>
              <w:t>annual</w:t>
            </w:r>
            <w:r w:rsidRPr="00BC6F59">
              <w:rPr>
                <w:rFonts w:cs="Arial"/>
                <w:color w:val="000000"/>
                <w:kern w:val="24"/>
                <w:szCs w:val="20"/>
                <w:lang w:val="en-US"/>
              </w:rPr>
              <w:t xml:space="preserve"> strips</w:t>
            </w:r>
            <w:r>
              <w:rPr>
                <w:rFonts w:cs="Arial"/>
                <w:color w:val="000000"/>
                <w:kern w:val="24"/>
                <w:szCs w:val="20"/>
                <w:lang w:val="en-US"/>
              </w:rPr>
              <w:t>, evergreen</w:t>
            </w:r>
          </w:p>
        </w:tc>
        <w:tc>
          <w:tcPr>
            <w:tcW w:w="2280" w:type="dxa"/>
            <w:tcBorders>
              <w:top w:val="single" w:sz="24" w:space="0" w:color="FFFFFF"/>
              <w:left w:val="single" w:sz="8" w:space="0" w:color="FFFFFF"/>
              <w:bottom w:val="single" w:sz="8" w:space="0" w:color="FFFFFF"/>
              <w:right w:val="single" w:sz="8" w:space="0" w:color="FFFFFF"/>
            </w:tcBorders>
            <w:shd w:val="clear" w:color="auto" w:fill="D3E4E7"/>
            <w:tcMar>
              <w:top w:w="72" w:type="dxa"/>
              <w:left w:w="144" w:type="dxa"/>
              <w:bottom w:w="72" w:type="dxa"/>
              <w:right w:w="144" w:type="dxa"/>
            </w:tcMar>
            <w:vAlign w:val="center"/>
            <w:hideMark/>
          </w:tcPr>
          <w:p w14:paraId="18C160FE" w14:textId="77777777" w:rsidR="004C1CF9" w:rsidRPr="00BC6F59" w:rsidRDefault="004C1CF9" w:rsidP="00BC6F59">
            <w:pPr>
              <w:spacing w:before="0" w:after="0" w:line="240" w:lineRule="auto"/>
              <w:rPr>
                <w:rFonts w:cs="Arial"/>
                <w:sz w:val="36"/>
                <w:szCs w:val="36"/>
              </w:rPr>
            </w:pPr>
            <w:r>
              <w:rPr>
                <w:rFonts w:cs="Arial"/>
                <w:color w:val="000000"/>
                <w:kern w:val="24"/>
                <w:szCs w:val="20"/>
                <w:lang w:val="en-US"/>
              </w:rPr>
              <w:t xml:space="preserve">Y+4, Y+5 or Y+6 </w:t>
            </w:r>
          </w:p>
        </w:tc>
        <w:tc>
          <w:tcPr>
            <w:tcW w:w="2280" w:type="dxa"/>
            <w:tcBorders>
              <w:top w:val="single" w:sz="24" w:space="0" w:color="FFFFFF"/>
              <w:left w:val="single" w:sz="8" w:space="0" w:color="FFFFFF"/>
              <w:bottom w:val="single" w:sz="8" w:space="0" w:color="FFFFFF"/>
              <w:right w:val="single" w:sz="8" w:space="0" w:color="FFFFFF"/>
            </w:tcBorders>
            <w:shd w:val="clear" w:color="auto" w:fill="D3E4E7"/>
          </w:tcPr>
          <w:p w14:paraId="4DB2B415" w14:textId="77777777" w:rsidR="004C1CF9" w:rsidRDefault="009A25B0" w:rsidP="00BC6F59">
            <w:pPr>
              <w:spacing w:before="0" w:after="0" w:line="240" w:lineRule="auto"/>
              <w:rPr>
                <w:rFonts w:cs="Arial"/>
                <w:color w:val="000000"/>
                <w:kern w:val="24"/>
                <w:szCs w:val="20"/>
                <w:lang w:val="en-US"/>
              </w:rPr>
            </w:pPr>
            <w:r>
              <w:rPr>
                <w:rFonts w:cs="Arial"/>
                <w:color w:val="000000"/>
                <w:kern w:val="24"/>
                <w:szCs w:val="20"/>
                <w:lang w:val="en-US"/>
              </w:rPr>
              <w:t>Obligated</w:t>
            </w:r>
          </w:p>
        </w:tc>
      </w:tr>
      <w:tr w:rsidR="004C1CF9" w:rsidRPr="00BC6F59" w14:paraId="65791D64" w14:textId="77777777" w:rsidTr="0019312D">
        <w:trPr>
          <w:trHeight w:val="584"/>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EAF2F4"/>
            <w:tcMar>
              <w:top w:w="72" w:type="dxa"/>
              <w:left w:w="144" w:type="dxa"/>
              <w:bottom w:w="72" w:type="dxa"/>
              <w:right w:w="144" w:type="dxa"/>
            </w:tcMar>
            <w:vAlign w:val="center"/>
            <w:hideMark/>
          </w:tcPr>
          <w:p w14:paraId="0E320ACB" w14:textId="77777777" w:rsidR="00C71EB7" w:rsidRDefault="004C1CF9" w:rsidP="00BC6F59">
            <w:pPr>
              <w:spacing w:before="0" w:after="0" w:line="240" w:lineRule="auto"/>
              <w:rPr>
                <w:rFonts w:cs="Arial"/>
                <w:color w:val="000000"/>
                <w:kern w:val="24"/>
                <w:szCs w:val="20"/>
                <w:lang w:val="en-US"/>
              </w:rPr>
            </w:pPr>
            <w:r>
              <w:rPr>
                <w:rFonts w:cs="Arial"/>
                <w:color w:val="000000"/>
                <w:kern w:val="24"/>
                <w:szCs w:val="20"/>
                <w:lang w:val="en-US"/>
              </w:rPr>
              <w:t xml:space="preserve">Annual  </w:t>
            </w:r>
          </w:p>
          <w:p w14:paraId="30D4BA8E" w14:textId="77777777" w:rsidR="004C1CF9" w:rsidRPr="00BC6F59" w:rsidRDefault="004C1CF9" w:rsidP="00BC6F59">
            <w:pPr>
              <w:spacing w:before="0" w:after="0" w:line="240" w:lineRule="auto"/>
              <w:rPr>
                <w:rFonts w:cs="Arial"/>
                <w:sz w:val="36"/>
                <w:szCs w:val="36"/>
              </w:rPr>
            </w:pPr>
            <w:r>
              <w:rPr>
                <w:rFonts w:cs="Arial"/>
                <w:color w:val="000000"/>
                <w:kern w:val="24"/>
                <w:szCs w:val="20"/>
                <w:lang w:val="en-US"/>
              </w:rPr>
              <w:t>(AFLEC)</w:t>
            </w:r>
          </w:p>
        </w:tc>
        <w:tc>
          <w:tcPr>
            <w:tcW w:w="2020" w:type="dxa"/>
            <w:tcBorders>
              <w:top w:val="single" w:sz="8" w:space="0" w:color="FFFFFF"/>
              <w:left w:val="single" w:sz="8" w:space="0" w:color="FFFFFF"/>
              <w:bottom w:val="single" w:sz="8" w:space="0" w:color="FFFFFF"/>
              <w:right w:val="single" w:sz="8" w:space="0" w:color="FFFFFF"/>
            </w:tcBorders>
            <w:shd w:val="clear" w:color="auto" w:fill="EAF2F4"/>
            <w:tcMar>
              <w:top w:w="72" w:type="dxa"/>
              <w:left w:w="144" w:type="dxa"/>
              <w:bottom w:w="72" w:type="dxa"/>
              <w:right w:w="144" w:type="dxa"/>
            </w:tcMar>
            <w:vAlign w:val="center"/>
            <w:hideMark/>
          </w:tcPr>
          <w:p w14:paraId="6C05A4E3" w14:textId="77777777" w:rsidR="004C1CF9" w:rsidRPr="00BC6F59" w:rsidRDefault="004C1CF9" w:rsidP="00BC6F59">
            <w:pPr>
              <w:spacing w:before="0" w:after="0" w:line="240" w:lineRule="auto"/>
              <w:rPr>
                <w:rFonts w:cs="Arial"/>
                <w:sz w:val="36"/>
                <w:szCs w:val="36"/>
              </w:rPr>
            </w:pPr>
            <w:r w:rsidRPr="00BC6F59">
              <w:rPr>
                <w:rFonts w:cs="Arial"/>
                <w:color w:val="000000"/>
                <w:kern w:val="24"/>
                <w:szCs w:val="20"/>
                <w:lang w:val="en-US"/>
              </w:rPr>
              <w:t xml:space="preserve">Flat </w:t>
            </w:r>
            <w:r>
              <w:rPr>
                <w:rFonts w:cs="Arial"/>
                <w:color w:val="000000"/>
                <w:kern w:val="24"/>
                <w:szCs w:val="20"/>
                <w:lang w:val="en-US"/>
              </w:rPr>
              <w:t xml:space="preserve">annual </w:t>
            </w:r>
            <w:r w:rsidRPr="00BC6F59">
              <w:rPr>
                <w:rFonts w:cs="Arial"/>
                <w:color w:val="000000"/>
                <w:kern w:val="24"/>
                <w:szCs w:val="20"/>
                <w:lang w:val="en-US"/>
              </w:rPr>
              <w:t>strips</w:t>
            </w:r>
          </w:p>
        </w:tc>
        <w:tc>
          <w:tcPr>
            <w:tcW w:w="2280" w:type="dxa"/>
            <w:tcBorders>
              <w:top w:val="single" w:sz="8" w:space="0" w:color="FFFFFF"/>
              <w:left w:val="single" w:sz="8" w:space="0" w:color="FFFFFF"/>
              <w:bottom w:val="single" w:sz="8" w:space="0" w:color="FFFFFF"/>
              <w:right w:val="single" w:sz="8" w:space="0" w:color="FFFFFF"/>
            </w:tcBorders>
            <w:shd w:val="clear" w:color="auto" w:fill="EAF2F4"/>
            <w:tcMar>
              <w:top w:w="72" w:type="dxa"/>
              <w:left w:w="144" w:type="dxa"/>
              <w:bottom w:w="72" w:type="dxa"/>
              <w:right w:w="144" w:type="dxa"/>
            </w:tcMar>
            <w:vAlign w:val="center"/>
            <w:hideMark/>
          </w:tcPr>
          <w:p w14:paraId="2F93875C" w14:textId="77777777" w:rsidR="004C1CF9" w:rsidRPr="00BC6F59" w:rsidRDefault="004C1CF9" w:rsidP="00BC6F59">
            <w:pPr>
              <w:spacing w:before="0" w:after="0" w:line="240" w:lineRule="auto"/>
              <w:rPr>
                <w:rFonts w:cs="Arial"/>
                <w:sz w:val="36"/>
                <w:szCs w:val="36"/>
              </w:rPr>
            </w:pPr>
            <w:r>
              <w:rPr>
                <w:rFonts w:cs="Arial"/>
                <w:color w:val="000000"/>
                <w:kern w:val="24"/>
                <w:szCs w:val="20"/>
                <w:lang w:val="en-US"/>
              </w:rPr>
              <w:t>Y+1, Y+2 and Y+3</w:t>
            </w:r>
          </w:p>
        </w:tc>
        <w:tc>
          <w:tcPr>
            <w:tcW w:w="2280" w:type="dxa"/>
            <w:tcBorders>
              <w:top w:val="single" w:sz="8" w:space="0" w:color="FFFFFF"/>
              <w:left w:val="single" w:sz="8" w:space="0" w:color="FFFFFF"/>
              <w:bottom w:val="single" w:sz="8" w:space="0" w:color="FFFFFF"/>
              <w:right w:val="single" w:sz="8" w:space="0" w:color="FFFFFF"/>
            </w:tcBorders>
            <w:shd w:val="clear" w:color="auto" w:fill="EAF2F4"/>
          </w:tcPr>
          <w:p w14:paraId="49BCA7AB" w14:textId="77777777" w:rsidR="004C1CF9" w:rsidRDefault="004C1CF9" w:rsidP="00BC6F59">
            <w:pPr>
              <w:spacing w:before="0" w:after="0" w:line="240" w:lineRule="auto"/>
              <w:rPr>
                <w:rFonts w:cs="Arial"/>
                <w:color w:val="000000"/>
                <w:kern w:val="24"/>
                <w:szCs w:val="20"/>
                <w:lang w:val="en-US"/>
              </w:rPr>
            </w:pPr>
            <w:r>
              <w:rPr>
                <w:rFonts w:cs="Arial"/>
                <w:color w:val="000000"/>
                <w:kern w:val="24"/>
                <w:szCs w:val="20"/>
                <w:lang w:val="en-US"/>
              </w:rPr>
              <w:t>Unsold Obligated</w:t>
            </w:r>
          </w:p>
        </w:tc>
      </w:tr>
      <w:tr w:rsidR="004C1CF9" w:rsidRPr="00BC6F59" w14:paraId="4A836F32" w14:textId="77777777" w:rsidTr="0019312D">
        <w:trPr>
          <w:trHeight w:val="584"/>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D3E4E7"/>
            <w:tcMar>
              <w:top w:w="72" w:type="dxa"/>
              <w:left w:w="144" w:type="dxa"/>
              <w:bottom w:w="72" w:type="dxa"/>
              <w:right w:w="144" w:type="dxa"/>
            </w:tcMar>
            <w:vAlign w:val="center"/>
            <w:hideMark/>
          </w:tcPr>
          <w:p w14:paraId="72697019" w14:textId="77777777" w:rsidR="004C1CF9" w:rsidRPr="00BC6F59" w:rsidRDefault="009A25B0" w:rsidP="00BC6F59">
            <w:pPr>
              <w:spacing w:before="0" w:after="0" w:line="240" w:lineRule="auto"/>
              <w:rPr>
                <w:rFonts w:cs="Arial"/>
                <w:sz w:val="36"/>
                <w:szCs w:val="36"/>
              </w:rPr>
            </w:pPr>
            <w:r>
              <w:rPr>
                <w:rFonts w:cs="Arial"/>
                <w:color w:val="000000"/>
                <w:kern w:val="24"/>
                <w:szCs w:val="20"/>
                <w:lang w:val="en-US"/>
              </w:rPr>
              <w:t>Day- ahead (DADNEX)</w:t>
            </w:r>
          </w:p>
        </w:tc>
        <w:tc>
          <w:tcPr>
            <w:tcW w:w="2020" w:type="dxa"/>
            <w:tcBorders>
              <w:top w:val="single" w:sz="8" w:space="0" w:color="FFFFFF"/>
              <w:left w:val="single" w:sz="8" w:space="0" w:color="FFFFFF"/>
              <w:bottom w:val="single" w:sz="8" w:space="0" w:color="FFFFFF"/>
              <w:right w:val="single" w:sz="8" w:space="0" w:color="FFFFFF"/>
            </w:tcBorders>
            <w:shd w:val="clear" w:color="auto" w:fill="D3E4E7"/>
            <w:tcMar>
              <w:top w:w="72" w:type="dxa"/>
              <w:left w:w="144" w:type="dxa"/>
              <w:bottom w:w="72" w:type="dxa"/>
              <w:right w:w="144" w:type="dxa"/>
            </w:tcMar>
            <w:vAlign w:val="center"/>
            <w:hideMark/>
          </w:tcPr>
          <w:p w14:paraId="51FE6911" w14:textId="77777777" w:rsidR="004C1CF9" w:rsidRPr="00BC6F59" w:rsidRDefault="009A25B0" w:rsidP="00BC6F59">
            <w:pPr>
              <w:spacing w:before="0" w:after="0" w:line="240" w:lineRule="auto"/>
              <w:rPr>
                <w:rFonts w:cs="Arial"/>
                <w:sz w:val="36"/>
                <w:szCs w:val="36"/>
              </w:rPr>
            </w:pPr>
            <w:r>
              <w:rPr>
                <w:rFonts w:cs="Arial"/>
                <w:color w:val="000000"/>
                <w:kern w:val="24"/>
                <w:szCs w:val="20"/>
                <w:lang w:val="en-US"/>
              </w:rPr>
              <w:t>Daily</w:t>
            </w:r>
          </w:p>
        </w:tc>
        <w:tc>
          <w:tcPr>
            <w:tcW w:w="2280" w:type="dxa"/>
            <w:tcBorders>
              <w:top w:val="single" w:sz="8" w:space="0" w:color="FFFFFF"/>
              <w:left w:val="single" w:sz="8" w:space="0" w:color="FFFFFF"/>
              <w:bottom w:val="single" w:sz="8" w:space="0" w:color="FFFFFF"/>
              <w:right w:val="single" w:sz="8" w:space="0" w:color="FFFFFF"/>
            </w:tcBorders>
            <w:shd w:val="clear" w:color="auto" w:fill="D3E4E7"/>
            <w:tcMar>
              <w:top w:w="72" w:type="dxa"/>
              <w:left w:w="144" w:type="dxa"/>
              <w:bottom w:w="72" w:type="dxa"/>
              <w:right w:w="144" w:type="dxa"/>
            </w:tcMar>
            <w:vAlign w:val="center"/>
            <w:hideMark/>
          </w:tcPr>
          <w:p w14:paraId="28117FED" w14:textId="77777777" w:rsidR="004C1CF9" w:rsidRPr="00BC6F59" w:rsidRDefault="009A25B0" w:rsidP="00BC6F59">
            <w:pPr>
              <w:spacing w:before="0" w:after="0" w:line="240" w:lineRule="auto"/>
              <w:rPr>
                <w:rFonts w:cs="Arial"/>
                <w:sz w:val="36"/>
                <w:szCs w:val="36"/>
              </w:rPr>
            </w:pPr>
            <w:r>
              <w:rPr>
                <w:rFonts w:cs="Arial"/>
                <w:color w:val="000000"/>
                <w:kern w:val="24"/>
                <w:szCs w:val="20"/>
                <w:lang w:val="en-US"/>
              </w:rPr>
              <w:t>D+1</w:t>
            </w:r>
          </w:p>
        </w:tc>
        <w:tc>
          <w:tcPr>
            <w:tcW w:w="2280" w:type="dxa"/>
            <w:tcBorders>
              <w:top w:val="single" w:sz="8" w:space="0" w:color="FFFFFF"/>
              <w:left w:val="single" w:sz="8" w:space="0" w:color="FFFFFF"/>
              <w:bottom w:val="single" w:sz="8" w:space="0" w:color="FFFFFF"/>
              <w:right w:val="single" w:sz="8" w:space="0" w:color="FFFFFF"/>
            </w:tcBorders>
            <w:shd w:val="clear" w:color="auto" w:fill="D3E4E7"/>
          </w:tcPr>
          <w:p w14:paraId="42657D44" w14:textId="77777777" w:rsidR="004C1CF9" w:rsidRPr="00BC6F59" w:rsidRDefault="009A25B0" w:rsidP="00BC6F59">
            <w:pPr>
              <w:spacing w:before="0" w:after="0" w:line="240" w:lineRule="auto"/>
              <w:rPr>
                <w:rFonts w:cs="Arial"/>
                <w:color w:val="000000"/>
                <w:kern w:val="24"/>
                <w:szCs w:val="20"/>
                <w:lang w:val="en-US"/>
              </w:rPr>
            </w:pPr>
            <w:r>
              <w:rPr>
                <w:rFonts w:cs="Arial"/>
                <w:color w:val="000000"/>
                <w:kern w:val="24"/>
                <w:szCs w:val="20"/>
                <w:lang w:val="en-US"/>
              </w:rPr>
              <w:t>Unsold Obligated</w:t>
            </w:r>
          </w:p>
        </w:tc>
      </w:tr>
      <w:tr w:rsidR="004C1CF9" w:rsidRPr="00BC6F59" w14:paraId="4E36D830" w14:textId="77777777" w:rsidTr="0019312D">
        <w:trPr>
          <w:trHeight w:val="584"/>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EAF2F4"/>
            <w:tcMar>
              <w:top w:w="72" w:type="dxa"/>
              <w:left w:w="144" w:type="dxa"/>
              <w:bottom w:w="72" w:type="dxa"/>
              <w:right w:w="144" w:type="dxa"/>
            </w:tcMar>
            <w:vAlign w:val="center"/>
            <w:hideMark/>
          </w:tcPr>
          <w:p w14:paraId="2F4DB4AC" w14:textId="77777777" w:rsidR="004C1CF9" w:rsidRPr="00BC6F59" w:rsidRDefault="009A25B0" w:rsidP="00BC6F59">
            <w:pPr>
              <w:spacing w:before="0" w:after="0" w:line="240" w:lineRule="auto"/>
              <w:rPr>
                <w:rFonts w:cs="Arial"/>
                <w:sz w:val="36"/>
                <w:szCs w:val="36"/>
              </w:rPr>
            </w:pPr>
            <w:r>
              <w:rPr>
                <w:rFonts w:cs="Arial"/>
                <w:color w:val="000000"/>
                <w:kern w:val="24"/>
                <w:szCs w:val="20"/>
                <w:lang w:val="en-US"/>
              </w:rPr>
              <w:t>Within-day (WDDNEX)</w:t>
            </w:r>
          </w:p>
        </w:tc>
        <w:tc>
          <w:tcPr>
            <w:tcW w:w="2020" w:type="dxa"/>
            <w:tcBorders>
              <w:top w:val="single" w:sz="8" w:space="0" w:color="FFFFFF"/>
              <w:left w:val="single" w:sz="8" w:space="0" w:color="FFFFFF"/>
              <w:bottom w:val="single" w:sz="8" w:space="0" w:color="FFFFFF"/>
              <w:right w:val="single" w:sz="8" w:space="0" w:color="FFFFFF"/>
            </w:tcBorders>
            <w:shd w:val="clear" w:color="auto" w:fill="EAF2F4"/>
            <w:tcMar>
              <w:top w:w="72" w:type="dxa"/>
              <w:left w:w="144" w:type="dxa"/>
              <w:bottom w:w="72" w:type="dxa"/>
              <w:right w:w="144" w:type="dxa"/>
            </w:tcMar>
            <w:vAlign w:val="center"/>
            <w:hideMark/>
          </w:tcPr>
          <w:p w14:paraId="5318E65A" w14:textId="77777777" w:rsidR="004C1CF9" w:rsidRPr="00BC6F59" w:rsidRDefault="004C1CF9" w:rsidP="00BC6F59">
            <w:pPr>
              <w:spacing w:before="0" w:after="0" w:line="240" w:lineRule="auto"/>
              <w:rPr>
                <w:rFonts w:cs="Arial"/>
                <w:sz w:val="36"/>
                <w:szCs w:val="36"/>
              </w:rPr>
            </w:pPr>
            <w:r w:rsidRPr="00BC6F59">
              <w:rPr>
                <w:rFonts w:cs="Arial"/>
                <w:color w:val="000000"/>
                <w:kern w:val="24"/>
                <w:szCs w:val="20"/>
                <w:lang w:val="en-US"/>
              </w:rPr>
              <w:t>Daily</w:t>
            </w:r>
          </w:p>
        </w:tc>
        <w:tc>
          <w:tcPr>
            <w:tcW w:w="2280" w:type="dxa"/>
            <w:tcBorders>
              <w:top w:val="single" w:sz="8" w:space="0" w:color="FFFFFF"/>
              <w:left w:val="single" w:sz="8" w:space="0" w:color="FFFFFF"/>
              <w:bottom w:val="single" w:sz="8" w:space="0" w:color="FFFFFF"/>
              <w:right w:val="single" w:sz="8" w:space="0" w:color="FFFFFF"/>
            </w:tcBorders>
            <w:shd w:val="clear" w:color="auto" w:fill="EAF2F4"/>
            <w:tcMar>
              <w:top w:w="72" w:type="dxa"/>
              <w:left w:w="144" w:type="dxa"/>
              <w:bottom w:w="72" w:type="dxa"/>
              <w:right w:w="144" w:type="dxa"/>
            </w:tcMar>
            <w:vAlign w:val="center"/>
            <w:hideMark/>
          </w:tcPr>
          <w:p w14:paraId="7D49E98D" w14:textId="77777777" w:rsidR="004C1CF9" w:rsidRPr="00BC6F59" w:rsidRDefault="004C1CF9" w:rsidP="00BC6F59">
            <w:pPr>
              <w:spacing w:before="0" w:after="0" w:line="240" w:lineRule="auto"/>
              <w:rPr>
                <w:rFonts w:cs="Arial"/>
                <w:sz w:val="36"/>
                <w:szCs w:val="36"/>
              </w:rPr>
            </w:pPr>
            <w:r w:rsidRPr="00BC6F59">
              <w:rPr>
                <w:rFonts w:cs="Arial"/>
                <w:color w:val="000000"/>
                <w:kern w:val="24"/>
                <w:szCs w:val="20"/>
                <w:lang w:val="en-US"/>
              </w:rPr>
              <w:t>D</w:t>
            </w:r>
          </w:p>
        </w:tc>
        <w:tc>
          <w:tcPr>
            <w:tcW w:w="2280" w:type="dxa"/>
            <w:tcBorders>
              <w:top w:val="single" w:sz="8" w:space="0" w:color="FFFFFF"/>
              <w:left w:val="single" w:sz="8" w:space="0" w:color="FFFFFF"/>
              <w:bottom w:val="single" w:sz="8" w:space="0" w:color="FFFFFF"/>
              <w:right w:val="single" w:sz="8" w:space="0" w:color="FFFFFF"/>
            </w:tcBorders>
            <w:shd w:val="clear" w:color="auto" w:fill="EAF2F4"/>
          </w:tcPr>
          <w:p w14:paraId="1791C4C8" w14:textId="77777777" w:rsidR="004C1CF9" w:rsidRPr="00BC6F59" w:rsidRDefault="009A25B0" w:rsidP="00BC6F59">
            <w:pPr>
              <w:spacing w:before="0" w:after="0" w:line="240" w:lineRule="auto"/>
              <w:rPr>
                <w:rFonts w:cs="Arial"/>
                <w:color w:val="000000"/>
                <w:kern w:val="24"/>
                <w:szCs w:val="20"/>
                <w:lang w:val="en-US"/>
              </w:rPr>
            </w:pPr>
            <w:r>
              <w:rPr>
                <w:rFonts w:cs="Arial"/>
                <w:color w:val="000000"/>
                <w:kern w:val="24"/>
                <w:szCs w:val="20"/>
                <w:lang w:val="en-US"/>
              </w:rPr>
              <w:t>Unsold Obligated</w:t>
            </w:r>
          </w:p>
        </w:tc>
      </w:tr>
      <w:tr w:rsidR="004C1CF9" w:rsidRPr="00BC6F59" w14:paraId="118C7825" w14:textId="77777777" w:rsidTr="0019312D">
        <w:trPr>
          <w:trHeight w:val="584"/>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D3E4E7"/>
            <w:tcMar>
              <w:top w:w="72" w:type="dxa"/>
              <w:left w:w="144" w:type="dxa"/>
              <w:bottom w:w="72" w:type="dxa"/>
              <w:right w:w="144" w:type="dxa"/>
            </w:tcMar>
            <w:vAlign w:val="center"/>
            <w:hideMark/>
          </w:tcPr>
          <w:p w14:paraId="291097BC" w14:textId="77777777" w:rsidR="004C1CF9" w:rsidRPr="00BC6F59" w:rsidRDefault="004C1CF9" w:rsidP="00BC6F59">
            <w:pPr>
              <w:spacing w:before="0" w:after="0" w:line="240" w:lineRule="auto"/>
              <w:rPr>
                <w:rFonts w:cs="Arial"/>
                <w:sz w:val="36"/>
                <w:szCs w:val="36"/>
              </w:rPr>
            </w:pPr>
            <w:r>
              <w:rPr>
                <w:rFonts w:cs="Arial"/>
                <w:color w:val="000000"/>
                <w:kern w:val="24"/>
                <w:szCs w:val="20"/>
                <w:lang w:val="en-US"/>
              </w:rPr>
              <w:t xml:space="preserve">Daily </w:t>
            </w:r>
            <w:r w:rsidR="009A25B0">
              <w:rPr>
                <w:rFonts w:cs="Arial"/>
                <w:color w:val="000000"/>
                <w:kern w:val="24"/>
                <w:szCs w:val="20"/>
                <w:lang w:val="en-US"/>
              </w:rPr>
              <w:t>off-peak (DONEX)</w:t>
            </w:r>
          </w:p>
        </w:tc>
        <w:tc>
          <w:tcPr>
            <w:tcW w:w="2020" w:type="dxa"/>
            <w:tcBorders>
              <w:top w:val="single" w:sz="8" w:space="0" w:color="FFFFFF"/>
              <w:left w:val="single" w:sz="8" w:space="0" w:color="FFFFFF"/>
              <w:bottom w:val="single" w:sz="8" w:space="0" w:color="FFFFFF"/>
              <w:right w:val="single" w:sz="8" w:space="0" w:color="FFFFFF"/>
            </w:tcBorders>
            <w:shd w:val="clear" w:color="auto" w:fill="D3E4E7"/>
            <w:tcMar>
              <w:top w:w="72" w:type="dxa"/>
              <w:left w:w="144" w:type="dxa"/>
              <w:bottom w:w="72" w:type="dxa"/>
              <w:right w:w="144" w:type="dxa"/>
            </w:tcMar>
            <w:vAlign w:val="center"/>
            <w:hideMark/>
          </w:tcPr>
          <w:p w14:paraId="7C99C928" w14:textId="77777777" w:rsidR="004C1CF9" w:rsidRPr="00BC6F59" w:rsidRDefault="004C1CF9" w:rsidP="00BC6F59">
            <w:pPr>
              <w:spacing w:before="0" w:after="0" w:line="240" w:lineRule="auto"/>
              <w:rPr>
                <w:rFonts w:cs="Arial"/>
                <w:sz w:val="36"/>
                <w:szCs w:val="36"/>
              </w:rPr>
            </w:pPr>
            <w:r w:rsidRPr="00BC6F59">
              <w:rPr>
                <w:rFonts w:cs="Arial"/>
                <w:color w:val="000000"/>
                <w:kern w:val="24"/>
                <w:szCs w:val="20"/>
                <w:lang w:val="en-US"/>
              </w:rPr>
              <w:t>Daily</w:t>
            </w:r>
          </w:p>
        </w:tc>
        <w:tc>
          <w:tcPr>
            <w:tcW w:w="2280" w:type="dxa"/>
            <w:tcBorders>
              <w:top w:val="single" w:sz="8" w:space="0" w:color="FFFFFF"/>
              <w:left w:val="single" w:sz="8" w:space="0" w:color="FFFFFF"/>
              <w:bottom w:val="single" w:sz="8" w:space="0" w:color="FFFFFF"/>
              <w:right w:val="single" w:sz="8" w:space="0" w:color="FFFFFF"/>
            </w:tcBorders>
            <w:shd w:val="clear" w:color="auto" w:fill="D3E4E7"/>
            <w:tcMar>
              <w:top w:w="72" w:type="dxa"/>
              <w:left w:w="144" w:type="dxa"/>
              <w:bottom w:w="72" w:type="dxa"/>
              <w:right w:w="144" w:type="dxa"/>
            </w:tcMar>
            <w:vAlign w:val="center"/>
            <w:hideMark/>
          </w:tcPr>
          <w:p w14:paraId="32C6F6C6" w14:textId="77777777" w:rsidR="004C1CF9" w:rsidRPr="00BC6F59" w:rsidRDefault="004C1CF9" w:rsidP="00BC6F59">
            <w:pPr>
              <w:spacing w:before="0" w:after="0" w:line="240" w:lineRule="auto"/>
              <w:rPr>
                <w:rFonts w:cs="Arial"/>
                <w:sz w:val="36"/>
                <w:szCs w:val="36"/>
              </w:rPr>
            </w:pPr>
            <w:r w:rsidRPr="00BC6F59">
              <w:rPr>
                <w:rFonts w:cs="Arial"/>
                <w:color w:val="000000"/>
                <w:kern w:val="24"/>
                <w:szCs w:val="20"/>
                <w:lang w:val="en-US"/>
              </w:rPr>
              <w:t xml:space="preserve">D+1 </w:t>
            </w:r>
          </w:p>
        </w:tc>
        <w:tc>
          <w:tcPr>
            <w:tcW w:w="2280" w:type="dxa"/>
            <w:tcBorders>
              <w:top w:val="single" w:sz="8" w:space="0" w:color="FFFFFF"/>
              <w:left w:val="single" w:sz="8" w:space="0" w:color="FFFFFF"/>
              <w:bottom w:val="single" w:sz="8" w:space="0" w:color="FFFFFF"/>
              <w:right w:val="single" w:sz="8" w:space="0" w:color="FFFFFF"/>
            </w:tcBorders>
            <w:shd w:val="clear" w:color="auto" w:fill="D3E4E7"/>
          </w:tcPr>
          <w:p w14:paraId="15F5CB7F" w14:textId="77777777" w:rsidR="004C1CF9" w:rsidRPr="00BC6F59" w:rsidRDefault="00EE35E4" w:rsidP="00BC6F59">
            <w:pPr>
              <w:spacing w:before="0" w:after="0" w:line="240" w:lineRule="auto"/>
              <w:rPr>
                <w:rFonts w:cs="Arial"/>
                <w:color w:val="000000"/>
                <w:kern w:val="24"/>
                <w:szCs w:val="20"/>
                <w:lang w:val="en-US"/>
              </w:rPr>
            </w:pPr>
            <w:r>
              <w:rPr>
                <w:rFonts w:cs="Arial"/>
                <w:color w:val="000000"/>
                <w:kern w:val="24"/>
                <w:szCs w:val="20"/>
                <w:lang w:val="en-US"/>
              </w:rPr>
              <w:t>In accordance with UNC B 3.6.2</w:t>
            </w:r>
          </w:p>
        </w:tc>
      </w:tr>
    </w:tbl>
    <w:p w14:paraId="54E9CEF9" w14:textId="77777777" w:rsidR="007E61EC" w:rsidRDefault="007E61EC" w:rsidP="007E61EC">
      <w:pPr>
        <w:pStyle w:val="Heading4"/>
        <w:keepLines w:val="0"/>
        <w:numPr>
          <w:ilvl w:val="0"/>
          <w:numId w:val="0"/>
        </w:numPr>
        <w:spacing w:before="120"/>
        <w:rPr>
          <w:rFonts w:ascii="Arial" w:eastAsia="Times New Roman" w:hAnsi="Arial" w:cs="Arial"/>
          <w:i w:val="0"/>
          <w:iCs w:val="0"/>
          <w:color w:val="008576"/>
          <w:sz w:val="24"/>
          <w:szCs w:val="28"/>
        </w:rPr>
      </w:pPr>
    </w:p>
    <w:p w14:paraId="28B614C1" w14:textId="77777777" w:rsidR="007E61EC" w:rsidRPr="00CA74C4" w:rsidRDefault="007E61EC" w:rsidP="007E61EC">
      <w:pPr>
        <w:pStyle w:val="Heading4"/>
        <w:keepLines w:val="0"/>
        <w:numPr>
          <w:ilvl w:val="0"/>
          <w:numId w:val="0"/>
        </w:numPr>
        <w:spacing w:before="12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Daily System E</w:t>
      </w:r>
      <w:r w:rsidR="00212CAB">
        <w:rPr>
          <w:rFonts w:ascii="Arial" w:eastAsia="Times New Roman" w:hAnsi="Arial" w:cs="Arial"/>
          <w:i w:val="0"/>
          <w:iCs w:val="0"/>
          <w:color w:val="008576"/>
          <w:sz w:val="24"/>
          <w:szCs w:val="28"/>
        </w:rPr>
        <w:t>xit</w:t>
      </w:r>
      <w:r>
        <w:rPr>
          <w:rFonts w:ascii="Arial" w:eastAsia="Times New Roman" w:hAnsi="Arial" w:cs="Arial"/>
          <w:i w:val="0"/>
          <w:iCs w:val="0"/>
          <w:color w:val="008576"/>
          <w:sz w:val="24"/>
          <w:szCs w:val="28"/>
        </w:rPr>
        <w:t xml:space="preserve"> Capacity Auctions</w:t>
      </w:r>
    </w:p>
    <w:p w14:paraId="6C46F1F9" w14:textId="77777777" w:rsidR="00BC6F59" w:rsidRDefault="007E61EC" w:rsidP="00C83D64">
      <w:pPr>
        <w:jc w:val="both"/>
        <w:rPr>
          <w:rFonts w:cs="Arial"/>
        </w:rPr>
      </w:pPr>
      <w:r>
        <w:rPr>
          <w:rFonts w:cs="Arial"/>
        </w:rPr>
        <w:t xml:space="preserve">Whilst the </w:t>
      </w:r>
      <w:r w:rsidR="00212CAB">
        <w:rPr>
          <w:rFonts w:cs="Arial"/>
        </w:rPr>
        <w:t>Daily</w:t>
      </w:r>
      <w:r>
        <w:rPr>
          <w:rFonts w:cs="Arial"/>
        </w:rPr>
        <w:t xml:space="preserve"> Auction</w:t>
      </w:r>
      <w:r w:rsidR="00212CAB">
        <w:rPr>
          <w:rFonts w:cs="Arial"/>
        </w:rPr>
        <w:t>s</w:t>
      </w:r>
      <w:r>
        <w:rPr>
          <w:rFonts w:cs="Arial"/>
        </w:rPr>
        <w:t xml:space="preserve"> allow for capacity to be booked at the day ahead or within-day stage, thus</w:t>
      </w:r>
      <w:r w:rsidR="00B30626">
        <w:rPr>
          <w:rFonts w:cs="Arial"/>
        </w:rPr>
        <w:t xml:space="preserve"> allowing</w:t>
      </w:r>
      <w:r>
        <w:rPr>
          <w:rFonts w:cs="Arial"/>
        </w:rPr>
        <w:t xml:space="preserve"> capacity </w:t>
      </w:r>
      <w:r w:rsidR="00B30626">
        <w:rPr>
          <w:rFonts w:cs="Arial"/>
        </w:rPr>
        <w:t xml:space="preserve">to be </w:t>
      </w:r>
      <w:r w:rsidR="00200427">
        <w:rPr>
          <w:rFonts w:cs="Arial"/>
        </w:rPr>
        <w:t>booked efficiently</w:t>
      </w:r>
      <w:r w:rsidR="00B30626">
        <w:rPr>
          <w:rFonts w:cs="Arial"/>
        </w:rPr>
        <w:t xml:space="preserve"> to reflect flows</w:t>
      </w:r>
      <w:r>
        <w:rPr>
          <w:rFonts w:cs="Arial"/>
        </w:rPr>
        <w:t xml:space="preserve">, National Grid may withhold capacity from sale at the relevant </w:t>
      </w:r>
      <w:r w:rsidR="006E12E9">
        <w:rPr>
          <w:rFonts w:cs="Arial"/>
        </w:rPr>
        <w:lastRenderedPageBreak/>
        <w:t>NTS Exit Point</w:t>
      </w:r>
      <w:r>
        <w:rPr>
          <w:rFonts w:cs="Arial"/>
        </w:rPr>
        <w:t xml:space="preserve"> should it foresee a capacity constraint occurring</w:t>
      </w:r>
      <w:r>
        <w:rPr>
          <w:rStyle w:val="FootnoteReference"/>
          <w:rFonts w:cs="Arial"/>
        </w:rPr>
        <w:footnoteReference w:id="5"/>
      </w:r>
      <w:r>
        <w:rPr>
          <w:rFonts w:cs="Arial"/>
        </w:rPr>
        <w:t xml:space="preserve">. </w:t>
      </w:r>
      <w:r w:rsidR="003F7111">
        <w:rPr>
          <w:rFonts w:cs="Arial"/>
        </w:rPr>
        <w:t xml:space="preserve">We understand that </w:t>
      </w:r>
      <w:r>
        <w:rPr>
          <w:rFonts w:cs="Arial"/>
        </w:rPr>
        <w:t xml:space="preserve">National Grid </w:t>
      </w:r>
      <w:r w:rsidR="003F7111">
        <w:rPr>
          <w:rFonts w:cs="Arial"/>
        </w:rPr>
        <w:t>does not</w:t>
      </w:r>
      <w:r>
        <w:rPr>
          <w:rFonts w:cs="Arial"/>
        </w:rPr>
        <w:t xml:space="preserve"> </w:t>
      </w:r>
      <w:r w:rsidR="003F7111">
        <w:rPr>
          <w:rFonts w:cs="Arial"/>
        </w:rPr>
        <w:t xml:space="preserve">in the ordinary course </w:t>
      </w:r>
      <w:r>
        <w:rPr>
          <w:rFonts w:cs="Arial"/>
        </w:rPr>
        <w:t xml:space="preserve">notify the market of any potential scale backs ahead of time. </w:t>
      </w:r>
      <w:r w:rsidR="006E12E9">
        <w:rPr>
          <w:rFonts w:cs="Arial"/>
        </w:rPr>
        <w:t xml:space="preserve">As a result, </w:t>
      </w:r>
      <w:r w:rsidR="008775AB">
        <w:rPr>
          <w:rFonts w:cs="Arial"/>
        </w:rPr>
        <w:t>Users</w:t>
      </w:r>
      <w:r w:rsidR="006E12E9">
        <w:rPr>
          <w:rFonts w:cs="Arial"/>
        </w:rPr>
        <w:t xml:space="preserve"> are only able to “lock in” capacity for use on a day by either buying annual capacity or trust that sufficient capacity will be available on a day-ahead basis. Given the cost implications of buying annual capacity for offtakes which exhibit variable consumption patterns, this strategy is uneconomic and will impose additional costs on the customer at the associated Exit Point. </w:t>
      </w:r>
      <w:r w:rsidR="00E34E07">
        <w:rPr>
          <w:rFonts w:cs="Arial"/>
        </w:rPr>
        <w:t xml:space="preserve">However, </w:t>
      </w:r>
      <w:r w:rsidR="00B86701">
        <w:rPr>
          <w:rFonts w:cs="Arial"/>
        </w:rPr>
        <w:t xml:space="preserve">Daily </w:t>
      </w:r>
      <w:r w:rsidR="000B3598">
        <w:rPr>
          <w:rFonts w:cs="Arial"/>
        </w:rPr>
        <w:t>C</w:t>
      </w:r>
      <w:r w:rsidR="00B86701">
        <w:rPr>
          <w:rFonts w:cs="Arial"/>
        </w:rPr>
        <w:t>apacity</w:t>
      </w:r>
      <w:r w:rsidR="00702A28">
        <w:rPr>
          <w:rFonts w:cs="Arial"/>
        </w:rPr>
        <w:t xml:space="preserve"> may also be perceived as </w:t>
      </w:r>
      <w:r w:rsidR="00C47BE6">
        <w:rPr>
          <w:rFonts w:cs="Arial"/>
        </w:rPr>
        <w:t xml:space="preserve">being </w:t>
      </w:r>
      <w:r w:rsidR="00B86701">
        <w:rPr>
          <w:rFonts w:cs="Arial"/>
        </w:rPr>
        <w:t xml:space="preserve">less reliable for the reasons stated and </w:t>
      </w:r>
      <w:r w:rsidR="008775AB">
        <w:rPr>
          <w:rFonts w:cs="Arial"/>
        </w:rPr>
        <w:t>Users</w:t>
      </w:r>
      <w:r w:rsidR="00B86701">
        <w:rPr>
          <w:rFonts w:cs="Arial"/>
        </w:rPr>
        <w:t xml:space="preserve"> and their customers may prefer </w:t>
      </w:r>
      <w:r w:rsidR="00702A28">
        <w:rPr>
          <w:rFonts w:cs="Arial"/>
        </w:rPr>
        <w:t>to manage this risk by</w:t>
      </w:r>
      <w:r w:rsidR="00B86701">
        <w:rPr>
          <w:rFonts w:cs="Arial"/>
        </w:rPr>
        <w:t xml:space="preserve"> acquir</w:t>
      </w:r>
      <w:r w:rsidR="00702A28">
        <w:rPr>
          <w:rFonts w:cs="Arial"/>
        </w:rPr>
        <w:t>ing</w:t>
      </w:r>
      <w:r w:rsidR="00B86701">
        <w:rPr>
          <w:rFonts w:cs="Arial"/>
        </w:rPr>
        <w:t xml:space="preserve"> capacity for a duration longer than a day while “locking in” capacity in advance of day ahead.</w:t>
      </w:r>
    </w:p>
    <w:p w14:paraId="78BDD0B2" w14:textId="77777777" w:rsidR="00733372" w:rsidRDefault="00733372" w:rsidP="00C83D64">
      <w:pPr>
        <w:jc w:val="both"/>
        <w:rPr>
          <w:rFonts w:cs="Arial"/>
        </w:rPr>
      </w:pPr>
      <w:r>
        <w:rPr>
          <w:rFonts w:cs="Arial"/>
        </w:rPr>
        <w:t xml:space="preserve">Further, the current limitation of short-term products to daily capacity only is unnecessarily restrictive and out of kilter with the entry capacity regime. Although a monthly Exit Capacity product is unlikely to secure much support, a weekly product will, in some cases, align with customer consumption forecasts. A weekly booking cycle will reduce the administrative burdens imposed on </w:t>
      </w:r>
      <w:r w:rsidR="008775AB">
        <w:rPr>
          <w:rFonts w:cs="Arial"/>
        </w:rPr>
        <w:t>Users</w:t>
      </w:r>
      <w:r>
        <w:rPr>
          <w:rFonts w:cs="Arial"/>
        </w:rPr>
        <w:t xml:space="preserve"> (in booking daily capacity) and, as a result of reduced manual interventions, lead to less booking errors.</w:t>
      </w:r>
    </w:p>
    <w:p w14:paraId="24FC2497" w14:textId="77777777" w:rsidR="00B86701" w:rsidRPr="0019312D" w:rsidRDefault="00B86701" w:rsidP="00C83D64">
      <w:pPr>
        <w:jc w:val="both"/>
        <w:rPr>
          <w:rFonts w:cs="Arial"/>
          <w:b/>
          <w:bCs/>
          <w:color w:val="008576"/>
          <w:sz w:val="24"/>
          <w:szCs w:val="28"/>
        </w:rPr>
      </w:pPr>
      <w:r w:rsidRPr="0019312D">
        <w:rPr>
          <w:rFonts w:cs="Arial"/>
          <w:b/>
          <w:bCs/>
          <w:color w:val="008576"/>
          <w:sz w:val="24"/>
          <w:szCs w:val="28"/>
        </w:rPr>
        <w:t xml:space="preserve">Shipper and </w:t>
      </w:r>
      <w:r>
        <w:rPr>
          <w:rFonts w:cs="Arial"/>
          <w:b/>
          <w:bCs/>
          <w:color w:val="008576"/>
          <w:sz w:val="24"/>
          <w:szCs w:val="28"/>
        </w:rPr>
        <w:t>customer</w:t>
      </w:r>
      <w:r w:rsidRPr="0019312D">
        <w:rPr>
          <w:rFonts w:cs="Arial"/>
          <w:b/>
          <w:bCs/>
          <w:color w:val="008576"/>
          <w:sz w:val="24"/>
          <w:szCs w:val="28"/>
        </w:rPr>
        <w:t xml:space="preserve"> benefits</w:t>
      </w:r>
    </w:p>
    <w:p w14:paraId="78148C4B" w14:textId="77777777" w:rsidR="00B86701" w:rsidRDefault="00B86701" w:rsidP="00C83D64">
      <w:pPr>
        <w:jc w:val="both"/>
        <w:rPr>
          <w:rFonts w:cs="Arial"/>
        </w:rPr>
      </w:pPr>
      <w:r>
        <w:rPr>
          <w:rFonts w:cs="Arial"/>
        </w:rPr>
        <w:t xml:space="preserve">Weekly </w:t>
      </w:r>
      <w:r w:rsidR="00212CAB">
        <w:rPr>
          <w:rFonts w:cs="Arial"/>
        </w:rPr>
        <w:t>E</w:t>
      </w:r>
      <w:r>
        <w:rPr>
          <w:rFonts w:cs="Arial"/>
        </w:rPr>
        <w:t xml:space="preserve">xit </w:t>
      </w:r>
      <w:r w:rsidR="00212CAB">
        <w:rPr>
          <w:rFonts w:cs="Arial"/>
        </w:rPr>
        <w:t>C</w:t>
      </w:r>
      <w:r>
        <w:rPr>
          <w:rFonts w:cs="Arial"/>
        </w:rPr>
        <w:t xml:space="preserve">apacity products will provide the following benefits to </w:t>
      </w:r>
      <w:r w:rsidR="008775AB">
        <w:rPr>
          <w:rFonts w:cs="Arial"/>
        </w:rPr>
        <w:t>Users</w:t>
      </w:r>
      <w:r>
        <w:rPr>
          <w:rFonts w:cs="Arial"/>
        </w:rPr>
        <w:t xml:space="preserve"> and consumers:</w:t>
      </w:r>
    </w:p>
    <w:p w14:paraId="47571879" w14:textId="77777777" w:rsidR="00B86701" w:rsidRDefault="00B86701" w:rsidP="00B86701">
      <w:pPr>
        <w:numPr>
          <w:ilvl w:val="0"/>
          <w:numId w:val="47"/>
        </w:numPr>
        <w:jc w:val="both"/>
        <w:rPr>
          <w:rFonts w:cs="Arial"/>
        </w:rPr>
      </w:pPr>
      <w:r>
        <w:rPr>
          <w:rFonts w:cs="Arial"/>
        </w:rPr>
        <w:t>Reduce availability risk of relying on day ahead capacity products</w:t>
      </w:r>
    </w:p>
    <w:p w14:paraId="7352C447" w14:textId="77777777" w:rsidR="00B86701" w:rsidRDefault="00B86701" w:rsidP="00B86701">
      <w:pPr>
        <w:numPr>
          <w:ilvl w:val="0"/>
          <w:numId w:val="47"/>
        </w:numPr>
        <w:jc w:val="both"/>
        <w:rPr>
          <w:rFonts w:cs="Arial"/>
        </w:rPr>
      </w:pPr>
      <w:r>
        <w:rPr>
          <w:rFonts w:cs="Arial"/>
        </w:rPr>
        <w:t>Align with anticipated offtake forecasts and internal planning processes</w:t>
      </w:r>
    </w:p>
    <w:p w14:paraId="4940CE54" w14:textId="77777777" w:rsidR="00B86701" w:rsidRDefault="00B86701" w:rsidP="0019312D">
      <w:pPr>
        <w:numPr>
          <w:ilvl w:val="0"/>
          <w:numId w:val="47"/>
        </w:numPr>
        <w:jc w:val="both"/>
        <w:rPr>
          <w:rFonts w:cs="Arial"/>
        </w:rPr>
      </w:pPr>
      <w:r>
        <w:rPr>
          <w:rFonts w:cs="Arial"/>
        </w:rPr>
        <w:t>Reduce administrative costs and potential errors associated with running daily booking processes (resulting in, for example</w:t>
      </w:r>
      <w:r w:rsidR="00733372">
        <w:rPr>
          <w:rFonts w:cs="Arial"/>
        </w:rPr>
        <w:t xml:space="preserve">, </w:t>
      </w:r>
      <w:r w:rsidR="004B7EB0">
        <w:rPr>
          <w:rFonts w:cs="Arial"/>
        </w:rPr>
        <w:t>E</w:t>
      </w:r>
      <w:r w:rsidR="00733372">
        <w:rPr>
          <w:rFonts w:cs="Arial"/>
        </w:rPr>
        <w:t xml:space="preserve">xit </w:t>
      </w:r>
      <w:r w:rsidR="004B7EB0">
        <w:rPr>
          <w:rFonts w:cs="Arial"/>
        </w:rPr>
        <w:t>C</w:t>
      </w:r>
      <w:r w:rsidR="00733372">
        <w:rPr>
          <w:rFonts w:cs="Arial"/>
        </w:rPr>
        <w:t>apacity</w:t>
      </w:r>
      <w:r>
        <w:rPr>
          <w:rFonts w:cs="Arial"/>
        </w:rPr>
        <w:t xml:space="preserve"> overruns)</w:t>
      </w:r>
    </w:p>
    <w:p w14:paraId="56385424" w14:textId="77777777" w:rsidR="00702A28" w:rsidRDefault="00702A28" w:rsidP="0019312D">
      <w:pPr>
        <w:numPr>
          <w:ilvl w:val="0"/>
          <w:numId w:val="47"/>
        </w:numPr>
        <w:jc w:val="both"/>
        <w:rPr>
          <w:rFonts w:cs="Arial"/>
        </w:rPr>
      </w:pPr>
      <w:r>
        <w:rPr>
          <w:rFonts w:cs="Arial"/>
        </w:rPr>
        <w:t>Increase National Grid visibility of week ahead bookings</w:t>
      </w:r>
    </w:p>
    <w:p w14:paraId="4A00CAEF" w14:textId="77777777" w:rsidR="00F20FAB" w:rsidRPr="00CA74C4" w:rsidRDefault="00F20FAB" w:rsidP="00CF2DDB">
      <w:pPr>
        <w:pStyle w:val="Heading02"/>
      </w:pPr>
      <w:bookmarkStart w:id="4" w:name="_Toc318966120"/>
      <w:r w:rsidRPr="00CA74C4">
        <w:t>Code Specific Matters</w:t>
      </w:r>
      <w:bookmarkEnd w:id="4"/>
    </w:p>
    <w:p w14:paraId="1B761535" w14:textId="77777777"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bookmarkStart w:id="5" w:name="_Toc318966121"/>
      <w:r w:rsidRPr="00CA74C4">
        <w:rPr>
          <w:rFonts w:ascii="Arial" w:eastAsia="Times New Roman" w:hAnsi="Arial" w:cs="Arial"/>
          <w:i w:val="0"/>
          <w:iCs w:val="0"/>
          <w:color w:val="008576"/>
          <w:sz w:val="24"/>
        </w:rPr>
        <w:t>Reference Documents</w:t>
      </w:r>
    </w:p>
    <w:p w14:paraId="1C1858B0" w14:textId="77777777" w:rsidR="00045F75" w:rsidRDefault="007E61EC" w:rsidP="00045F75">
      <w:pPr>
        <w:rPr>
          <w:rFonts w:cs="Arial"/>
          <w:szCs w:val="20"/>
        </w:rPr>
      </w:pPr>
      <w:r>
        <w:rPr>
          <w:rFonts w:cs="Arial"/>
          <w:szCs w:val="20"/>
        </w:rPr>
        <w:t xml:space="preserve">UNC TPD Section B: </w:t>
      </w:r>
      <w:hyperlink r:id="rId24" w:history="1">
        <w:r w:rsidRPr="00520EDE">
          <w:rPr>
            <w:rStyle w:val="Hyperlink"/>
            <w:rFonts w:cs="Arial"/>
            <w:szCs w:val="20"/>
          </w:rPr>
          <w:t>https://www.gasgovernance.co.uk/sites/default/files/ggf/page/2020-12/4%20TPD%20Section%20B%20-%20System%20Use%20%26%20Capacity_0.pdf</w:t>
        </w:r>
      </w:hyperlink>
      <w:r>
        <w:rPr>
          <w:rFonts w:cs="Arial"/>
          <w:szCs w:val="20"/>
        </w:rPr>
        <w:t xml:space="preserve"> </w:t>
      </w:r>
    </w:p>
    <w:p w14:paraId="6D0F27E2" w14:textId="77777777" w:rsidR="007E61EC" w:rsidRDefault="007E61EC" w:rsidP="00045F75">
      <w:pPr>
        <w:rPr>
          <w:rFonts w:cs="Arial"/>
          <w:szCs w:val="20"/>
        </w:rPr>
      </w:pPr>
      <w:r>
        <w:rPr>
          <w:rFonts w:cs="Arial"/>
          <w:szCs w:val="20"/>
        </w:rPr>
        <w:t>E</w:t>
      </w:r>
      <w:r w:rsidR="00212CAB">
        <w:rPr>
          <w:rFonts w:cs="Arial"/>
          <w:szCs w:val="20"/>
        </w:rPr>
        <w:t>xit</w:t>
      </w:r>
      <w:r>
        <w:rPr>
          <w:rFonts w:cs="Arial"/>
          <w:szCs w:val="20"/>
        </w:rPr>
        <w:t xml:space="preserve"> Capacity Release Methodology</w:t>
      </w:r>
      <w:r w:rsidR="003B5258">
        <w:rPr>
          <w:rFonts w:cs="Arial"/>
          <w:szCs w:val="20"/>
        </w:rPr>
        <w:t xml:space="preserve"> Statement</w:t>
      </w:r>
      <w:r>
        <w:rPr>
          <w:rFonts w:cs="Arial"/>
          <w:szCs w:val="20"/>
        </w:rPr>
        <w:t xml:space="preserve">: </w:t>
      </w:r>
      <w:hyperlink r:id="rId25" w:history="1">
        <w:r w:rsidR="00212CAB" w:rsidRPr="00B63105">
          <w:rPr>
            <w:rStyle w:val="Hyperlink"/>
            <w:rFonts w:cs="Arial"/>
            <w:szCs w:val="20"/>
          </w:rPr>
          <w:t>https://www.nationalgrid.com/uk/gas-transmission/uk/electricity-transmission/document/135876/download</w:t>
        </w:r>
      </w:hyperlink>
      <w:r w:rsidR="00212CAB">
        <w:rPr>
          <w:rFonts w:cs="Arial"/>
          <w:szCs w:val="20"/>
        </w:rPr>
        <w:t xml:space="preserve"> </w:t>
      </w:r>
    </w:p>
    <w:p w14:paraId="797A0208" w14:textId="77777777" w:rsidR="00045F75"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Knowledge/Skills</w:t>
      </w:r>
    </w:p>
    <w:p w14:paraId="58ACF3B3" w14:textId="77777777" w:rsidR="007008A3" w:rsidRPr="007008A3" w:rsidRDefault="007008A3" w:rsidP="007008A3">
      <w:r w:rsidRPr="007008A3">
        <w:t>No additional knowledge or skills required.</w:t>
      </w:r>
    </w:p>
    <w:p w14:paraId="7E0E1189" w14:textId="77777777" w:rsidR="00985FC1" w:rsidRPr="00CA74C4" w:rsidRDefault="00AF5B6E" w:rsidP="00CF2DDB">
      <w:pPr>
        <w:pStyle w:val="Heading02"/>
      </w:pPr>
      <w:r w:rsidRPr="00CA74C4">
        <w:t>Solution</w:t>
      </w:r>
      <w:bookmarkEnd w:id="5"/>
    </w:p>
    <w:p w14:paraId="7CC3AA1B" w14:textId="77777777" w:rsidR="006E035D" w:rsidRDefault="00B30B77" w:rsidP="00C83D64">
      <w:pPr>
        <w:jc w:val="both"/>
        <w:rPr>
          <w:rFonts w:cs="Arial"/>
        </w:rPr>
      </w:pPr>
      <w:bookmarkStart w:id="6" w:name="_Toc318966122"/>
      <w:r>
        <w:rPr>
          <w:rFonts w:cs="Arial"/>
        </w:rPr>
        <w:t>For this Modification to be implemented the provisions for a Weekly NTS E</w:t>
      </w:r>
      <w:r w:rsidR="00FF60B4">
        <w:rPr>
          <w:rFonts w:cs="Arial"/>
        </w:rPr>
        <w:t>xit</w:t>
      </w:r>
      <w:r>
        <w:rPr>
          <w:rFonts w:cs="Arial"/>
        </w:rPr>
        <w:t xml:space="preserve"> Capacity Auction would need to be included within UNC T</w:t>
      </w:r>
      <w:r w:rsidR="004B7EB0">
        <w:rPr>
          <w:rFonts w:cs="Arial"/>
        </w:rPr>
        <w:t xml:space="preserve">ransportation </w:t>
      </w:r>
      <w:r>
        <w:rPr>
          <w:rFonts w:cs="Arial"/>
        </w:rPr>
        <w:t>P</w:t>
      </w:r>
      <w:r w:rsidR="004B7EB0">
        <w:rPr>
          <w:rFonts w:cs="Arial"/>
        </w:rPr>
        <w:t xml:space="preserve">rincipal </w:t>
      </w:r>
      <w:r>
        <w:rPr>
          <w:rFonts w:cs="Arial"/>
        </w:rPr>
        <w:t>D</w:t>
      </w:r>
      <w:r w:rsidR="004B7EB0">
        <w:rPr>
          <w:rFonts w:cs="Arial"/>
        </w:rPr>
        <w:t>ocument (TPD)</w:t>
      </w:r>
      <w:r>
        <w:rPr>
          <w:rFonts w:cs="Arial"/>
        </w:rPr>
        <w:t xml:space="preserve"> Section B, including:</w:t>
      </w:r>
    </w:p>
    <w:p w14:paraId="7961B907" w14:textId="77777777" w:rsidR="00B30B77" w:rsidRDefault="00B30B77" w:rsidP="00C83D64">
      <w:pPr>
        <w:numPr>
          <w:ilvl w:val="0"/>
          <w:numId w:val="43"/>
        </w:numPr>
        <w:jc w:val="both"/>
        <w:rPr>
          <w:rFonts w:cs="Arial"/>
        </w:rPr>
      </w:pPr>
      <w:r>
        <w:rPr>
          <w:rFonts w:cs="Arial"/>
        </w:rPr>
        <w:lastRenderedPageBreak/>
        <w:t>The capacity available at the Weekly NTS E</w:t>
      </w:r>
      <w:r w:rsidR="00FF60B4">
        <w:rPr>
          <w:rFonts w:cs="Arial"/>
        </w:rPr>
        <w:t>xit</w:t>
      </w:r>
      <w:r>
        <w:rPr>
          <w:rFonts w:cs="Arial"/>
        </w:rPr>
        <w:t xml:space="preserve"> Capacity auction is</w:t>
      </w:r>
      <w:r w:rsidR="00FF60B4">
        <w:rPr>
          <w:rFonts w:cs="Arial"/>
        </w:rPr>
        <w:t xml:space="preserve"> any Obligated Exit Capacity at any NTS Exit Point that has not previously been allocated as Enduring Annual NTS Exit (Flat) Capacity or Annual NTS Exit (Flat) Capacity.</w:t>
      </w:r>
    </w:p>
    <w:p w14:paraId="35043F0D" w14:textId="77777777" w:rsidR="00B30B77" w:rsidRDefault="00B30B77" w:rsidP="00C83D64">
      <w:pPr>
        <w:numPr>
          <w:ilvl w:val="0"/>
          <w:numId w:val="43"/>
        </w:numPr>
        <w:jc w:val="both"/>
        <w:rPr>
          <w:rFonts w:cs="Arial"/>
        </w:rPr>
      </w:pPr>
      <w:r>
        <w:rPr>
          <w:rFonts w:cs="Arial"/>
        </w:rPr>
        <w:t>The Weekly NTS E</w:t>
      </w:r>
      <w:r w:rsidR="001167CD">
        <w:rPr>
          <w:rFonts w:cs="Arial"/>
        </w:rPr>
        <w:t>xit</w:t>
      </w:r>
      <w:r>
        <w:rPr>
          <w:rFonts w:cs="Arial"/>
        </w:rPr>
        <w:t xml:space="preserve"> Capacity auction would take place between 08:00 and 17:00 at D-</w:t>
      </w:r>
      <w:r w:rsidR="001167CD">
        <w:rPr>
          <w:rFonts w:cs="Arial"/>
        </w:rPr>
        <w:t>5</w:t>
      </w:r>
      <w:r>
        <w:rPr>
          <w:rFonts w:cs="Arial"/>
        </w:rPr>
        <w:t xml:space="preserve"> (where D is the first gas day of the weekly period, being a Monday). </w:t>
      </w:r>
    </w:p>
    <w:p w14:paraId="7EF392C9" w14:textId="77777777" w:rsidR="00B30B77" w:rsidRDefault="00B30B77" w:rsidP="00C83D64">
      <w:pPr>
        <w:numPr>
          <w:ilvl w:val="0"/>
          <w:numId w:val="43"/>
        </w:numPr>
        <w:jc w:val="both"/>
        <w:rPr>
          <w:rFonts w:cs="Arial"/>
        </w:rPr>
      </w:pPr>
      <w:r>
        <w:rPr>
          <w:rFonts w:cs="Arial"/>
        </w:rPr>
        <w:t>The Weekly NTS E</w:t>
      </w:r>
      <w:r w:rsidR="001167CD">
        <w:rPr>
          <w:rFonts w:cs="Arial"/>
        </w:rPr>
        <w:t>xit</w:t>
      </w:r>
      <w:r>
        <w:rPr>
          <w:rFonts w:cs="Arial"/>
        </w:rPr>
        <w:t xml:space="preserve"> Capacity would be allocated by D-</w:t>
      </w:r>
      <w:r w:rsidR="001167CD">
        <w:rPr>
          <w:rFonts w:cs="Arial"/>
        </w:rPr>
        <w:t>4</w:t>
      </w:r>
      <w:r>
        <w:rPr>
          <w:rFonts w:cs="Arial"/>
        </w:rPr>
        <w:t xml:space="preserve">. For the avoidance of doubt, </w:t>
      </w:r>
      <w:r w:rsidR="001167CD">
        <w:rPr>
          <w:rFonts w:cs="Arial"/>
        </w:rPr>
        <w:t xml:space="preserve">any unsold capacity would be included in the volume to </w:t>
      </w:r>
      <w:r w:rsidR="0019312D">
        <w:rPr>
          <w:rFonts w:cs="Arial"/>
        </w:rPr>
        <w:t xml:space="preserve">be </w:t>
      </w:r>
      <w:r w:rsidR="001167CD">
        <w:rPr>
          <w:rFonts w:cs="Arial"/>
        </w:rPr>
        <w:t>released via the Daily NTS Exit (Flat) Capacity auctions.</w:t>
      </w:r>
    </w:p>
    <w:p w14:paraId="61532AA5" w14:textId="77777777" w:rsidR="00D46435" w:rsidRDefault="00D46435" w:rsidP="00C83D64">
      <w:pPr>
        <w:numPr>
          <w:ilvl w:val="0"/>
          <w:numId w:val="43"/>
        </w:numPr>
        <w:jc w:val="both"/>
        <w:rPr>
          <w:rFonts w:cs="Arial"/>
        </w:rPr>
      </w:pPr>
      <w:r>
        <w:rPr>
          <w:rFonts w:cs="Arial"/>
        </w:rPr>
        <w:t xml:space="preserve">Where a </w:t>
      </w:r>
      <w:r w:rsidR="00DD1D57">
        <w:rPr>
          <w:rFonts w:cs="Arial"/>
        </w:rPr>
        <w:t xml:space="preserve">weekly period </w:t>
      </w:r>
      <w:r>
        <w:rPr>
          <w:rFonts w:cs="Arial"/>
        </w:rPr>
        <w:t xml:space="preserve">crosses two Gas Years, then the prevailing price on </w:t>
      </w:r>
      <w:r w:rsidR="006A7C9E">
        <w:rPr>
          <w:rFonts w:cs="Arial"/>
        </w:rPr>
        <w:t>each</w:t>
      </w:r>
      <w:r>
        <w:rPr>
          <w:rFonts w:cs="Arial"/>
        </w:rPr>
        <w:t xml:space="preserve"> </w:t>
      </w:r>
      <w:r w:rsidR="007659BC">
        <w:rPr>
          <w:rFonts w:cs="Arial"/>
        </w:rPr>
        <w:t>relevant</w:t>
      </w:r>
      <w:r>
        <w:rPr>
          <w:rFonts w:cs="Arial"/>
        </w:rPr>
        <w:t xml:space="preserve"> day will be </w:t>
      </w:r>
      <w:r w:rsidR="006A7C9E">
        <w:rPr>
          <w:rFonts w:cs="Arial"/>
        </w:rPr>
        <w:t>used</w:t>
      </w:r>
      <w:r>
        <w:rPr>
          <w:rFonts w:cs="Arial"/>
        </w:rPr>
        <w:t>. For example, week commencing 27</w:t>
      </w:r>
      <w:r w:rsidRPr="0067489B">
        <w:rPr>
          <w:rFonts w:cs="Arial"/>
          <w:vertAlign w:val="superscript"/>
        </w:rPr>
        <w:t>th</w:t>
      </w:r>
      <w:r>
        <w:rPr>
          <w:rFonts w:cs="Arial"/>
        </w:rPr>
        <w:t xml:space="preserve"> September 2021 </w:t>
      </w:r>
      <w:r w:rsidR="00DD1D57">
        <w:rPr>
          <w:rFonts w:cs="Arial"/>
        </w:rPr>
        <w:t>crosses the 2020/21 and 2021/22 Gas Year. In this example, 27</w:t>
      </w:r>
      <w:r w:rsidR="00DD1D57" w:rsidRPr="0067489B">
        <w:rPr>
          <w:rFonts w:cs="Arial"/>
          <w:vertAlign w:val="superscript"/>
        </w:rPr>
        <w:t>th</w:t>
      </w:r>
      <w:r w:rsidR="00DD1D57">
        <w:rPr>
          <w:rFonts w:cs="Arial"/>
        </w:rPr>
        <w:t>, 28</w:t>
      </w:r>
      <w:r w:rsidR="00DD1D57" w:rsidRPr="0067489B">
        <w:rPr>
          <w:rFonts w:cs="Arial"/>
          <w:vertAlign w:val="superscript"/>
        </w:rPr>
        <w:t>th</w:t>
      </w:r>
      <w:r w:rsidR="00DD1D57">
        <w:rPr>
          <w:rFonts w:cs="Arial"/>
        </w:rPr>
        <w:t>, 29</w:t>
      </w:r>
      <w:r w:rsidR="00DD1D57" w:rsidRPr="0067489B">
        <w:rPr>
          <w:rFonts w:cs="Arial"/>
          <w:vertAlign w:val="superscript"/>
        </w:rPr>
        <w:t>th</w:t>
      </w:r>
      <w:r w:rsidR="00DD1D57">
        <w:rPr>
          <w:rFonts w:cs="Arial"/>
        </w:rPr>
        <w:t xml:space="preserve"> and 30</w:t>
      </w:r>
      <w:r w:rsidR="00DD1D57" w:rsidRPr="0067489B">
        <w:rPr>
          <w:rFonts w:cs="Arial"/>
          <w:vertAlign w:val="superscript"/>
        </w:rPr>
        <w:t>th</w:t>
      </w:r>
      <w:r w:rsidR="00DD1D57">
        <w:rPr>
          <w:rFonts w:cs="Arial"/>
        </w:rPr>
        <w:t xml:space="preserve"> September would be charged at the 2020/21 reserve price </w:t>
      </w:r>
      <w:r w:rsidR="006A7C9E">
        <w:rPr>
          <w:rFonts w:cs="Arial"/>
        </w:rPr>
        <w:t xml:space="preserve">whilst </w:t>
      </w:r>
      <w:r w:rsidR="00DD1D57">
        <w:rPr>
          <w:rFonts w:cs="Arial"/>
        </w:rPr>
        <w:t>the 1</w:t>
      </w:r>
      <w:r w:rsidR="00DD1D57" w:rsidRPr="0067489B">
        <w:rPr>
          <w:rFonts w:cs="Arial"/>
          <w:vertAlign w:val="superscript"/>
        </w:rPr>
        <w:t>st</w:t>
      </w:r>
      <w:r w:rsidR="00DD1D57">
        <w:rPr>
          <w:rFonts w:cs="Arial"/>
        </w:rPr>
        <w:t>, 2</w:t>
      </w:r>
      <w:r w:rsidR="00DD1D57" w:rsidRPr="0067489B">
        <w:rPr>
          <w:rFonts w:cs="Arial"/>
          <w:vertAlign w:val="superscript"/>
        </w:rPr>
        <w:t>nd</w:t>
      </w:r>
      <w:r w:rsidR="00DD1D57">
        <w:rPr>
          <w:rFonts w:cs="Arial"/>
        </w:rPr>
        <w:t xml:space="preserve"> and 3</w:t>
      </w:r>
      <w:r w:rsidR="00DD1D57" w:rsidRPr="0067489B">
        <w:rPr>
          <w:rFonts w:cs="Arial"/>
          <w:vertAlign w:val="superscript"/>
        </w:rPr>
        <w:t>rd</w:t>
      </w:r>
      <w:r w:rsidR="00DD1D57">
        <w:rPr>
          <w:rFonts w:cs="Arial"/>
        </w:rPr>
        <w:t xml:space="preserve"> October would be charged </w:t>
      </w:r>
      <w:r w:rsidR="006A7C9E">
        <w:rPr>
          <w:rFonts w:cs="Arial"/>
        </w:rPr>
        <w:t>at</w:t>
      </w:r>
      <w:r w:rsidR="00DD1D57">
        <w:rPr>
          <w:rFonts w:cs="Arial"/>
        </w:rPr>
        <w:t xml:space="preserve"> the 2021/22 reserve price.</w:t>
      </w:r>
      <w:r w:rsidR="005E0689">
        <w:rPr>
          <w:rFonts w:cs="Arial"/>
        </w:rPr>
        <w:t xml:space="preserve"> Where a weekly period </w:t>
      </w:r>
      <w:r w:rsidR="00BE5EDF">
        <w:rPr>
          <w:rFonts w:cs="Arial"/>
        </w:rPr>
        <w:t xml:space="preserve">does cross </w:t>
      </w:r>
      <w:r w:rsidR="005E0689">
        <w:rPr>
          <w:rFonts w:cs="Arial"/>
        </w:rPr>
        <w:t>two Gas Year</w:t>
      </w:r>
      <w:r w:rsidR="00BE5EDF">
        <w:rPr>
          <w:rFonts w:cs="Arial"/>
        </w:rPr>
        <w:t>s</w:t>
      </w:r>
      <w:r w:rsidR="005E0689">
        <w:rPr>
          <w:rFonts w:cs="Arial"/>
        </w:rPr>
        <w:t xml:space="preserve"> then </w:t>
      </w:r>
      <w:r w:rsidR="002A0154">
        <w:rPr>
          <w:rFonts w:cs="Arial"/>
        </w:rPr>
        <w:t>National Grid</w:t>
      </w:r>
      <w:r w:rsidR="005E0689">
        <w:rPr>
          <w:rFonts w:cs="Arial"/>
        </w:rPr>
        <w:t xml:space="preserve"> will </w:t>
      </w:r>
      <w:r w:rsidR="00BE5EDF">
        <w:rPr>
          <w:rFonts w:cs="Arial"/>
        </w:rPr>
        <w:t xml:space="preserve">notify Users </w:t>
      </w:r>
      <w:r w:rsidR="00F84719">
        <w:rPr>
          <w:rFonts w:cs="Arial"/>
        </w:rPr>
        <w:t>5 business days before the auction is due to take place.</w:t>
      </w:r>
    </w:p>
    <w:p w14:paraId="4E97DF12" w14:textId="77777777" w:rsidR="00C36B8A" w:rsidRDefault="00B072FE" w:rsidP="00C83D64">
      <w:pPr>
        <w:numPr>
          <w:ilvl w:val="0"/>
          <w:numId w:val="43"/>
        </w:numPr>
        <w:jc w:val="both"/>
        <w:rPr>
          <w:rFonts w:cs="Arial"/>
        </w:rPr>
      </w:pPr>
      <w:r>
        <w:rPr>
          <w:rFonts w:cs="Arial"/>
        </w:rPr>
        <w:t>For the avoid</w:t>
      </w:r>
      <w:r w:rsidR="003059C3">
        <w:rPr>
          <w:rFonts w:cs="Arial"/>
        </w:rPr>
        <w:t>ance</w:t>
      </w:r>
      <w:r>
        <w:rPr>
          <w:rFonts w:cs="Arial"/>
        </w:rPr>
        <w:t xml:space="preserve"> of doubt, </w:t>
      </w:r>
      <w:r w:rsidR="00D46435">
        <w:rPr>
          <w:rFonts w:cs="Arial"/>
        </w:rPr>
        <w:t xml:space="preserve">upon implementation the prevailing </w:t>
      </w:r>
      <w:r w:rsidR="007659BC">
        <w:rPr>
          <w:rFonts w:cs="Arial"/>
        </w:rPr>
        <w:t xml:space="preserve">Reserve Price </w:t>
      </w:r>
      <w:r w:rsidR="00E30556">
        <w:rPr>
          <w:rFonts w:cs="Arial"/>
        </w:rPr>
        <w:t xml:space="preserve">and </w:t>
      </w:r>
      <w:r w:rsidR="00D46435">
        <w:rPr>
          <w:rFonts w:cs="Arial"/>
        </w:rPr>
        <w:t>a</w:t>
      </w:r>
      <w:r w:rsidR="00E30556">
        <w:rPr>
          <w:rFonts w:cs="Arial"/>
        </w:rPr>
        <w:t xml:space="preserve"> </w:t>
      </w:r>
      <w:r w:rsidR="007659BC">
        <w:rPr>
          <w:rFonts w:cs="Arial"/>
        </w:rPr>
        <w:t>Duration Multiplier</w:t>
      </w:r>
      <w:r w:rsidR="00D46435">
        <w:rPr>
          <w:rFonts w:cs="Arial"/>
        </w:rPr>
        <w:t xml:space="preserve"> </w:t>
      </w:r>
      <w:r w:rsidR="00E30556">
        <w:rPr>
          <w:rFonts w:cs="Arial"/>
        </w:rPr>
        <w:t xml:space="preserve">of </w:t>
      </w:r>
      <w:r w:rsidR="00F27854">
        <w:rPr>
          <w:rFonts w:cs="Arial"/>
        </w:rPr>
        <w:t>one (1)</w:t>
      </w:r>
      <w:r w:rsidR="00D46435">
        <w:rPr>
          <w:rFonts w:cs="Arial"/>
        </w:rPr>
        <w:t xml:space="preserve"> (</w:t>
      </w:r>
      <w:r>
        <w:rPr>
          <w:rFonts w:cs="Arial"/>
        </w:rPr>
        <w:t xml:space="preserve">as </w:t>
      </w:r>
      <w:r w:rsidR="00D46435">
        <w:rPr>
          <w:rFonts w:cs="Arial"/>
        </w:rPr>
        <w:t>prescribed with</w:t>
      </w:r>
      <w:r>
        <w:rPr>
          <w:rFonts w:cs="Arial"/>
        </w:rPr>
        <w:t>in UNC TPD Section Y</w:t>
      </w:r>
      <w:r w:rsidR="00E30556">
        <w:rPr>
          <w:rFonts w:cs="Arial"/>
        </w:rPr>
        <w:t xml:space="preserve"> for the current NTS Auctions</w:t>
      </w:r>
      <w:r w:rsidR="00D46435">
        <w:rPr>
          <w:rFonts w:cs="Arial"/>
        </w:rPr>
        <w:t>) will be applied to the Weekly NTS E</w:t>
      </w:r>
      <w:r w:rsidR="001167CD">
        <w:rPr>
          <w:rFonts w:cs="Arial"/>
        </w:rPr>
        <w:t>xit</w:t>
      </w:r>
      <w:r w:rsidR="00D46435">
        <w:rPr>
          <w:rFonts w:cs="Arial"/>
        </w:rPr>
        <w:t xml:space="preserve"> Capacity Auctions</w:t>
      </w:r>
      <w:r>
        <w:rPr>
          <w:rFonts w:cs="Arial"/>
        </w:rPr>
        <w:t>.</w:t>
      </w:r>
    </w:p>
    <w:p w14:paraId="33559B4B" w14:textId="77777777" w:rsidR="00C36B8A" w:rsidRPr="006E3C00" w:rsidRDefault="00C36B8A" w:rsidP="0004596E">
      <w:pPr>
        <w:numPr>
          <w:ilvl w:val="0"/>
          <w:numId w:val="43"/>
        </w:numPr>
        <w:jc w:val="both"/>
        <w:rPr>
          <w:rFonts w:cs="Arial"/>
        </w:rPr>
      </w:pPr>
      <w:r w:rsidRPr="006E3C00">
        <w:t xml:space="preserve">For the avoidance of doubt, </w:t>
      </w:r>
      <w:r w:rsidR="0096799B" w:rsidRPr="006E3C00">
        <w:t>t</w:t>
      </w:r>
      <w:r w:rsidRPr="006E3C00">
        <w:t>he amendments to the UNC as proposed in this Mod</w:t>
      </w:r>
      <w:r w:rsidR="0053599D" w:rsidRPr="006E3C00">
        <w:t>ification</w:t>
      </w:r>
      <w:r w:rsidRPr="006E3C00">
        <w:t xml:space="preserve"> shall not be applicable to interconnection points (“IPs”). The revised CAM Regulation (as retained in UK law in accordance with the European Union (Withdrawal) Act 2018 and amended by the Gas (Security of Supply and Network Codes) (Amendment) (EU Exit) Regulations 2019) governs the offering of capacity products at UK IPs. A weekly capacity product is not envisaged by the CAM Regulation. In order to permit the offering at IPs of weekly capacity products, the CAM Regulation would need to be amended, which would be a legislative process; authorising the offering of this new product at IPs is beyond the permitted scope of the UNC and therefore would not be achievable through a modification to the UNC.  While the Mod</w:t>
      </w:r>
      <w:r w:rsidR="0053599D" w:rsidRPr="006E3C00">
        <w:t>ification</w:t>
      </w:r>
      <w:r w:rsidRPr="006E3C00">
        <w:t xml:space="preserve"> may therefore result in differences between capacity products offered at IPs and non-I</w:t>
      </w:r>
      <w:r w:rsidR="008775AB">
        <w:t>Ps</w:t>
      </w:r>
      <w:r w:rsidRPr="006E3C00">
        <w:t>, this is reflective of the extent of the amendments that can be made by way of UNC amendment.</w:t>
      </w:r>
      <w:r w:rsidR="008775AB">
        <w:t xml:space="preserve"> It is also consistent with the implementation of UNC Modification 0752S.</w:t>
      </w:r>
    </w:p>
    <w:p w14:paraId="76335958" w14:textId="77777777" w:rsidR="00EC0370" w:rsidRPr="00212CAB" w:rsidRDefault="00EC0370" w:rsidP="00C83D64">
      <w:pPr>
        <w:numPr>
          <w:ilvl w:val="0"/>
          <w:numId w:val="43"/>
        </w:numPr>
        <w:jc w:val="both"/>
        <w:rPr>
          <w:rFonts w:cs="Arial"/>
        </w:rPr>
      </w:pPr>
      <w:r w:rsidRPr="0019312D">
        <w:t xml:space="preserve">It is anticipated that there will not be any impacts on Day-Ahead Exit Capacity Auctions. </w:t>
      </w:r>
      <w:r w:rsidR="008775AB">
        <w:t>Users</w:t>
      </w:r>
      <w:r w:rsidRPr="0019312D">
        <w:t xml:space="preserve"> are able to submit daily capacity bids at any time from 05.00 hours on D-7 until 00.00 on D</w:t>
      </w:r>
      <w:r w:rsidR="00F84719">
        <w:rPr>
          <w:rStyle w:val="FootnoteReference"/>
        </w:rPr>
        <w:footnoteReference w:id="6"/>
      </w:r>
      <w:r w:rsidRPr="0019312D">
        <w:t xml:space="preserve">. Allocation of Daily </w:t>
      </w:r>
      <w:r w:rsidR="00212CAB" w:rsidRPr="00212CAB">
        <w:t>Capacity</w:t>
      </w:r>
      <w:r w:rsidRPr="0019312D">
        <w:t xml:space="preserve"> commences at 15.00 on D-1. </w:t>
      </w:r>
      <w:r w:rsidR="00212CAB" w:rsidRPr="0019312D">
        <w:t>As the Weekly Exit Capacity Auction will allocate weekly strips on D-4, unsold capacity (for each day in the relevant week) will flow through to the Daily Capacity Auction allocation process.</w:t>
      </w:r>
    </w:p>
    <w:p w14:paraId="2AF781A7" w14:textId="77777777" w:rsidR="006D75CD" w:rsidRPr="00CA74C4" w:rsidRDefault="006D75CD" w:rsidP="00CF2DDB">
      <w:pPr>
        <w:pStyle w:val="Heading02"/>
        <w:rPr>
          <w:noProof/>
        </w:rPr>
      </w:pPr>
      <w:r w:rsidRPr="00CA74C4">
        <w:rPr>
          <w:noProof/>
        </w:rPr>
        <w:t xml:space="preserve">Impacts </w:t>
      </w:r>
      <w:r w:rsidR="00784486" w:rsidRPr="00CA74C4">
        <w:rPr>
          <w:noProof/>
        </w:rPr>
        <w:t>&amp; Other Considerations</w:t>
      </w:r>
      <w:bookmarkEnd w:id="6"/>
    </w:p>
    <w:p w14:paraId="7435A0BB"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Does this modification impact a Significant Code Review (SCR) or other significant industry change projects, if so, how?</w:t>
      </w:r>
    </w:p>
    <w:p w14:paraId="4864278F" w14:textId="77777777" w:rsidR="00676075" w:rsidRPr="00CA74C4" w:rsidRDefault="00050DD4" w:rsidP="00C83D64">
      <w:pPr>
        <w:jc w:val="both"/>
        <w:rPr>
          <w:rFonts w:cs="Arial"/>
        </w:rPr>
      </w:pPr>
      <w:r>
        <w:rPr>
          <w:rFonts w:cs="Arial"/>
        </w:rPr>
        <w:t>No</w:t>
      </w:r>
      <w:r w:rsidR="00F50A5A">
        <w:rPr>
          <w:rFonts w:cs="Arial"/>
        </w:rPr>
        <w:t xml:space="preserve"> Significant Code Review or significant industry change will be impacted by this Modification.</w:t>
      </w:r>
    </w:p>
    <w:p w14:paraId="454E7C14"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lastRenderedPageBreak/>
        <w:t>Consumer Impacts</w:t>
      </w:r>
    </w:p>
    <w:p w14:paraId="6EFAF104" w14:textId="77777777" w:rsidR="00EC0370" w:rsidRPr="00CA74C4" w:rsidRDefault="00B86701" w:rsidP="00C83D64">
      <w:pPr>
        <w:jc w:val="both"/>
        <w:rPr>
          <w:rFonts w:cs="Arial"/>
        </w:rPr>
      </w:pPr>
      <w:r>
        <w:rPr>
          <w:rFonts w:cs="Arial"/>
        </w:rPr>
        <w:t xml:space="preserve">A Weekly Exit Capacity Product will enable </w:t>
      </w:r>
      <w:r w:rsidR="008775AB">
        <w:rPr>
          <w:rFonts w:cs="Arial"/>
        </w:rPr>
        <w:t>Users</w:t>
      </w:r>
      <w:r>
        <w:rPr>
          <w:rFonts w:cs="Arial"/>
        </w:rPr>
        <w:t xml:space="preserve"> to better align their </w:t>
      </w:r>
      <w:r w:rsidR="00EC0370">
        <w:rPr>
          <w:rFonts w:cs="Arial"/>
        </w:rPr>
        <w:t>capacity booking activities with customer needs, ensuring improved efficiencies and greater confidence that capacity can</w:t>
      </w:r>
      <w:r w:rsidR="0019312D">
        <w:rPr>
          <w:rFonts w:cs="Arial"/>
        </w:rPr>
        <w:t>,</w:t>
      </w:r>
      <w:r w:rsidR="00EC0370">
        <w:rPr>
          <w:rFonts w:cs="Arial"/>
        </w:rPr>
        <w:t xml:space="preserve"> and has been acquired to underpin customer flows. Currently, a </w:t>
      </w:r>
      <w:r w:rsidR="008775AB">
        <w:rPr>
          <w:rFonts w:cs="Arial"/>
        </w:rPr>
        <w:t>User</w:t>
      </w:r>
      <w:r w:rsidR="00EC0370">
        <w:rPr>
          <w:rFonts w:cs="Arial"/>
        </w:rPr>
        <w:t xml:space="preserve"> is only able to acquire </w:t>
      </w:r>
      <w:r w:rsidR="004B7EB0">
        <w:rPr>
          <w:rFonts w:cs="Arial"/>
        </w:rPr>
        <w:t>A</w:t>
      </w:r>
      <w:r w:rsidR="00EC0370">
        <w:rPr>
          <w:rFonts w:cs="Arial"/>
        </w:rPr>
        <w:t xml:space="preserve">nnual </w:t>
      </w:r>
      <w:r w:rsidR="004B7EB0">
        <w:rPr>
          <w:rFonts w:cs="Arial"/>
        </w:rPr>
        <w:t>C</w:t>
      </w:r>
      <w:r w:rsidR="00EC0370">
        <w:rPr>
          <w:rFonts w:cs="Arial"/>
        </w:rPr>
        <w:t>apacity to provide customers with the assurance that capacity can be acquired on each day that it is needed</w:t>
      </w:r>
      <w:r w:rsidR="0019312D">
        <w:rPr>
          <w:rFonts w:cs="Arial"/>
        </w:rPr>
        <w:t>,</w:t>
      </w:r>
      <w:r w:rsidR="00EC0370">
        <w:rPr>
          <w:rFonts w:cs="Arial"/>
        </w:rPr>
        <w:t xml:space="preserve"> resulting in higher costs being incurred by the </w:t>
      </w:r>
      <w:r w:rsidR="008775AB">
        <w:rPr>
          <w:rFonts w:cs="Arial"/>
        </w:rPr>
        <w:t>User</w:t>
      </w:r>
      <w:r w:rsidR="00EC0370">
        <w:rPr>
          <w:rFonts w:cs="Arial"/>
        </w:rPr>
        <w:t xml:space="preserve"> and ultimately the customer.</w:t>
      </w:r>
    </w:p>
    <w:p w14:paraId="2BFD19EB"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Cross Code Impacts</w:t>
      </w:r>
    </w:p>
    <w:p w14:paraId="27D822C4" w14:textId="77777777" w:rsidR="00676075" w:rsidRDefault="00050DD4" w:rsidP="00676075">
      <w:pPr>
        <w:rPr>
          <w:rFonts w:cs="Arial"/>
        </w:rPr>
      </w:pPr>
      <w:r>
        <w:rPr>
          <w:rFonts w:cs="Arial"/>
        </w:rPr>
        <w:t>No</w:t>
      </w:r>
      <w:r w:rsidR="004B7EB0">
        <w:rPr>
          <w:rFonts w:cs="Arial"/>
        </w:rPr>
        <w:t xml:space="preserve"> Cross Code Impacts</w:t>
      </w:r>
      <w:r w:rsidR="00F50A5A">
        <w:rPr>
          <w:rFonts w:cs="Arial"/>
        </w:rPr>
        <w:t xml:space="preserve"> identified.</w:t>
      </w:r>
    </w:p>
    <w:p w14:paraId="1C13D100" w14:textId="79DBA84F" w:rsidR="00852B1F" w:rsidRPr="00CA74C4" w:rsidRDefault="00852B1F" w:rsidP="00676075">
      <w:pPr>
        <w:rPr>
          <w:rFonts w:cs="Arial"/>
        </w:rPr>
      </w:pPr>
      <w:r w:rsidRPr="00940F60">
        <w:rPr>
          <w:rFonts w:cs="Arial"/>
          <w:highlight w:val="yellow"/>
        </w:rPr>
        <w:t>Workgroup Participants agreed with this statement</w:t>
      </w:r>
      <w:r w:rsidR="00940F60">
        <w:rPr>
          <w:rFonts w:cs="Arial"/>
        </w:rPr>
        <w:t>.</w:t>
      </w:r>
    </w:p>
    <w:p w14:paraId="29BA7D3D"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EU Code Impacts</w:t>
      </w:r>
    </w:p>
    <w:p w14:paraId="7263644D" w14:textId="77777777" w:rsidR="00676075" w:rsidRDefault="00050DD4" w:rsidP="00676075">
      <w:pPr>
        <w:rPr>
          <w:rFonts w:cs="Arial"/>
        </w:rPr>
      </w:pPr>
      <w:r>
        <w:rPr>
          <w:rFonts w:cs="Arial"/>
        </w:rPr>
        <w:t>No</w:t>
      </w:r>
      <w:r w:rsidR="004B7EB0">
        <w:rPr>
          <w:rFonts w:cs="Arial"/>
        </w:rPr>
        <w:t xml:space="preserve"> EU Code Impacts identified.</w:t>
      </w:r>
    </w:p>
    <w:p w14:paraId="7FA1D8F2" w14:textId="429EFF30" w:rsidR="00E52FBC" w:rsidRDefault="00E52FBC" w:rsidP="00E52FBC">
      <w:pPr>
        <w:pStyle w:val="Heading4"/>
        <w:keepLines w:val="0"/>
        <w:numPr>
          <w:ilvl w:val="0"/>
          <w:numId w:val="0"/>
        </w:numPr>
        <w:spacing w:before="240"/>
        <w:rPr>
          <w:rFonts w:ascii="Arial" w:eastAsia="Times New Roman" w:hAnsi="Arial" w:cs="Arial"/>
          <w:b w:val="0"/>
          <w:color w:val="00B274"/>
          <w:szCs w:val="20"/>
        </w:rPr>
      </w:pPr>
      <w:r>
        <w:rPr>
          <w:rFonts w:ascii="Arial" w:eastAsia="Times New Roman" w:hAnsi="Arial" w:cs="Arial"/>
          <w:i w:val="0"/>
          <w:iCs w:val="0"/>
          <w:color w:val="008576"/>
          <w:sz w:val="24"/>
          <w:szCs w:val="28"/>
        </w:rPr>
        <w:t>Workgroup discussion</w:t>
      </w:r>
    </w:p>
    <w:p w14:paraId="6846A76F" w14:textId="0E342F9C" w:rsidR="001651CD" w:rsidRPr="00CA74C4" w:rsidRDefault="001651CD" w:rsidP="00676075">
      <w:pPr>
        <w:rPr>
          <w:rFonts w:cs="Arial"/>
        </w:rPr>
      </w:pPr>
      <w:r w:rsidRPr="00DF32F9">
        <w:rPr>
          <w:rFonts w:cs="Arial"/>
          <w:highlight w:val="yellow"/>
        </w:rPr>
        <w:t xml:space="preserve">A Workgroup Participant queried whether </w:t>
      </w:r>
      <w:r w:rsidR="00B95571" w:rsidRPr="00DF32F9">
        <w:rPr>
          <w:rFonts w:cs="Arial"/>
          <w:highlight w:val="yellow"/>
        </w:rPr>
        <w:t>I</w:t>
      </w:r>
      <w:r w:rsidRPr="00DF32F9">
        <w:rPr>
          <w:rFonts w:cs="Arial"/>
          <w:highlight w:val="yellow"/>
        </w:rPr>
        <w:t>nterconnector Points (IPs) would be included within the scope</w:t>
      </w:r>
      <w:r w:rsidR="00B95571" w:rsidRPr="00DF32F9">
        <w:rPr>
          <w:rFonts w:cs="Arial"/>
          <w:highlight w:val="yellow"/>
        </w:rPr>
        <w:t>. The Proposer confirmed that</w:t>
      </w:r>
      <w:r w:rsidRPr="00DF32F9">
        <w:rPr>
          <w:rFonts w:cs="Arial"/>
          <w:highlight w:val="yellow"/>
        </w:rPr>
        <w:t xml:space="preserve"> as the product is not included in the CAM Code it would</w:t>
      </w:r>
      <w:r w:rsidR="00A635E4" w:rsidRPr="00DF32F9">
        <w:rPr>
          <w:rFonts w:cs="Arial"/>
          <w:highlight w:val="yellow"/>
        </w:rPr>
        <w:t xml:space="preserve"> </w:t>
      </w:r>
      <w:r w:rsidRPr="00DF32F9">
        <w:rPr>
          <w:rFonts w:cs="Arial"/>
          <w:highlight w:val="yellow"/>
        </w:rPr>
        <w:t>n</w:t>
      </w:r>
      <w:r w:rsidR="00A635E4" w:rsidRPr="00DF32F9">
        <w:rPr>
          <w:rFonts w:cs="Arial"/>
          <w:highlight w:val="yellow"/>
        </w:rPr>
        <w:t>o</w:t>
      </w:r>
      <w:r w:rsidRPr="00DF32F9">
        <w:rPr>
          <w:rFonts w:cs="Arial"/>
          <w:highlight w:val="yellow"/>
        </w:rPr>
        <w:t xml:space="preserve">t be appropriate to include </w:t>
      </w:r>
      <w:r w:rsidR="007E4673" w:rsidRPr="00DF32F9">
        <w:rPr>
          <w:rFonts w:cs="Arial"/>
          <w:highlight w:val="yellow"/>
        </w:rPr>
        <w:t xml:space="preserve">Ips within the scope of the service </w:t>
      </w:r>
      <w:r w:rsidRPr="00DF32F9">
        <w:rPr>
          <w:rFonts w:cs="Arial"/>
          <w:highlight w:val="yellow"/>
        </w:rPr>
        <w:t>as that wouldn’t be compliant with CAM</w:t>
      </w:r>
      <w:r w:rsidR="007E4673" w:rsidRPr="00DF32F9">
        <w:rPr>
          <w:rFonts w:cs="Arial"/>
          <w:highlight w:val="yellow"/>
        </w:rPr>
        <w:t>.</w:t>
      </w:r>
    </w:p>
    <w:p w14:paraId="6A0BC153"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Central Systems Impacts</w:t>
      </w:r>
    </w:p>
    <w:p w14:paraId="600487F5" w14:textId="77777777" w:rsidR="00774996" w:rsidRDefault="00050DD4" w:rsidP="00C83D64">
      <w:pPr>
        <w:jc w:val="both"/>
        <w:rPr>
          <w:rFonts w:cs="Arial"/>
        </w:rPr>
      </w:pPr>
      <w:r>
        <w:rPr>
          <w:rFonts w:cs="Arial"/>
        </w:rPr>
        <w:t>It is anticipated that there will be System Impacts in the implementation of a Weekly NTS E</w:t>
      </w:r>
      <w:r w:rsidR="00EC0370">
        <w:rPr>
          <w:rFonts w:cs="Arial"/>
        </w:rPr>
        <w:t>xit</w:t>
      </w:r>
      <w:r>
        <w:rPr>
          <w:rFonts w:cs="Arial"/>
        </w:rPr>
        <w:t xml:space="preserve"> Capacity Auction.</w:t>
      </w:r>
    </w:p>
    <w:p w14:paraId="77FAD824" w14:textId="6A0413B8" w:rsidR="00124BD3" w:rsidRDefault="00124BD3" w:rsidP="00C83D64">
      <w:pPr>
        <w:jc w:val="both"/>
        <w:rPr>
          <w:rFonts w:cs="Arial"/>
        </w:rPr>
      </w:pPr>
      <w:r w:rsidRPr="00124BD3">
        <w:rPr>
          <w:rFonts w:cs="Arial"/>
          <w:highlight w:val="yellow"/>
        </w:rPr>
        <w:t>A ROM has been requested (is available?)</w:t>
      </w:r>
    </w:p>
    <w:p w14:paraId="247A670C" w14:textId="77777777" w:rsidR="00EE7FB5" w:rsidRDefault="00EE7FB5" w:rsidP="00EE7FB5">
      <w:pPr>
        <w:spacing w:before="240"/>
        <w:rPr>
          <w:rFonts w:cs="Arial"/>
          <w:b/>
          <w:bCs/>
          <w:color w:val="008576"/>
          <w:sz w:val="24"/>
          <w:szCs w:val="28"/>
        </w:rPr>
      </w:pPr>
      <w:r w:rsidRPr="00F40B50">
        <w:rPr>
          <w:rFonts w:cs="Arial"/>
          <w:b/>
          <w:bCs/>
          <w:color w:val="008576"/>
          <w:sz w:val="24"/>
          <w:szCs w:val="28"/>
        </w:rPr>
        <w:t>Performance Assurance Considerations</w:t>
      </w:r>
    </w:p>
    <w:p w14:paraId="305FF87F" w14:textId="5D49BF10" w:rsidR="00EE7FB5" w:rsidRDefault="00C93599" w:rsidP="00EE7FB5">
      <w:pPr>
        <w:rPr>
          <w:rFonts w:cs="Arial"/>
        </w:rPr>
      </w:pPr>
      <w:r w:rsidRPr="0065102B">
        <w:rPr>
          <w:rFonts w:cs="Arial"/>
          <w:highlight w:val="yellow"/>
        </w:rPr>
        <w:t xml:space="preserve">No impacts </w:t>
      </w:r>
      <w:r w:rsidR="0065102B" w:rsidRPr="0065102B">
        <w:rPr>
          <w:rFonts w:cs="Arial"/>
          <w:highlight w:val="yellow"/>
        </w:rPr>
        <w:t xml:space="preserve">were </w:t>
      </w:r>
      <w:r w:rsidRPr="0065102B">
        <w:rPr>
          <w:rFonts w:cs="Arial"/>
          <w:highlight w:val="yellow"/>
        </w:rPr>
        <w:t>identified</w:t>
      </w:r>
      <w:r w:rsidR="0065102B" w:rsidRPr="0065102B">
        <w:rPr>
          <w:rFonts w:cs="Arial"/>
          <w:highlight w:val="yellow"/>
        </w:rPr>
        <w:t xml:space="preserve"> by the Workgroup</w:t>
      </w:r>
      <w:r>
        <w:rPr>
          <w:rFonts w:cs="Arial"/>
        </w:rPr>
        <w:t>.</w:t>
      </w:r>
    </w:p>
    <w:p w14:paraId="0F9032A2" w14:textId="02704522" w:rsidR="00EE7FB5" w:rsidRDefault="00EE7FB5" w:rsidP="00EE7FB5">
      <w:pPr>
        <w:pStyle w:val="Heading4"/>
        <w:keepLines w:val="0"/>
        <w:numPr>
          <w:ilvl w:val="0"/>
          <w:numId w:val="0"/>
        </w:numPr>
        <w:spacing w:before="240"/>
        <w:rPr>
          <w:rFonts w:ascii="Arial" w:eastAsia="Times New Roman" w:hAnsi="Arial" w:cs="Arial"/>
          <w:b w:val="0"/>
          <w:color w:val="00B274"/>
          <w:szCs w:val="20"/>
        </w:rPr>
      </w:pPr>
      <w:r>
        <w:rPr>
          <w:rFonts w:ascii="Arial" w:eastAsia="Times New Roman" w:hAnsi="Arial" w:cs="Arial"/>
          <w:i w:val="0"/>
          <w:iCs w:val="0"/>
          <w:color w:val="008576"/>
          <w:sz w:val="24"/>
          <w:szCs w:val="28"/>
        </w:rPr>
        <w:t>Panel Questions</w:t>
      </w:r>
      <w:r w:rsidRPr="008D54E0">
        <w:rPr>
          <w:rFonts w:ascii="Arial" w:eastAsia="Times New Roman" w:hAnsi="Arial" w:cs="Arial"/>
          <w:i w:val="0"/>
          <w:iCs w:val="0"/>
          <w:color w:val="008576"/>
          <w:sz w:val="24"/>
          <w:szCs w:val="28"/>
        </w:rPr>
        <w:t xml:space="preserve"> </w:t>
      </w:r>
    </w:p>
    <w:p w14:paraId="2F24335D" w14:textId="386AF7E6" w:rsidR="00745BAF" w:rsidRPr="00F10FC5" w:rsidRDefault="00F10FC5" w:rsidP="00F10FC5">
      <w:pPr>
        <w:jc w:val="both"/>
        <w:rPr>
          <w:rFonts w:cs="Arial"/>
          <w:b/>
          <w:bCs/>
        </w:rPr>
      </w:pPr>
      <w:r w:rsidRPr="00F10FC5">
        <w:rPr>
          <w:rFonts w:cs="Arial"/>
          <w:b/>
          <w:bCs/>
        </w:rPr>
        <w:t xml:space="preserve">Q1. </w:t>
      </w:r>
      <w:r w:rsidR="00745BAF" w:rsidRPr="00F10FC5">
        <w:rPr>
          <w:rFonts w:cs="Arial"/>
          <w:b/>
          <w:bCs/>
        </w:rPr>
        <w:t>Impact of this Modification on charges (for example on annual capacity)</w:t>
      </w:r>
    </w:p>
    <w:p w14:paraId="1D1B4D75" w14:textId="679C1218" w:rsidR="00F10FC5" w:rsidRPr="00F10FC5" w:rsidRDefault="0026229E" w:rsidP="00F10FC5">
      <w:pPr>
        <w:jc w:val="both"/>
        <w:rPr>
          <w:rFonts w:cs="Arial"/>
        </w:rPr>
      </w:pPr>
      <w:r w:rsidRPr="0065102B">
        <w:rPr>
          <w:rFonts w:cs="Arial"/>
          <w:highlight w:val="yellow"/>
        </w:rPr>
        <w:t xml:space="preserve">The Workgroup discussion of </w:t>
      </w:r>
      <w:r w:rsidR="00E34267" w:rsidRPr="0065102B">
        <w:rPr>
          <w:rFonts w:cs="Arial"/>
          <w:highlight w:val="yellow"/>
        </w:rPr>
        <w:t xml:space="preserve">5 May concluded with agreement by Workgroup Participants that </w:t>
      </w:r>
      <w:r w:rsidR="000A41E0" w:rsidRPr="0065102B">
        <w:rPr>
          <w:rFonts w:cs="Arial"/>
          <w:highlight w:val="yellow"/>
        </w:rPr>
        <w:t>there would be very little impact on charges dependent on behaviour</w:t>
      </w:r>
      <w:r w:rsidR="00367905" w:rsidRPr="0065102B">
        <w:rPr>
          <w:rFonts w:cs="Arial"/>
          <w:highlight w:val="yellow"/>
        </w:rPr>
        <w:t xml:space="preserve">. The views expressed were that current bookings of daily capacity may be converted to weekly </w:t>
      </w:r>
      <w:r w:rsidR="00425330" w:rsidRPr="0065102B">
        <w:rPr>
          <w:rFonts w:cs="Arial"/>
          <w:highlight w:val="yellow"/>
        </w:rPr>
        <w:t>but that annual bookings were unlikely to be substituted by weekly.</w:t>
      </w:r>
    </w:p>
    <w:p w14:paraId="1AD34743" w14:textId="3F2C4C57" w:rsidR="00745BAF" w:rsidRPr="00F10FC5" w:rsidRDefault="00F10FC5" w:rsidP="00F10FC5">
      <w:pPr>
        <w:jc w:val="both"/>
        <w:rPr>
          <w:rFonts w:cs="Arial"/>
          <w:b/>
          <w:bCs/>
        </w:rPr>
      </w:pPr>
      <w:r w:rsidRPr="00F10FC5">
        <w:rPr>
          <w:rFonts w:cs="Arial"/>
          <w:b/>
          <w:bCs/>
        </w:rPr>
        <w:t xml:space="preserve">Q2. </w:t>
      </w:r>
      <w:r w:rsidR="00745BAF" w:rsidRPr="00F10FC5">
        <w:rPr>
          <w:rFonts w:cs="Arial"/>
          <w:b/>
          <w:bCs/>
        </w:rPr>
        <w:t>Should the Modification remain Self Governance</w:t>
      </w:r>
    </w:p>
    <w:p w14:paraId="6BCDA262" w14:textId="77777777" w:rsidR="00DD0BDB" w:rsidRPr="009C4B80" w:rsidRDefault="00F36887" w:rsidP="00F10FC5">
      <w:pPr>
        <w:jc w:val="both"/>
        <w:rPr>
          <w:rFonts w:cs="Arial"/>
          <w:highlight w:val="yellow"/>
        </w:rPr>
      </w:pPr>
      <w:r w:rsidRPr="009C4B80">
        <w:rPr>
          <w:rFonts w:cs="Arial"/>
          <w:highlight w:val="yellow"/>
        </w:rPr>
        <w:t xml:space="preserve">The Workgroup </w:t>
      </w:r>
      <w:r w:rsidR="00142B10" w:rsidRPr="009C4B80">
        <w:rPr>
          <w:rFonts w:cs="Arial"/>
          <w:highlight w:val="yellow"/>
        </w:rPr>
        <w:t>discuss</w:t>
      </w:r>
      <w:r w:rsidR="00454D30" w:rsidRPr="009C4B80">
        <w:rPr>
          <w:rFonts w:cs="Arial"/>
          <w:highlight w:val="yellow"/>
        </w:rPr>
        <w:t xml:space="preserve">ed this question on 5 May. </w:t>
      </w:r>
    </w:p>
    <w:p w14:paraId="281459AB" w14:textId="36A292B9" w:rsidR="00232466" w:rsidRDefault="00247D7A" w:rsidP="00F10FC5">
      <w:pPr>
        <w:jc w:val="both"/>
        <w:rPr>
          <w:rFonts w:cs="Arial"/>
        </w:rPr>
      </w:pPr>
      <w:r w:rsidRPr="009C4B80">
        <w:rPr>
          <w:rFonts w:cs="Arial"/>
          <w:highlight w:val="yellow"/>
        </w:rPr>
        <w:t>[</w:t>
      </w:r>
      <w:r w:rsidR="00232466" w:rsidRPr="009C4B80">
        <w:rPr>
          <w:rFonts w:cs="Arial"/>
          <w:highlight w:val="yellow"/>
        </w:rPr>
        <w:t xml:space="preserve">Workgroup Participants agreed that if GDNs were included in the scope of </w:t>
      </w:r>
      <w:r w:rsidRPr="009C4B80">
        <w:rPr>
          <w:rFonts w:cs="Arial"/>
          <w:highlight w:val="yellow"/>
        </w:rPr>
        <w:t xml:space="preserve">users for the service introduced by </w:t>
      </w:r>
      <w:r w:rsidR="00232466" w:rsidRPr="009C4B80">
        <w:rPr>
          <w:rFonts w:cs="Arial"/>
          <w:highlight w:val="yellow"/>
        </w:rPr>
        <w:t>this Modification then it would no longer meet the criteria for self-governance</w:t>
      </w:r>
      <w:r w:rsidRPr="009C4B80">
        <w:rPr>
          <w:rFonts w:cs="Arial"/>
          <w:highlight w:val="yellow"/>
        </w:rPr>
        <w:t>].</w:t>
      </w:r>
    </w:p>
    <w:p w14:paraId="39E20B0A" w14:textId="38840DD4" w:rsidR="009C4B80" w:rsidRPr="00E250B2" w:rsidRDefault="00E250B2" w:rsidP="00F10FC5">
      <w:pPr>
        <w:jc w:val="both"/>
        <w:rPr>
          <w:rFonts w:cs="Arial"/>
          <w:highlight w:val="yellow"/>
        </w:rPr>
      </w:pPr>
      <w:r w:rsidRPr="00E250B2">
        <w:rPr>
          <w:rFonts w:cs="Arial"/>
          <w:highlight w:val="yellow"/>
        </w:rPr>
        <w:t>[</w:t>
      </w:r>
      <w:r w:rsidR="009C4B80" w:rsidRPr="00E250B2">
        <w:rPr>
          <w:rFonts w:cs="Arial"/>
          <w:highlight w:val="yellow"/>
        </w:rPr>
        <w:t xml:space="preserve">Workgroup Participants agreed that the exclusion of GDNs from the scope of this Modification means that it satisfies the </w:t>
      </w:r>
      <w:r w:rsidR="00BC2224" w:rsidRPr="00E250B2">
        <w:rPr>
          <w:rFonts w:cs="Arial"/>
          <w:highlight w:val="yellow"/>
        </w:rPr>
        <w:t>criteria for self-governance.</w:t>
      </w:r>
      <w:r w:rsidRPr="00E250B2">
        <w:rPr>
          <w:rFonts w:cs="Arial"/>
          <w:highlight w:val="yellow"/>
        </w:rPr>
        <w:t>}</w:t>
      </w:r>
    </w:p>
    <w:p w14:paraId="294D384F" w14:textId="029C5E36" w:rsidR="00BC2224" w:rsidRDefault="00BC2224" w:rsidP="00F10FC5">
      <w:pPr>
        <w:jc w:val="both"/>
        <w:rPr>
          <w:rFonts w:cs="Arial"/>
        </w:rPr>
      </w:pPr>
      <w:r w:rsidRPr="00E250B2">
        <w:rPr>
          <w:rFonts w:cs="Arial"/>
          <w:highlight w:val="yellow"/>
        </w:rPr>
        <w:t>For further explanation of this point please see discussion captured below under Impact Assessment</w:t>
      </w:r>
      <w:r w:rsidR="00E250B2" w:rsidRPr="00E250B2">
        <w:rPr>
          <w:rFonts w:cs="Arial"/>
          <w:highlight w:val="yellow"/>
        </w:rPr>
        <w:t>.</w:t>
      </w:r>
    </w:p>
    <w:p w14:paraId="0ED13315" w14:textId="77777777" w:rsidR="00232466" w:rsidRDefault="00232466" w:rsidP="00F10FC5">
      <w:pPr>
        <w:jc w:val="both"/>
        <w:rPr>
          <w:rFonts w:cs="Arial"/>
        </w:rPr>
      </w:pPr>
    </w:p>
    <w:p w14:paraId="21D37894" w14:textId="3B8049FD" w:rsidR="00EE7FB5" w:rsidRPr="001213B8" w:rsidRDefault="00EE7FB5" w:rsidP="00EE7FB5">
      <w:pPr>
        <w:pStyle w:val="Heading4"/>
        <w:keepLines w:val="0"/>
        <w:numPr>
          <w:ilvl w:val="0"/>
          <w:numId w:val="0"/>
        </w:numPr>
        <w:spacing w:before="240"/>
        <w:rPr>
          <w:rFonts w:ascii="Arial" w:eastAsia="Times New Roman" w:hAnsi="Arial" w:cs="Arial"/>
          <w:b w:val="0"/>
          <w:color w:val="00B274"/>
          <w:szCs w:val="20"/>
        </w:rPr>
      </w:pPr>
      <w:r w:rsidRPr="008D54E0">
        <w:rPr>
          <w:rFonts w:ascii="Arial" w:eastAsia="Times New Roman" w:hAnsi="Arial" w:cs="Arial"/>
          <w:i w:val="0"/>
          <w:iCs w:val="0"/>
          <w:color w:val="008576"/>
          <w:sz w:val="24"/>
          <w:szCs w:val="28"/>
        </w:rPr>
        <w:t xml:space="preserve">Workgroup Impact Assessment </w:t>
      </w:r>
    </w:p>
    <w:p w14:paraId="06E6424C" w14:textId="542BDFF0" w:rsidR="00322443" w:rsidRPr="00322443" w:rsidRDefault="00322443" w:rsidP="00322443">
      <w:pPr>
        <w:jc w:val="both"/>
        <w:rPr>
          <w:rFonts w:cs="Arial"/>
          <w:highlight w:val="yellow"/>
        </w:rPr>
      </w:pPr>
      <w:r w:rsidRPr="00322443">
        <w:rPr>
          <w:rFonts w:cs="Arial"/>
          <w:highlight w:val="yellow"/>
        </w:rPr>
        <w:t xml:space="preserve">A Workgroup Participant stated that Gas Distribution Networks (GDNs) have discussed the Exit Capacity Planning Guidance and changes for this year’s process. It was noted that the Modification </w:t>
      </w:r>
      <w:r w:rsidR="00051CBA">
        <w:rPr>
          <w:rFonts w:cs="Arial"/>
          <w:highlight w:val="yellow"/>
        </w:rPr>
        <w:t>as initially presented</w:t>
      </w:r>
      <w:r w:rsidR="00233040">
        <w:rPr>
          <w:rFonts w:cs="Arial"/>
          <w:highlight w:val="yellow"/>
        </w:rPr>
        <w:t xml:space="preserve"> </w:t>
      </w:r>
      <w:r w:rsidRPr="00322443">
        <w:rPr>
          <w:rFonts w:cs="Arial"/>
          <w:highlight w:val="yellow"/>
        </w:rPr>
        <w:lastRenderedPageBreak/>
        <w:t>appears to be written with an assumption that GDNs would not use the weekly product. However, having considered this the GDNs did not believe this should be assumed. The Workgroup discussed the potential drivers and consequences of GDN’s use of weekly capacity.</w:t>
      </w:r>
    </w:p>
    <w:p w14:paraId="4A8A00AD" w14:textId="77777777" w:rsidR="00322443" w:rsidRPr="00322443" w:rsidRDefault="00322443" w:rsidP="00322443">
      <w:pPr>
        <w:jc w:val="both"/>
        <w:rPr>
          <w:rFonts w:cs="Arial"/>
          <w:highlight w:val="yellow"/>
        </w:rPr>
      </w:pPr>
      <w:r w:rsidRPr="00322443">
        <w:rPr>
          <w:rFonts w:cs="Arial"/>
          <w:highlight w:val="yellow"/>
        </w:rPr>
        <w:t>A Workgroup Participant pointed out that GDNs have a licence obligation to book efficiently and if the product is available to them then they would be obliged to utilise it. GDNs currently book annual capacity and do not rely on Daily capacity as that may not be available to meet their 1-in-20 obligation. The Weekly product may however to sufficient to meet the need and thus could be a substitute for Annual. A change in GDN capacity booking might cause an unintended effect on revenue recovery. This in turn would need to be dealt with through adjustments to prices. As the total revenue to be recovered is the same it would potentially introduce extra complexity with no financial benefit for GDNs.</w:t>
      </w:r>
    </w:p>
    <w:p w14:paraId="2B48C6FD" w14:textId="77777777" w:rsidR="00322443" w:rsidRDefault="00322443" w:rsidP="00322443">
      <w:pPr>
        <w:jc w:val="both"/>
        <w:rPr>
          <w:rFonts w:cs="Arial"/>
        </w:rPr>
      </w:pPr>
      <w:r w:rsidRPr="00322443">
        <w:rPr>
          <w:rFonts w:cs="Arial"/>
          <w:highlight w:val="yellow"/>
        </w:rPr>
        <w:t xml:space="preserve">Workgroup Participants discussed whether it would be appropriate to discriminate between classes of parties seeking to book capacity. The Proposer explained that the Modification had been drafted with a specific type of customer and that usage by GDNs was not seen as beneficial or required. The Workgroup considered the appropriateness of targeting the service to limited parties. </w:t>
      </w:r>
      <w:r w:rsidRPr="0074074F">
        <w:rPr>
          <w:rFonts w:cs="Arial"/>
          <w:color w:val="FF0000"/>
          <w:highlight w:val="yellow"/>
        </w:rPr>
        <w:t>A Workgroup Participant representing GDNs asked that some analysis on the potential use by GDNs be provided to justify restricting the scope and to avoid an increase in unit costs for GDNs.</w:t>
      </w:r>
    </w:p>
    <w:p w14:paraId="48C58E12" w14:textId="2DB35F7E" w:rsidR="00EE7FB5" w:rsidRDefault="00EE7FB5" w:rsidP="00EE7FB5">
      <w:pPr>
        <w:rPr>
          <w:rFonts w:cs="Arial"/>
        </w:rPr>
      </w:pPr>
    </w:p>
    <w:p w14:paraId="5DE82D3E" w14:textId="77777777" w:rsidR="00EE7FB5" w:rsidRDefault="00EE7FB5" w:rsidP="00EE7FB5">
      <w:pPr>
        <w:spacing w:before="240"/>
        <w:rPr>
          <w:rFonts w:cs="Arial"/>
          <w:bCs/>
          <w:i/>
          <w:iCs/>
          <w:color w:val="00B274"/>
          <w:szCs w:val="20"/>
        </w:rPr>
      </w:pPr>
      <w:r>
        <w:rPr>
          <w:rFonts w:cs="Arial"/>
          <w:b/>
          <w:iCs/>
          <w:color w:val="008576"/>
          <w:sz w:val="24"/>
          <w:szCs w:val="28"/>
        </w:rPr>
        <w:t>Rough Order of Magnitude (ROM) Assessment</w:t>
      </w:r>
      <w:r>
        <w:rPr>
          <w:rFonts w:cs="Arial"/>
          <w:i/>
          <w:iCs/>
          <w:color w:val="008576"/>
          <w:sz w:val="24"/>
          <w:szCs w:val="28"/>
        </w:rPr>
        <w:t xml:space="preserve"> </w:t>
      </w:r>
      <w:r w:rsidRPr="001A298C">
        <w:rPr>
          <w:rFonts w:cs="Arial"/>
          <w:bCs/>
          <w:i/>
          <w:iCs/>
          <w:color w:val="00B274"/>
          <w:szCs w:val="20"/>
        </w:rPr>
        <w:t>(Cost estimate from CDSP)</w:t>
      </w:r>
      <w:r>
        <w:rPr>
          <w:rFonts w:cs="Arial"/>
          <w:bCs/>
          <w:i/>
          <w:iCs/>
          <w:color w:val="00B274"/>
          <w:szCs w:val="20"/>
        </w:rPr>
        <w:t xml:space="preserve"> </w:t>
      </w:r>
    </w:p>
    <w:p w14:paraId="314AE85A" w14:textId="350EB9AA" w:rsidR="00885B22" w:rsidRPr="00884AC1" w:rsidRDefault="00B8670B" w:rsidP="00C93599">
      <w:pPr>
        <w:rPr>
          <w:rFonts w:cs="Arial"/>
          <w:highlight w:val="yellow"/>
        </w:rPr>
      </w:pPr>
      <w:r w:rsidRPr="00884AC1">
        <w:rPr>
          <w:rFonts w:cs="Arial"/>
          <w:highlight w:val="yellow"/>
        </w:rPr>
        <w:t>The ROM</w:t>
      </w:r>
      <w:r w:rsidR="00147A0D" w:rsidRPr="00884AC1">
        <w:rPr>
          <w:rStyle w:val="FootnoteReference"/>
          <w:rFonts w:cs="Arial"/>
          <w:highlight w:val="yellow"/>
        </w:rPr>
        <w:footnoteReference w:id="7"/>
      </w:r>
      <w:r w:rsidRPr="00884AC1">
        <w:rPr>
          <w:rFonts w:cs="Arial"/>
          <w:highlight w:val="yellow"/>
        </w:rPr>
        <w:t xml:space="preserve"> i</w:t>
      </w:r>
      <w:r w:rsidR="00FA09D0" w:rsidRPr="00884AC1">
        <w:rPr>
          <w:rFonts w:cs="Arial"/>
          <w:highlight w:val="yellow"/>
        </w:rPr>
        <w:t xml:space="preserve">dentifies </w:t>
      </w:r>
      <w:r w:rsidR="00EA0727" w:rsidRPr="00884AC1">
        <w:rPr>
          <w:rFonts w:cs="Arial"/>
          <w:highlight w:val="yellow"/>
        </w:rPr>
        <w:t>that an enduring solution will cost at least £280,000 but probably not more than £365,000 to implement.</w:t>
      </w:r>
      <w:r w:rsidR="002C5A7A" w:rsidRPr="00884AC1">
        <w:rPr>
          <w:rFonts w:cs="Arial"/>
          <w:highlight w:val="yellow"/>
        </w:rPr>
        <w:t xml:space="preserve"> The change is not expected to increase ongoing running costs.</w:t>
      </w:r>
    </w:p>
    <w:p w14:paraId="35F94D97" w14:textId="0E2D4174" w:rsidR="002C5A7A" w:rsidRDefault="00116515" w:rsidP="00116515">
      <w:pPr>
        <w:jc w:val="both"/>
        <w:rPr>
          <w:rFonts w:cs="Arial"/>
        </w:rPr>
      </w:pPr>
      <w:r w:rsidRPr="00884AC1">
        <w:rPr>
          <w:rFonts w:cs="Arial"/>
          <w:highlight w:val="yellow"/>
        </w:rPr>
        <w:t xml:space="preserve">This change would need to be prioritised through the Change Management Committee alongside other changes within Xoserve’s planned Gemini programme. Please note a lead time of 3 months for </w:t>
      </w:r>
      <w:proofErr w:type="spellStart"/>
      <w:r w:rsidRPr="00884AC1">
        <w:rPr>
          <w:rFonts w:cs="Arial"/>
          <w:highlight w:val="yellow"/>
        </w:rPr>
        <w:t>startup</w:t>
      </w:r>
      <w:proofErr w:type="spellEnd"/>
      <w:r w:rsidR="00884AC1" w:rsidRPr="00884AC1">
        <w:rPr>
          <w:rFonts w:cs="Arial"/>
          <w:highlight w:val="yellow"/>
        </w:rPr>
        <w:t xml:space="preserve"> </w:t>
      </w:r>
      <w:r w:rsidRPr="00884AC1">
        <w:rPr>
          <w:rFonts w:cs="Arial"/>
          <w:highlight w:val="yellow"/>
        </w:rPr>
        <w:t>/</w:t>
      </w:r>
      <w:r w:rsidR="00884AC1" w:rsidRPr="00884AC1">
        <w:rPr>
          <w:rFonts w:cs="Arial"/>
          <w:highlight w:val="yellow"/>
        </w:rPr>
        <w:t xml:space="preserve"> </w:t>
      </w:r>
      <w:r w:rsidRPr="00884AC1">
        <w:rPr>
          <w:rFonts w:cs="Arial"/>
          <w:highlight w:val="yellow"/>
        </w:rPr>
        <w:t>sanction</w:t>
      </w:r>
      <w:r w:rsidR="00884AC1" w:rsidRPr="00884AC1">
        <w:rPr>
          <w:rFonts w:cs="Arial"/>
          <w:highlight w:val="yellow"/>
        </w:rPr>
        <w:t xml:space="preserve"> </w:t>
      </w:r>
      <w:r w:rsidRPr="00884AC1">
        <w:rPr>
          <w:rFonts w:cs="Arial"/>
          <w:highlight w:val="yellow"/>
        </w:rPr>
        <w:t>/</w:t>
      </w:r>
      <w:r w:rsidR="00884AC1" w:rsidRPr="00884AC1">
        <w:rPr>
          <w:rFonts w:cs="Arial"/>
          <w:highlight w:val="yellow"/>
        </w:rPr>
        <w:t xml:space="preserve"> </w:t>
      </w:r>
      <w:r w:rsidRPr="00884AC1">
        <w:rPr>
          <w:rFonts w:cs="Arial"/>
          <w:highlight w:val="yellow"/>
        </w:rPr>
        <w:t>mobilisation should be considered though there is the potential for this to be shortened subject to the delivery mechanism and availability of resources. The high-level estimate to develop and deliver this change is approximately 20 to 22 weeks for Analysis through to Post Implementation Support.</w:t>
      </w:r>
    </w:p>
    <w:p w14:paraId="28E0B70B" w14:textId="77777777" w:rsidR="00263600" w:rsidRPr="00CA74C4" w:rsidRDefault="00263600" w:rsidP="00CF2DDB">
      <w:pPr>
        <w:pStyle w:val="Heading02"/>
      </w:pPr>
      <w:bookmarkStart w:id="7" w:name="_Toc318966123"/>
      <w:r w:rsidRPr="00CA74C4">
        <w:t>Relevant Objectives</w:t>
      </w:r>
      <w:bookmarkEnd w:id="7"/>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A74C4" w14:paraId="1D3D87C8" w14:textId="77777777" w:rsidTr="00332A65">
        <w:trPr>
          <w:trHeight w:hRule="exact" w:val="397"/>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4FDAF032" w14:textId="77777777" w:rsidR="0018496D" w:rsidRPr="00CA74C4" w:rsidRDefault="0018496D" w:rsidP="006D765D">
            <w:pPr>
              <w:pStyle w:val="TableHeading"/>
              <w:rPr>
                <w:rFonts w:cs="Arial"/>
              </w:rPr>
            </w:pPr>
            <w:r w:rsidRPr="00CA74C4">
              <w:rPr>
                <w:rFonts w:cs="Arial"/>
              </w:rPr>
              <w:t>Impact of the modification on the Relevant Objectives:</w:t>
            </w:r>
          </w:p>
        </w:tc>
      </w:tr>
      <w:tr w:rsidR="0018496D" w:rsidRPr="00CA74C4" w14:paraId="158FBB04" w14:textId="77777777" w:rsidTr="00332A65">
        <w:trPr>
          <w:trHeight w:val="397"/>
        </w:trPr>
        <w:tc>
          <w:tcPr>
            <w:tcW w:w="7665" w:type="dxa"/>
            <w:tcBorders>
              <w:top w:val="single" w:sz="8" w:space="0" w:color="CCE0DA"/>
              <w:left w:val="single" w:sz="8" w:space="0" w:color="CCE0DA"/>
              <w:bottom w:val="single" w:sz="8" w:space="0" w:color="CCE0DA"/>
            </w:tcBorders>
          </w:tcPr>
          <w:p w14:paraId="5C8EC06C" w14:textId="77777777" w:rsidR="0018496D" w:rsidRPr="00CA74C4" w:rsidRDefault="0018496D" w:rsidP="006D765D">
            <w:pPr>
              <w:ind w:left="113" w:right="113"/>
              <w:rPr>
                <w:rFonts w:cs="Arial"/>
              </w:rPr>
            </w:pPr>
            <w:r w:rsidRPr="00CA74C4">
              <w:rPr>
                <w:rFonts w:cs="Arial"/>
              </w:rPr>
              <w:t>Relevant Objective</w:t>
            </w:r>
          </w:p>
        </w:tc>
        <w:tc>
          <w:tcPr>
            <w:tcW w:w="2410" w:type="dxa"/>
            <w:tcBorders>
              <w:top w:val="single" w:sz="8" w:space="0" w:color="CCE0DA"/>
            </w:tcBorders>
          </w:tcPr>
          <w:p w14:paraId="6B78D4FC" w14:textId="77777777" w:rsidR="0018496D" w:rsidRPr="00CA74C4" w:rsidRDefault="0018496D" w:rsidP="006D765D">
            <w:pPr>
              <w:ind w:left="113" w:right="113"/>
              <w:rPr>
                <w:rFonts w:cs="Arial"/>
              </w:rPr>
            </w:pPr>
            <w:r w:rsidRPr="00CA74C4">
              <w:rPr>
                <w:rFonts w:cs="Arial"/>
              </w:rPr>
              <w:t>Identified impact</w:t>
            </w:r>
          </w:p>
        </w:tc>
      </w:tr>
      <w:tr w:rsidR="0018496D" w:rsidRPr="00CA74C4" w14:paraId="76E349C4" w14:textId="77777777" w:rsidTr="00332A65">
        <w:trPr>
          <w:trHeight w:val="397"/>
        </w:trPr>
        <w:tc>
          <w:tcPr>
            <w:tcW w:w="7665" w:type="dxa"/>
            <w:tcBorders>
              <w:left w:val="single" w:sz="8" w:space="0" w:color="CCE0DA"/>
              <w:bottom w:val="single" w:sz="8" w:space="0" w:color="CCE0DA"/>
            </w:tcBorders>
          </w:tcPr>
          <w:p w14:paraId="4606387B" w14:textId="77777777" w:rsidR="0018496D" w:rsidRPr="00CA74C4" w:rsidRDefault="0018496D" w:rsidP="006D765D">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77B1B114" w14:textId="77777777" w:rsidR="0018496D" w:rsidRPr="00CA74C4" w:rsidRDefault="00567D1C" w:rsidP="006D765D">
            <w:pPr>
              <w:spacing w:before="40"/>
              <w:ind w:left="113"/>
              <w:rPr>
                <w:rFonts w:cs="Arial"/>
              </w:rPr>
            </w:pPr>
            <w:r>
              <w:rPr>
                <w:rFonts w:cs="Arial"/>
              </w:rPr>
              <w:t>Positive</w:t>
            </w:r>
          </w:p>
        </w:tc>
      </w:tr>
      <w:tr w:rsidR="0018496D" w:rsidRPr="00CA74C4" w14:paraId="270D9F0A" w14:textId="77777777" w:rsidTr="00332A65">
        <w:trPr>
          <w:trHeight w:val="397"/>
        </w:trPr>
        <w:tc>
          <w:tcPr>
            <w:tcW w:w="7665" w:type="dxa"/>
            <w:tcBorders>
              <w:left w:val="single" w:sz="8" w:space="0" w:color="CCE0DA"/>
              <w:bottom w:val="single" w:sz="8" w:space="0" w:color="CCE0DA"/>
            </w:tcBorders>
          </w:tcPr>
          <w:p w14:paraId="0891EE00" w14:textId="77777777" w:rsidR="0018496D" w:rsidRPr="00CA74C4" w:rsidRDefault="0018496D" w:rsidP="006D765D">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61642AF9" w14:textId="77777777" w:rsidR="0018496D" w:rsidRPr="00CA74C4" w:rsidRDefault="0018496D" w:rsidP="006D765D">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the combined pipe-line system, and/ or</w:t>
            </w:r>
          </w:p>
          <w:p w14:paraId="5AD17C68"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319E757A" w14:textId="77777777" w:rsidR="0018496D" w:rsidRPr="00CA74C4" w:rsidRDefault="00567D1C" w:rsidP="006D765D">
            <w:pPr>
              <w:spacing w:before="40"/>
              <w:ind w:left="113" w:right="113"/>
              <w:rPr>
                <w:rFonts w:cs="Arial"/>
              </w:rPr>
            </w:pPr>
            <w:r>
              <w:rPr>
                <w:rFonts w:cs="Arial"/>
              </w:rPr>
              <w:t>None</w:t>
            </w:r>
          </w:p>
        </w:tc>
      </w:tr>
      <w:tr w:rsidR="0018496D" w:rsidRPr="00CA74C4" w14:paraId="724F383F" w14:textId="77777777" w:rsidTr="00332A65">
        <w:trPr>
          <w:trHeight w:val="397"/>
        </w:trPr>
        <w:tc>
          <w:tcPr>
            <w:tcW w:w="7665" w:type="dxa"/>
            <w:tcBorders>
              <w:left w:val="single" w:sz="8" w:space="0" w:color="CCE0DA"/>
              <w:bottom w:val="single" w:sz="8" w:space="0" w:color="CCE0DA"/>
            </w:tcBorders>
          </w:tcPr>
          <w:p w14:paraId="509B14AE" w14:textId="77777777" w:rsidR="0018496D" w:rsidRPr="00CA74C4" w:rsidRDefault="0018496D" w:rsidP="006D765D">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68752D14" w14:textId="77777777" w:rsidR="0018496D" w:rsidRPr="00CA74C4" w:rsidRDefault="00567D1C" w:rsidP="006D765D">
            <w:pPr>
              <w:spacing w:before="40"/>
              <w:ind w:left="113" w:right="113"/>
              <w:rPr>
                <w:rFonts w:cs="Arial"/>
              </w:rPr>
            </w:pPr>
            <w:r>
              <w:rPr>
                <w:rFonts w:cs="Arial"/>
              </w:rPr>
              <w:t>None</w:t>
            </w:r>
          </w:p>
        </w:tc>
      </w:tr>
      <w:tr w:rsidR="0018496D" w:rsidRPr="00CA74C4" w14:paraId="26F1698D" w14:textId="77777777" w:rsidTr="00332A65">
        <w:trPr>
          <w:trHeight w:val="397"/>
        </w:trPr>
        <w:tc>
          <w:tcPr>
            <w:tcW w:w="7665" w:type="dxa"/>
            <w:tcBorders>
              <w:left w:val="single" w:sz="8" w:space="0" w:color="CCE0DA"/>
              <w:bottom w:val="single" w:sz="8" w:space="0" w:color="CCE0DA"/>
            </w:tcBorders>
          </w:tcPr>
          <w:p w14:paraId="642DBCE0" w14:textId="77777777" w:rsidR="0018496D" w:rsidRPr="00CA74C4" w:rsidRDefault="0018496D" w:rsidP="006D765D">
            <w:pPr>
              <w:pStyle w:val="Tablebodycopy"/>
              <w:ind w:left="453" w:right="238" w:hanging="340"/>
              <w:rPr>
                <w:rFonts w:cs="Arial"/>
              </w:rPr>
            </w:pPr>
            <w:r w:rsidRPr="00CA74C4">
              <w:rPr>
                <w:rFonts w:cs="Arial"/>
              </w:rPr>
              <w:lastRenderedPageBreak/>
              <w:t xml:space="preserve">d) </w:t>
            </w:r>
            <w:r w:rsidRPr="00CA74C4">
              <w:rPr>
                <w:rFonts w:cs="Arial"/>
              </w:rPr>
              <w:tab/>
              <w:t>Securing of effective competition:</w:t>
            </w:r>
          </w:p>
          <w:p w14:paraId="49B3BE1B" w14:textId="77777777" w:rsidR="0018496D" w:rsidRPr="00CA74C4" w:rsidRDefault="0018496D" w:rsidP="006D765D">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between relevant shippers;</w:t>
            </w:r>
          </w:p>
          <w:p w14:paraId="0F90FEC2"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between relevant suppliers; and/or</w:t>
            </w:r>
          </w:p>
          <w:p w14:paraId="488A1000" w14:textId="77777777" w:rsidR="0018496D" w:rsidRPr="00CA74C4" w:rsidRDefault="0018496D" w:rsidP="006D765D">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p>
        </w:tc>
        <w:tc>
          <w:tcPr>
            <w:tcW w:w="2410" w:type="dxa"/>
          </w:tcPr>
          <w:p w14:paraId="73949A53" w14:textId="77777777" w:rsidR="0018496D" w:rsidRPr="00CA74C4" w:rsidRDefault="0018496D" w:rsidP="006D765D">
            <w:pPr>
              <w:spacing w:before="40"/>
              <w:ind w:left="113" w:right="113"/>
              <w:rPr>
                <w:rFonts w:cs="Arial"/>
              </w:rPr>
            </w:pPr>
            <w:r w:rsidRPr="00CA74C4">
              <w:rPr>
                <w:rFonts w:cs="Arial"/>
              </w:rPr>
              <w:t>Positive</w:t>
            </w:r>
          </w:p>
        </w:tc>
      </w:tr>
      <w:tr w:rsidR="0018496D" w:rsidRPr="00CA74C4" w14:paraId="2DA0BCBC" w14:textId="77777777" w:rsidTr="00332A65">
        <w:trPr>
          <w:trHeight w:val="397"/>
        </w:trPr>
        <w:tc>
          <w:tcPr>
            <w:tcW w:w="7665" w:type="dxa"/>
            <w:tcBorders>
              <w:left w:val="single" w:sz="8" w:space="0" w:color="CCE0DA"/>
              <w:bottom w:val="single" w:sz="8" w:space="0" w:color="CCE0DA"/>
            </w:tcBorders>
          </w:tcPr>
          <w:p w14:paraId="166B0265" w14:textId="77777777" w:rsidR="0018496D" w:rsidRPr="00CA74C4" w:rsidRDefault="0018496D" w:rsidP="006D765D">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22478AB3" w14:textId="77777777" w:rsidR="0018496D" w:rsidRPr="00CA74C4" w:rsidRDefault="00567D1C" w:rsidP="006D765D">
            <w:pPr>
              <w:spacing w:before="40"/>
              <w:ind w:left="113" w:right="113"/>
              <w:rPr>
                <w:rFonts w:cs="Arial"/>
              </w:rPr>
            </w:pPr>
            <w:r>
              <w:rPr>
                <w:rFonts w:cs="Arial"/>
              </w:rPr>
              <w:t>None</w:t>
            </w:r>
          </w:p>
        </w:tc>
      </w:tr>
      <w:tr w:rsidR="0018496D" w:rsidRPr="00CA74C4" w14:paraId="26C4E4DE" w14:textId="77777777" w:rsidTr="00332A65">
        <w:trPr>
          <w:trHeight w:val="397"/>
        </w:trPr>
        <w:tc>
          <w:tcPr>
            <w:tcW w:w="7665" w:type="dxa"/>
            <w:tcBorders>
              <w:left w:val="single" w:sz="8" w:space="0" w:color="CCE0DA"/>
              <w:bottom w:val="single" w:sz="8" w:space="0" w:color="CCE0DA"/>
            </w:tcBorders>
          </w:tcPr>
          <w:p w14:paraId="0A754B9F" w14:textId="77777777" w:rsidR="0018496D" w:rsidRPr="00CA74C4" w:rsidRDefault="0018496D" w:rsidP="006D765D">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50E2C5A3" w14:textId="77777777" w:rsidR="0018496D" w:rsidRPr="00CA74C4" w:rsidRDefault="00567D1C" w:rsidP="006D765D">
            <w:pPr>
              <w:spacing w:before="40"/>
              <w:ind w:left="113" w:right="113"/>
              <w:rPr>
                <w:rFonts w:cs="Arial"/>
              </w:rPr>
            </w:pPr>
            <w:r>
              <w:rPr>
                <w:rFonts w:cs="Arial"/>
              </w:rPr>
              <w:t>None</w:t>
            </w:r>
          </w:p>
        </w:tc>
      </w:tr>
      <w:tr w:rsidR="0018496D" w:rsidRPr="00CA74C4" w14:paraId="5053F68C" w14:textId="77777777" w:rsidTr="00332A65">
        <w:trPr>
          <w:trHeight w:val="397"/>
        </w:trPr>
        <w:tc>
          <w:tcPr>
            <w:tcW w:w="7665" w:type="dxa"/>
            <w:tcBorders>
              <w:left w:val="single" w:sz="8" w:space="0" w:color="CCE0DA"/>
              <w:bottom w:val="single" w:sz="8" w:space="0" w:color="CCE0DA"/>
            </w:tcBorders>
          </w:tcPr>
          <w:p w14:paraId="6A8CECA4" w14:textId="77777777" w:rsidR="0018496D" w:rsidRPr="00CA74C4" w:rsidRDefault="0018496D" w:rsidP="006D765D">
            <w:pPr>
              <w:pStyle w:val="Tablebodycopy"/>
              <w:tabs>
                <w:tab w:val="left" w:pos="578"/>
              </w:tabs>
              <w:ind w:left="397" w:right="238" w:hanging="284"/>
              <w:rPr>
                <w:rFonts w:cs="Arial"/>
              </w:rPr>
            </w:pPr>
            <w:r w:rsidRPr="00CA74C4">
              <w:rPr>
                <w:rFonts w:cs="Arial"/>
              </w:rPr>
              <w:t>g)  Compliance with the Regulation and any relevant legally binding decisions of the European Commission and/or the Agency for the Co-operation of Energy Regulators.</w:t>
            </w:r>
          </w:p>
        </w:tc>
        <w:tc>
          <w:tcPr>
            <w:tcW w:w="2410" w:type="dxa"/>
          </w:tcPr>
          <w:p w14:paraId="3B5F412C" w14:textId="77777777" w:rsidR="0018496D" w:rsidRPr="00CA74C4" w:rsidRDefault="00567D1C" w:rsidP="006D765D">
            <w:pPr>
              <w:spacing w:before="40"/>
              <w:ind w:left="113" w:right="113"/>
              <w:rPr>
                <w:rFonts w:cs="Arial"/>
              </w:rPr>
            </w:pPr>
            <w:r>
              <w:rPr>
                <w:rFonts w:cs="Arial"/>
              </w:rPr>
              <w:t>None</w:t>
            </w:r>
          </w:p>
        </w:tc>
      </w:tr>
    </w:tbl>
    <w:p w14:paraId="4026303A" w14:textId="77777777" w:rsidR="00567D1C" w:rsidRDefault="00567D1C" w:rsidP="00567D1C">
      <w:pPr>
        <w:rPr>
          <w:rFonts w:cs="Arial"/>
        </w:rPr>
      </w:pPr>
      <w:r>
        <w:rPr>
          <w:rFonts w:cs="Arial"/>
        </w:rPr>
        <w:t>Relevant Objective:</w:t>
      </w:r>
    </w:p>
    <w:p w14:paraId="1414F2F8" w14:textId="77777777" w:rsidR="006C3B35" w:rsidRDefault="006C3B35" w:rsidP="00C83D64">
      <w:pPr>
        <w:numPr>
          <w:ilvl w:val="0"/>
          <w:numId w:val="31"/>
        </w:numPr>
        <w:jc w:val="both"/>
        <w:rPr>
          <w:rFonts w:cs="Arial"/>
        </w:rPr>
      </w:pPr>
      <w:r>
        <w:rPr>
          <w:rFonts w:cs="Arial"/>
        </w:rPr>
        <w:t>This proposal furthers Relevant Objective (a) as implementing a Weekly NTS E</w:t>
      </w:r>
      <w:r w:rsidR="0019312D">
        <w:rPr>
          <w:rFonts w:cs="Arial"/>
        </w:rPr>
        <w:t>xit</w:t>
      </w:r>
      <w:r>
        <w:rPr>
          <w:rFonts w:cs="Arial"/>
        </w:rPr>
        <w:t xml:space="preserve"> Capacity auction will provide </w:t>
      </w:r>
      <w:r w:rsidR="008775AB">
        <w:rPr>
          <w:rFonts w:cs="Arial"/>
        </w:rPr>
        <w:t>Users</w:t>
      </w:r>
      <w:r>
        <w:rPr>
          <w:rFonts w:cs="Arial"/>
        </w:rPr>
        <w:t xml:space="preserve"> </w:t>
      </w:r>
      <w:r w:rsidR="00232BC6">
        <w:rPr>
          <w:rFonts w:cs="Arial"/>
        </w:rPr>
        <w:t>with an</w:t>
      </w:r>
      <w:r>
        <w:rPr>
          <w:rFonts w:cs="Arial"/>
        </w:rPr>
        <w:t xml:space="preserve"> additional opportunity to efficiently purchase capacity that better reflect</w:t>
      </w:r>
      <w:r w:rsidR="007B71E2">
        <w:rPr>
          <w:rFonts w:cs="Arial"/>
        </w:rPr>
        <w:t>s</w:t>
      </w:r>
      <w:r>
        <w:rPr>
          <w:rFonts w:cs="Arial"/>
        </w:rPr>
        <w:t xml:space="preserve"> their anticipated gas flows. This will enable National Grid NTS to commercially plan, operate and manage the NTS, therefore facilitating the efficient and economic operation of the NTS. </w:t>
      </w:r>
    </w:p>
    <w:p w14:paraId="02B9DC07" w14:textId="77777777" w:rsidR="00567D1C" w:rsidRDefault="006C3B35" w:rsidP="00C83D64">
      <w:pPr>
        <w:numPr>
          <w:ilvl w:val="0"/>
          <w:numId w:val="32"/>
        </w:numPr>
        <w:jc w:val="both"/>
        <w:rPr>
          <w:rFonts w:cs="Arial"/>
        </w:rPr>
      </w:pPr>
      <w:r>
        <w:rPr>
          <w:rFonts w:cs="Arial"/>
        </w:rPr>
        <w:t xml:space="preserve">This proposal furthers Relevant Objective (d) by allowing </w:t>
      </w:r>
      <w:r w:rsidR="008775AB">
        <w:rPr>
          <w:rFonts w:cs="Arial"/>
        </w:rPr>
        <w:t>Users</w:t>
      </w:r>
      <w:r>
        <w:rPr>
          <w:rFonts w:cs="Arial"/>
        </w:rPr>
        <w:t xml:space="preserve"> to </w:t>
      </w:r>
      <w:r w:rsidR="006972D2">
        <w:rPr>
          <w:rFonts w:cs="Arial"/>
        </w:rPr>
        <w:t>book NTS E</w:t>
      </w:r>
      <w:r w:rsidR="0019312D">
        <w:rPr>
          <w:rFonts w:cs="Arial"/>
        </w:rPr>
        <w:t>xit</w:t>
      </w:r>
      <w:r w:rsidR="006972D2">
        <w:rPr>
          <w:rFonts w:cs="Arial"/>
        </w:rPr>
        <w:t xml:space="preserve"> C</w:t>
      </w:r>
      <w:r>
        <w:rPr>
          <w:rFonts w:cs="Arial"/>
        </w:rPr>
        <w:t>apacity that better reflect</w:t>
      </w:r>
      <w:r w:rsidR="006972D2">
        <w:rPr>
          <w:rFonts w:cs="Arial"/>
        </w:rPr>
        <w:t>s</w:t>
      </w:r>
      <w:r>
        <w:rPr>
          <w:rFonts w:cs="Arial"/>
        </w:rPr>
        <w:t xml:space="preserve"> their </w:t>
      </w:r>
      <w:r w:rsidR="006972D2">
        <w:rPr>
          <w:rFonts w:cs="Arial"/>
        </w:rPr>
        <w:t xml:space="preserve">anticipated </w:t>
      </w:r>
      <w:r>
        <w:rPr>
          <w:rFonts w:cs="Arial"/>
        </w:rPr>
        <w:t xml:space="preserve">gas flows (versus the current </w:t>
      </w:r>
      <w:r w:rsidR="0019312D">
        <w:rPr>
          <w:rFonts w:cs="Arial"/>
        </w:rPr>
        <w:t>Annual Capacity products</w:t>
      </w:r>
      <w:r>
        <w:rPr>
          <w:rFonts w:cs="Arial"/>
        </w:rPr>
        <w:t>). This will reduce the</w:t>
      </w:r>
      <w:r w:rsidR="00232BC6">
        <w:rPr>
          <w:rFonts w:cs="Arial"/>
        </w:rPr>
        <w:t xml:space="preserve"> </w:t>
      </w:r>
      <w:r>
        <w:rPr>
          <w:rFonts w:cs="Arial"/>
        </w:rPr>
        <w:t>cost of acquiring</w:t>
      </w:r>
      <w:r w:rsidR="00232BC6">
        <w:rPr>
          <w:rFonts w:cs="Arial"/>
        </w:rPr>
        <w:t xml:space="preserve"> unwanted</w:t>
      </w:r>
      <w:r>
        <w:rPr>
          <w:rFonts w:cs="Arial"/>
        </w:rPr>
        <w:t xml:space="preserve"> </w:t>
      </w:r>
      <w:r w:rsidR="006972D2">
        <w:rPr>
          <w:rFonts w:cs="Arial"/>
        </w:rPr>
        <w:t>NTS E</w:t>
      </w:r>
      <w:r w:rsidR="0019312D">
        <w:rPr>
          <w:rFonts w:cs="Arial"/>
        </w:rPr>
        <w:t>xit</w:t>
      </w:r>
      <w:r w:rsidR="006972D2">
        <w:rPr>
          <w:rFonts w:cs="Arial"/>
        </w:rPr>
        <w:t xml:space="preserve"> C</w:t>
      </w:r>
      <w:r>
        <w:rPr>
          <w:rFonts w:cs="Arial"/>
        </w:rPr>
        <w:t>apacity,</w:t>
      </w:r>
      <w:r w:rsidR="0019312D">
        <w:rPr>
          <w:rFonts w:cs="Arial"/>
        </w:rPr>
        <w:t xml:space="preserve"> where the alternative of relying on the daily product is perceived to be an unpalatable risk</w:t>
      </w:r>
      <w:r w:rsidR="00232BC6">
        <w:rPr>
          <w:rFonts w:cs="Arial"/>
        </w:rPr>
        <w:t xml:space="preserve">. </w:t>
      </w:r>
    </w:p>
    <w:p w14:paraId="5071FE04" w14:textId="77777777" w:rsidR="00BE7B70" w:rsidRDefault="00BE7B70" w:rsidP="00BE7B70">
      <w:pPr>
        <w:pStyle w:val="Heading4"/>
        <w:keepLines w:val="0"/>
        <w:numPr>
          <w:ilvl w:val="0"/>
          <w:numId w:val="0"/>
        </w:numPr>
        <w:spacing w:before="240"/>
        <w:rPr>
          <w:rFonts w:ascii="Arial" w:eastAsia="Times New Roman" w:hAnsi="Arial" w:cs="Arial"/>
          <w:b w:val="0"/>
          <w:color w:val="00B274"/>
          <w:szCs w:val="20"/>
        </w:rPr>
      </w:pPr>
      <w:r>
        <w:rPr>
          <w:rFonts w:ascii="Arial" w:eastAsia="Times New Roman" w:hAnsi="Arial" w:cs="Arial"/>
          <w:i w:val="0"/>
          <w:iCs w:val="0"/>
          <w:color w:val="008576"/>
          <w:sz w:val="24"/>
          <w:szCs w:val="28"/>
        </w:rPr>
        <w:t>Workgroup discussion</w:t>
      </w:r>
    </w:p>
    <w:p w14:paraId="29698722" w14:textId="4AFF294A" w:rsidR="00BE7B70" w:rsidRPr="00DA270B" w:rsidRDefault="00883BC4" w:rsidP="00BE7B70">
      <w:pPr>
        <w:jc w:val="both"/>
        <w:rPr>
          <w:rFonts w:cs="Arial"/>
        </w:rPr>
      </w:pPr>
      <w:proofErr w:type="spellStart"/>
      <w:r w:rsidRPr="00883BC4">
        <w:rPr>
          <w:rFonts w:cs="Arial"/>
          <w:highlight w:val="yellow"/>
        </w:rPr>
        <w:t>xxxxx</w:t>
      </w:r>
      <w:proofErr w:type="spellEnd"/>
    </w:p>
    <w:p w14:paraId="2F3ABA68" w14:textId="77777777" w:rsidR="00450385" w:rsidRPr="00CA74C4" w:rsidRDefault="00C31A20" w:rsidP="0004703E">
      <w:pPr>
        <w:pStyle w:val="Heading02"/>
        <w:rPr>
          <w:noProof/>
        </w:rPr>
      </w:pPr>
      <w:bookmarkStart w:id="8" w:name="_Toc318966124"/>
      <w:r w:rsidRPr="00CA74C4">
        <w:rPr>
          <w:noProof/>
        </w:rPr>
        <w:t>Imple</w:t>
      </w:r>
      <w:r w:rsidR="00461C2F" w:rsidRPr="00CA74C4">
        <w:rPr>
          <w:noProof/>
        </w:rPr>
        <w:t>me</w:t>
      </w:r>
      <w:r w:rsidRPr="00CA74C4">
        <w:rPr>
          <w:noProof/>
        </w:rPr>
        <w:t>ntation</w:t>
      </w:r>
      <w:bookmarkEnd w:id="8"/>
    </w:p>
    <w:p w14:paraId="7B0DF4A8" w14:textId="77777777" w:rsidR="00B97DE8" w:rsidRDefault="005E0689" w:rsidP="00B97DE8">
      <w:pPr>
        <w:jc w:val="both"/>
        <w:rPr>
          <w:rFonts w:cs="Arial"/>
        </w:rPr>
      </w:pPr>
      <w:r>
        <w:rPr>
          <w:rFonts w:cs="Arial"/>
        </w:rPr>
        <w:t xml:space="preserve">The Modification should be implemented as soon as reasonably possible </w:t>
      </w:r>
      <w:r w:rsidR="00BC314F">
        <w:rPr>
          <w:rFonts w:cs="Arial"/>
        </w:rPr>
        <w:t>and is not required to be</w:t>
      </w:r>
      <w:r>
        <w:rPr>
          <w:rFonts w:cs="Arial"/>
        </w:rPr>
        <w:t xml:space="preserve"> </w:t>
      </w:r>
      <w:r w:rsidR="00BC314F">
        <w:rPr>
          <w:rFonts w:cs="Arial"/>
        </w:rPr>
        <w:t xml:space="preserve">implemented </w:t>
      </w:r>
      <w:r>
        <w:rPr>
          <w:rFonts w:cs="Arial"/>
        </w:rPr>
        <w:t>at the start of a Gas Year</w:t>
      </w:r>
      <w:r w:rsidR="00E222AE">
        <w:rPr>
          <w:rFonts w:cs="Arial"/>
        </w:rPr>
        <w:t xml:space="preserve">, </w:t>
      </w:r>
      <w:r w:rsidR="00B97DE8">
        <w:rPr>
          <w:rFonts w:cs="Arial"/>
        </w:rPr>
        <w:t xml:space="preserve">subject to UNC TPD Section Y 1.3.2 (j) regarding the publication of reserve prices.  </w:t>
      </w:r>
    </w:p>
    <w:p w14:paraId="616FCFCF" w14:textId="77777777" w:rsidR="00F50A5A" w:rsidRPr="00CA74C4" w:rsidRDefault="00F50A5A" w:rsidP="00C83D64">
      <w:pPr>
        <w:jc w:val="both"/>
        <w:rPr>
          <w:rFonts w:cs="Arial"/>
        </w:rPr>
      </w:pPr>
      <w:r w:rsidRPr="00CA74C4">
        <w:rPr>
          <w:rFonts w:cs="Arial"/>
        </w:rPr>
        <w:t xml:space="preserve">As </w:t>
      </w:r>
      <w:r w:rsidR="001028CE">
        <w:rPr>
          <w:rFonts w:cs="Arial"/>
        </w:rPr>
        <w:t>S</w:t>
      </w:r>
      <w:r w:rsidRPr="00CA74C4">
        <w:rPr>
          <w:rFonts w:cs="Arial"/>
        </w:rPr>
        <w:t>elf-</w:t>
      </w:r>
      <w:r w:rsidR="001028CE">
        <w:rPr>
          <w:rFonts w:cs="Arial"/>
        </w:rPr>
        <w:t>G</w:t>
      </w:r>
      <w:r w:rsidRPr="00CA74C4">
        <w:rPr>
          <w:rFonts w:cs="Arial"/>
        </w:rPr>
        <w:t xml:space="preserve">overnance procedures are proposed, implementation could be sixteen business days after a Modification Panel decision to implement, </w:t>
      </w:r>
      <w:r w:rsidRPr="00CA74C4">
        <w:rPr>
          <w:rFonts w:cs="Arial"/>
          <w:lang w:val="en-US"/>
        </w:rPr>
        <w:t>subject to no Appeal being raised.</w:t>
      </w:r>
    </w:p>
    <w:p w14:paraId="19841EEE" w14:textId="77777777" w:rsidR="00F007A0" w:rsidRPr="00CA74C4" w:rsidRDefault="00F007A0" w:rsidP="0004703E">
      <w:pPr>
        <w:pStyle w:val="Heading02"/>
      </w:pPr>
      <w:bookmarkStart w:id="9" w:name="_Toc156882583"/>
      <w:bookmarkStart w:id="10" w:name="_Toc163008071"/>
      <w:bookmarkStart w:id="11" w:name="_Toc318966125"/>
      <w:r w:rsidRPr="00CA74C4">
        <w:t>Legal Text</w:t>
      </w:r>
      <w:bookmarkEnd w:id="9"/>
      <w:bookmarkEnd w:id="10"/>
      <w:bookmarkEnd w:id="11"/>
    </w:p>
    <w:p w14:paraId="752F120F" w14:textId="77777777" w:rsidR="00F63C2B" w:rsidRPr="008D54E0" w:rsidRDefault="00F63C2B" w:rsidP="00F63C2B">
      <w:pPr>
        <w:rPr>
          <w:rFonts w:cs="Arial"/>
          <w:bCs/>
          <w:i/>
          <w:iCs/>
          <w:color w:val="00B274"/>
          <w:szCs w:val="20"/>
        </w:rPr>
      </w:pPr>
      <w:bookmarkStart w:id="12" w:name="_Toc318966126"/>
      <w:bookmarkStart w:id="13" w:name="_Hlk534356732"/>
      <w:r w:rsidRPr="008D54E0">
        <w:rPr>
          <w:rFonts w:cs="Arial"/>
          <w:bCs/>
          <w:i/>
          <w:iCs/>
          <w:color w:val="00B274"/>
          <w:szCs w:val="20"/>
        </w:rPr>
        <w:t xml:space="preserve">Insert Proposers Suggested Legal Text </w:t>
      </w:r>
      <w:proofErr w:type="gramStart"/>
      <w:r w:rsidRPr="008D54E0">
        <w:rPr>
          <w:rFonts w:cs="Arial"/>
          <w:bCs/>
          <w:i/>
          <w:iCs/>
          <w:color w:val="00B274"/>
          <w:szCs w:val="20"/>
        </w:rPr>
        <w:t>where</w:t>
      </w:r>
      <w:proofErr w:type="gramEnd"/>
      <w:r w:rsidRPr="008D54E0">
        <w:rPr>
          <w:rFonts w:cs="Arial"/>
          <w:bCs/>
          <w:i/>
          <w:iCs/>
          <w:color w:val="00B274"/>
          <w:szCs w:val="20"/>
        </w:rPr>
        <w:t xml:space="preserve"> provided and not superseded by Transporters Text.</w:t>
      </w:r>
    </w:p>
    <w:p w14:paraId="29D4BEB7" w14:textId="77777777" w:rsidR="00F63C2B" w:rsidRDefault="00F63C2B" w:rsidP="00F63C2B">
      <w:pPr>
        <w:rPr>
          <w:rStyle w:val="Hyperlink"/>
          <w:rFonts w:cs="Arial"/>
        </w:rPr>
      </w:pPr>
      <w:r w:rsidRPr="008D54E0">
        <w:rPr>
          <w:rFonts w:cs="Arial"/>
          <w:bCs/>
          <w:i/>
          <w:iCs/>
          <w:color w:val="00B274"/>
          <w:szCs w:val="20"/>
        </w:rPr>
        <w:t>Legal text will be drawn up by the relevant Transporter at a time when the modification is sufficiently developed in line with the</w:t>
      </w:r>
      <w:r w:rsidRPr="008D54E0">
        <w:rPr>
          <w:rFonts w:cs="Arial"/>
        </w:rPr>
        <w:t xml:space="preserve"> </w:t>
      </w:r>
      <w:hyperlink r:id="rId26" w:history="1">
        <w:r w:rsidRPr="008D54E0">
          <w:rPr>
            <w:rStyle w:val="Hyperlink"/>
            <w:rFonts w:cs="Arial"/>
          </w:rPr>
          <w:t>Legal Text Guidance Document</w:t>
        </w:r>
      </w:hyperlink>
      <w:r w:rsidRPr="008D54E0">
        <w:rPr>
          <w:rStyle w:val="Hyperlink"/>
          <w:rFonts w:cs="Arial"/>
        </w:rPr>
        <w:t>.</w:t>
      </w:r>
    </w:p>
    <w:p w14:paraId="61A5304B" w14:textId="5D2CD2FD" w:rsidR="00F63C2B" w:rsidRPr="0088780C" w:rsidRDefault="00F63C2B" w:rsidP="00F63C2B">
      <w:pPr>
        <w:rPr>
          <w:rFonts w:cs="Arial"/>
        </w:rPr>
      </w:pPr>
      <w:r w:rsidRPr="0088780C">
        <w:t>L</w:t>
      </w:r>
      <w:r w:rsidRPr="0088780C">
        <w:rPr>
          <w:rFonts w:cs="Arial"/>
        </w:rPr>
        <w:t xml:space="preserve">egal Text has been provided by </w:t>
      </w:r>
      <w:r w:rsidR="00BF4B57">
        <w:rPr>
          <w:rFonts w:cs="Arial"/>
        </w:rPr>
        <w:t xml:space="preserve">National Grid </w:t>
      </w:r>
      <w:r w:rsidRPr="0088780C">
        <w:rPr>
          <w:rFonts w:cs="Arial"/>
        </w:rPr>
        <w:t xml:space="preserve">and is </w:t>
      </w:r>
      <w:r w:rsidRPr="00584C63">
        <w:rPr>
          <w:rFonts w:cs="Arial"/>
          <w:highlight w:val="yellow"/>
        </w:rPr>
        <w:t>[included below/published alongside this report].</w:t>
      </w:r>
      <w:r w:rsidRPr="0088780C">
        <w:rPr>
          <w:rFonts w:cs="Arial"/>
        </w:rPr>
        <w:t xml:space="preserve"> The Workgroup has considered the Legal Text and is satisfied that it meets the intent of the Solution.</w:t>
      </w:r>
    </w:p>
    <w:bookmarkEnd w:id="13"/>
    <w:p w14:paraId="7CA3450F" w14:textId="3BC5EE42" w:rsidR="006D765D" w:rsidRPr="00CA74C4"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lastRenderedPageBreak/>
        <w:t>Text Commentary</w:t>
      </w:r>
    </w:p>
    <w:p w14:paraId="1E9D3DEC" w14:textId="77777777" w:rsidR="006D765D" w:rsidRPr="00CA74C4" w:rsidRDefault="00E1494E" w:rsidP="006D765D">
      <w:pPr>
        <w:rPr>
          <w:rFonts w:cs="Arial"/>
        </w:rPr>
      </w:pPr>
      <w:r>
        <w:rPr>
          <w:rFonts w:cs="Arial"/>
        </w:rPr>
        <w:t>To be provided by Transporters.</w:t>
      </w:r>
    </w:p>
    <w:p w14:paraId="115D48C0" w14:textId="77777777" w:rsidR="006D765D" w:rsidRPr="00CA74C4"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w:t>
      </w:r>
    </w:p>
    <w:p w14:paraId="42BCA233" w14:textId="77777777" w:rsidR="006D765D" w:rsidRPr="00CA74C4" w:rsidRDefault="00E1494E" w:rsidP="006D765D">
      <w:pPr>
        <w:rPr>
          <w:rFonts w:cs="Arial"/>
        </w:rPr>
      </w:pPr>
      <w:r>
        <w:rPr>
          <w:rFonts w:cs="Arial"/>
        </w:rPr>
        <w:t>To be provided by Transporters.</w:t>
      </w:r>
    </w:p>
    <w:p w14:paraId="59A75E0F" w14:textId="77777777" w:rsidR="00F73FD6" w:rsidRPr="00CA74C4" w:rsidRDefault="00A00B4A" w:rsidP="0004703E">
      <w:pPr>
        <w:pStyle w:val="Heading02"/>
      </w:pPr>
      <w:r w:rsidRPr="00CA74C4">
        <w:t>Recommendation</w:t>
      </w:r>
      <w:r w:rsidR="006D75CD" w:rsidRPr="00CA74C4">
        <w:t>s</w:t>
      </w:r>
      <w:bookmarkEnd w:id="12"/>
      <w:r w:rsidRPr="00CA74C4">
        <w:t xml:space="preserve"> </w:t>
      </w:r>
    </w:p>
    <w:p w14:paraId="2E16DE4A" w14:textId="77777777" w:rsidR="000C0A74" w:rsidRPr="00EB32BB" w:rsidRDefault="000C0A74" w:rsidP="000C0A74">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Workgroup’s Recommendation to Panel</w:t>
      </w:r>
    </w:p>
    <w:p w14:paraId="2901357C" w14:textId="3FD29288" w:rsidR="00D22CEB" w:rsidRPr="000C0A74" w:rsidRDefault="000C0A74" w:rsidP="000C0A74">
      <w:r w:rsidRPr="008C182E">
        <w:t xml:space="preserve">The Workgroup </w:t>
      </w:r>
      <w:r>
        <w:t>asks Panel to agree that t</w:t>
      </w:r>
      <w:r w:rsidRPr="008C182E">
        <w:t xml:space="preserve">his </w:t>
      </w:r>
      <w:r>
        <w:t xml:space="preserve">Self-Governance </w:t>
      </w:r>
      <w:r w:rsidRPr="008C182E">
        <w:t xml:space="preserve">modification should </w:t>
      </w:r>
      <w:r>
        <w:t>proceed to</w:t>
      </w:r>
      <w:r w:rsidRPr="008C182E">
        <w:t xml:space="preserve"> consultation.</w:t>
      </w:r>
    </w:p>
    <w:sectPr w:rsidR="00D22CEB" w:rsidRPr="000C0A74" w:rsidSect="003261A6">
      <w:headerReference w:type="default" r:id="rId27"/>
      <w:footerReference w:type="default" r:id="rId28"/>
      <w:type w:val="continuous"/>
      <w:pgSz w:w="11906" w:h="16838"/>
      <w:pgMar w:top="1197" w:right="962" w:bottom="567" w:left="1134" w:header="234"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4FAE4" w14:textId="77777777" w:rsidR="00787630" w:rsidRDefault="00787630">
      <w:pPr>
        <w:spacing w:line="240" w:lineRule="auto"/>
      </w:pPr>
      <w:r>
        <w:separator/>
      </w:r>
    </w:p>
    <w:p w14:paraId="7949CF8C" w14:textId="77777777" w:rsidR="00787630" w:rsidRDefault="00787630"/>
  </w:endnote>
  <w:endnote w:type="continuationSeparator" w:id="0">
    <w:p w14:paraId="28BE0C99" w14:textId="77777777" w:rsidR="00787630" w:rsidRDefault="00787630">
      <w:pPr>
        <w:spacing w:line="240" w:lineRule="auto"/>
      </w:pPr>
      <w:r>
        <w:continuationSeparator/>
      </w:r>
    </w:p>
    <w:p w14:paraId="1DF6218D" w14:textId="77777777" w:rsidR="00787630" w:rsidRDefault="00787630"/>
  </w:endnote>
  <w:endnote w:type="continuationNotice" w:id="1">
    <w:p w14:paraId="58F0C167" w14:textId="77777777" w:rsidR="00787630" w:rsidRDefault="0078763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862F" w14:textId="43890FD4" w:rsidR="00547AD0" w:rsidRDefault="00547AD0"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 xml:space="preserve">UNC </w:t>
    </w:r>
    <w:r w:rsidR="005753C3">
      <w:rPr>
        <w:rFonts w:cs="Arial"/>
        <w:sz w:val="16"/>
        <w:szCs w:val="16"/>
      </w:rPr>
      <w:t>0805</w:t>
    </w:r>
    <w:r w:rsidR="00384206">
      <w:rPr>
        <w:rFonts w:cs="Arial"/>
        <w:sz w:val="16"/>
        <w:szCs w:val="16"/>
      </w:rPr>
      <w:t>S</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1</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1</w:t>
    </w:r>
    <w:r w:rsidRPr="000660DF">
      <w:rPr>
        <w:rFonts w:cs="Arial"/>
        <w:sz w:val="16"/>
        <w:szCs w:val="16"/>
        <w:lang w:val="en-US"/>
      </w:rPr>
      <w:fldChar w:fldCharType="end"/>
    </w:r>
    <w:r>
      <w:rPr>
        <w:rFonts w:cs="Arial"/>
        <w:sz w:val="16"/>
        <w:szCs w:val="16"/>
        <w:lang w:val="en-US"/>
      </w:rPr>
      <w:tab/>
      <w:t xml:space="preserve">Version </w:t>
    </w:r>
    <w:r w:rsidR="00731CC7">
      <w:rPr>
        <w:rFonts w:cs="Arial"/>
        <w:sz w:val="16"/>
        <w:szCs w:val="16"/>
        <w:lang w:val="en-US"/>
      </w:rPr>
      <w:t>0.</w:t>
    </w:r>
    <w:r w:rsidR="00026CA1">
      <w:rPr>
        <w:rFonts w:cs="Arial"/>
        <w:sz w:val="16"/>
        <w:szCs w:val="16"/>
        <w:lang w:val="en-US"/>
      </w:rPr>
      <w:t>2</w:t>
    </w:r>
  </w:p>
  <w:p w14:paraId="7733BA66" w14:textId="3A6E9FBD" w:rsidR="00547AD0" w:rsidRPr="000660DF" w:rsidRDefault="00731CC7"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w:t>
    </w:r>
    <w:r w:rsidR="00547AD0">
      <w:rPr>
        <w:rFonts w:cs="Arial"/>
        <w:sz w:val="16"/>
        <w:szCs w:val="16"/>
        <w:lang w:val="en-US"/>
      </w:rPr>
      <w:tab/>
    </w:r>
    <w:r w:rsidR="00547AD0">
      <w:rPr>
        <w:rFonts w:cs="Arial"/>
        <w:sz w:val="16"/>
        <w:szCs w:val="16"/>
      </w:rPr>
      <w:tab/>
    </w:r>
    <w:r w:rsidR="00FD7968">
      <w:rPr>
        <w:rFonts w:cs="Arial"/>
        <w:sz w:val="16"/>
        <w:szCs w:val="16"/>
      </w:rPr>
      <w:t xml:space="preserve">       </w:t>
    </w:r>
    <w:r w:rsidR="007F7776">
      <w:rPr>
        <w:rFonts w:cs="Arial"/>
        <w:sz w:val="16"/>
        <w:szCs w:val="16"/>
      </w:rPr>
      <w:t>3</w:t>
    </w:r>
    <w:r>
      <w:rPr>
        <w:rFonts w:cs="Arial"/>
        <w:sz w:val="16"/>
        <w:szCs w:val="16"/>
      </w:rPr>
      <w:t xml:space="preserve">0 </w:t>
    </w:r>
    <w:r w:rsidR="007F7776">
      <w:rPr>
        <w:rFonts w:cs="Arial"/>
        <w:sz w:val="16"/>
        <w:szCs w:val="16"/>
      </w:rPr>
      <w:t>May</w:t>
    </w:r>
    <w:r>
      <w:rPr>
        <w:rFonts w:cs="Arial"/>
        <w:sz w:val="16"/>
        <w:szCs w:val="16"/>
      </w:rPr>
      <w:t xml:space="preserve"> </w:t>
    </w:r>
    <w:r w:rsidR="008E27C4">
      <w:rPr>
        <w:rFonts w:cs="Arial"/>
        <w:sz w:val="16"/>
        <w:szCs w:val="16"/>
        <w:lang w:val="en-US"/>
      </w:rPr>
      <w:t>202</w:t>
    </w:r>
    <w:r w:rsidR="00770663">
      <w:rPr>
        <w:rFonts w:cs="Arial"/>
        <w:sz w:val="16"/>
        <w:szCs w:val="16"/>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3945C" w14:textId="77777777" w:rsidR="00787630" w:rsidRDefault="00787630">
      <w:pPr>
        <w:spacing w:line="240" w:lineRule="auto"/>
      </w:pPr>
      <w:r>
        <w:separator/>
      </w:r>
    </w:p>
    <w:p w14:paraId="244F452C" w14:textId="77777777" w:rsidR="00787630" w:rsidRDefault="00787630"/>
  </w:footnote>
  <w:footnote w:type="continuationSeparator" w:id="0">
    <w:p w14:paraId="523FE33A" w14:textId="77777777" w:rsidR="00787630" w:rsidRDefault="00787630">
      <w:pPr>
        <w:spacing w:line="240" w:lineRule="auto"/>
      </w:pPr>
      <w:r>
        <w:continuationSeparator/>
      </w:r>
    </w:p>
    <w:p w14:paraId="77FD0BA6" w14:textId="77777777" w:rsidR="00787630" w:rsidRDefault="00787630"/>
  </w:footnote>
  <w:footnote w:type="continuationNotice" w:id="1">
    <w:p w14:paraId="4F7CD79A" w14:textId="77777777" w:rsidR="00787630" w:rsidRDefault="00787630">
      <w:pPr>
        <w:spacing w:before="0" w:after="0" w:line="240" w:lineRule="auto"/>
      </w:pPr>
    </w:p>
  </w:footnote>
  <w:footnote w:id="2">
    <w:p w14:paraId="0DC5CB7F" w14:textId="77777777" w:rsidR="00547AD0" w:rsidRPr="00774996" w:rsidRDefault="00547AD0" w:rsidP="00C71EB7">
      <w:pPr>
        <w:pStyle w:val="FootnoteText"/>
        <w:spacing w:before="0" w:after="0"/>
        <w:jc w:val="both"/>
        <w:rPr>
          <w:sz w:val="18"/>
          <w:szCs w:val="18"/>
          <w:lang w:val="en-US"/>
        </w:rPr>
      </w:pPr>
      <w:r w:rsidRPr="00774996">
        <w:rPr>
          <w:rStyle w:val="FootnoteReference"/>
          <w:sz w:val="18"/>
          <w:szCs w:val="18"/>
        </w:rPr>
        <w:footnoteRef/>
      </w:r>
      <w:r w:rsidRPr="00774996">
        <w:rPr>
          <w:sz w:val="18"/>
          <w:szCs w:val="18"/>
        </w:rPr>
        <w:t xml:space="preserve"> </w:t>
      </w:r>
      <w:r w:rsidRPr="00774996">
        <w:rPr>
          <w:sz w:val="18"/>
          <w:szCs w:val="18"/>
          <w:lang w:val="en-US"/>
        </w:rPr>
        <w:t xml:space="preserve">Where a Shipper’s </w:t>
      </w:r>
      <w:r w:rsidR="001167CD">
        <w:rPr>
          <w:sz w:val="18"/>
          <w:szCs w:val="18"/>
          <w:lang w:val="en-US"/>
        </w:rPr>
        <w:t xml:space="preserve">offtake quantity </w:t>
      </w:r>
      <w:r w:rsidRPr="00774996">
        <w:rPr>
          <w:sz w:val="18"/>
          <w:szCs w:val="18"/>
          <w:lang w:val="en-US"/>
        </w:rPr>
        <w:t>exceeds their e</w:t>
      </w:r>
      <w:r w:rsidR="001167CD">
        <w:rPr>
          <w:sz w:val="18"/>
          <w:szCs w:val="18"/>
          <w:lang w:val="en-US"/>
        </w:rPr>
        <w:t>xit</w:t>
      </w:r>
      <w:r w:rsidRPr="00774996">
        <w:rPr>
          <w:sz w:val="18"/>
          <w:szCs w:val="18"/>
          <w:lang w:val="en-US"/>
        </w:rPr>
        <w:t xml:space="preserve"> capacity </w:t>
      </w:r>
      <w:r w:rsidR="00305810" w:rsidRPr="00774996">
        <w:rPr>
          <w:sz w:val="18"/>
          <w:szCs w:val="18"/>
          <w:lang w:val="en-US"/>
        </w:rPr>
        <w:t>entitlement</w:t>
      </w:r>
      <w:r w:rsidR="001167CD">
        <w:rPr>
          <w:sz w:val="18"/>
          <w:szCs w:val="18"/>
          <w:lang w:val="en-US"/>
        </w:rPr>
        <w:t xml:space="preserve"> and the total amount of gas </w:t>
      </w:r>
      <w:proofErr w:type="spellStart"/>
      <w:r w:rsidR="001167CD">
        <w:rPr>
          <w:sz w:val="18"/>
          <w:szCs w:val="18"/>
          <w:lang w:val="en-US"/>
        </w:rPr>
        <w:t>offtaken</w:t>
      </w:r>
      <w:proofErr w:type="spellEnd"/>
      <w:r w:rsidR="001167CD">
        <w:rPr>
          <w:sz w:val="18"/>
          <w:szCs w:val="18"/>
          <w:lang w:val="en-US"/>
        </w:rPr>
        <w:t xml:space="preserve"> exceeds aggregate capacity entitlements then</w:t>
      </w:r>
      <w:r w:rsidR="00305810" w:rsidRPr="00774996">
        <w:rPr>
          <w:sz w:val="18"/>
          <w:szCs w:val="18"/>
          <w:lang w:val="en-US"/>
        </w:rPr>
        <w:t>,</w:t>
      </w:r>
      <w:r w:rsidRPr="00774996">
        <w:rPr>
          <w:sz w:val="18"/>
          <w:szCs w:val="18"/>
          <w:lang w:val="en-US"/>
        </w:rPr>
        <w:t xml:space="preserve"> they will become subject to overrun charges as per UNC TPD Section B</w:t>
      </w:r>
      <w:r w:rsidR="001167CD">
        <w:rPr>
          <w:sz w:val="18"/>
          <w:szCs w:val="18"/>
          <w:lang w:val="en-US"/>
        </w:rPr>
        <w:t>3</w:t>
      </w:r>
      <w:r w:rsidRPr="00774996">
        <w:rPr>
          <w:sz w:val="18"/>
          <w:szCs w:val="18"/>
          <w:lang w:val="en-US"/>
        </w:rPr>
        <w:t>.</w:t>
      </w:r>
      <w:r w:rsidR="00702A88" w:rsidRPr="00774996">
        <w:rPr>
          <w:sz w:val="18"/>
          <w:szCs w:val="18"/>
          <w:lang w:val="en-US"/>
        </w:rPr>
        <w:t>1</w:t>
      </w:r>
      <w:r w:rsidR="001167CD">
        <w:rPr>
          <w:sz w:val="18"/>
          <w:szCs w:val="18"/>
          <w:lang w:val="en-US"/>
        </w:rPr>
        <w:t>3</w:t>
      </w:r>
    </w:p>
  </w:footnote>
  <w:footnote w:id="3">
    <w:p w14:paraId="781C8A45" w14:textId="77777777" w:rsidR="00547AD0" w:rsidRPr="00774996" w:rsidRDefault="00547AD0" w:rsidP="00774996">
      <w:pPr>
        <w:pStyle w:val="FootnoteText"/>
        <w:spacing w:before="0" w:after="0"/>
        <w:rPr>
          <w:sz w:val="18"/>
          <w:szCs w:val="18"/>
          <w:lang w:val="en-US"/>
        </w:rPr>
      </w:pPr>
      <w:r w:rsidRPr="00774996">
        <w:rPr>
          <w:rStyle w:val="FootnoteReference"/>
          <w:sz w:val="18"/>
          <w:szCs w:val="18"/>
        </w:rPr>
        <w:footnoteRef/>
      </w:r>
      <w:r w:rsidRPr="00774996">
        <w:rPr>
          <w:sz w:val="18"/>
          <w:szCs w:val="18"/>
        </w:rPr>
        <w:t xml:space="preserve"> </w:t>
      </w:r>
      <w:hyperlink r:id="rId1" w:history="1">
        <w:r w:rsidRPr="00774996">
          <w:rPr>
            <w:rStyle w:val="Hyperlink"/>
            <w:sz w:val="18"/>
            <w:szCs w:val="18"/>
          </w:rPr>
          <w:t>https://www.gasgovernance.co.uk/0678</w:t>
        </w:r>
      </w:hyperlink>
      <w:r w:rsidRPr="00774996">
        <w:rPr>
          <w:sz w:val="18"/>
          <w:szCs w:val="18"/>
        </w:rPr>
        <w:t xml:space="preserve"> </w:t>
      </w:r>
    </w:p>
  </w:footnote>
  <w:footnote w:id="4">
    <w:p w14:paraId="79F16FAD" w14:textId="77777777" w:rsidR="009A25B0" w:rsidRPr="00993F3C" w:rsidRDefault="009A25B0">
      <w:pPr>
        <w:pStyle w:val="FootnoteText"/>
        <w:rPr>
          <w:sz w:val="18"/>
          <w:szCs w:val="18"/>
        </w:rPr>
      </w:pPr>
      <w:r w:rsidRPr="00993F3C">
        <w:rPr>
          <w:rStyle w:val="FootnoteReference"/>
          <w:sz w:val="18"/>
          <w:szCs w:val="18"/>
        </w:rPr>
        <w:footnoteRef/>
      </w:r>
      <w:r w:rsidRPr="00993F3C">
        <w:rPr>
          <w:sz w:val="18"/>
          <w:szCs w:val="18"/>
        </w:rPr>
        <w:t xml:space="preserve"> A User may also request a reduction in Enduring Capacity holdings during the application window</w:t>
      </w:r>
    </w:p>
  </w:footnote>
  <w:footnote w:id="5">
    <w:p w14:paraId="3E562E5E" w14:textId="77777777" w:rsidR="00547AD0" w:rsidRPr="00774996" w:rsidRDefault="00547AD0" w:rsidP="00774996">
      <w:pPr>
        <w:pStyle w:val="FootnoteText"/>
        <w:spacing w:before="0" w:after="0"/>
        <w:rPr>
          <w:sz w:val="18"/>
          <w:szCs w:val="18"/>
          <w:lang w:val="en-US"/>
        </w:rPr>
      </w:pPr>
      <w:r w:rsidRPr="00774996">
        <w:rPr>
          <w:rStyle w:val="FootnoteReference"/>
          <w:sz w:val="18"/>
          <w:szCs w:val="18"/>
        </w:rPr>
        <w:footnoteRef/>
      </w:r>
      <w:r w:rsidRPr="00774996">
        <w:rPr>
          <w:sz w:val="18"/>
          <w:szCs w:val="18"/>
        </w:rPr>
        <w:t xml:space="preserve"> </w:t>
      </w:r>
      <w:r w:rsidRPr="00774996">
        <w:rPr>
          <w:sz w:val="18"/>
          <w:szCs w:val="18"/>
          <w:lang w:val="en-US"/>
        </w:rPr>
        <w:t xml:space="preserve">As per </w:t>
      </w:r>
      <w:r w:rsidR="006E12E9">
        <w:rPr>
          <w:sz w:val="18"/>
          <w:szCs w:val="18"/>
          <w:lang w:val="en-US"/>
        </w:rPr>
        <w:t>Chapter 4</w:t>
      </w:r>
      <w:r w:rsidRPr="00774996">
        <w:rPr>
          <w:sz w:val="18"/>
          <w:szCs w:val="18"/>
          <w:lang w:val="en-US"/>
        </w:rPr>
        <w:t xml:space="preserve"> of the E</w:t>
      </w:r>
      <w:r w:rsidR="006E12E9">
        <w:rPr>
          <w:sz w:val="18"/>
          <w:szCs w:val="18"/>
          <w:lang w:val="en-US"/>
        </w:rPr>
        <w:t>xit</w:t>
      </w:r>
      <w:r w:rsidRPr="00774996">
        <w:rPr>
          <w:sz w:val="18"/>
          <w:szCs w:val="18"/>
          <w:lang w:val="en-US"/>
        </w:rPr>
        <w:t xml:space="preserve"> Capacity Release Methodology</w:t>
      </w:r>
      <w:r w:rsidR="00D050B8" w:rsidRPr="00774996">
        <w:rPr>
          <w:sz w:val="18"/>
          <w:szCs w:val="18"/>
          <w:lang w:val="en-US"/>
        </w:rPr>
        <w:t xml:space="preserve"> Statement</w:t>
      </w:r>
      <w:r w:rsidRPr="00774996">
        <w:rPr>
          <w:sz w:val="18"/>
          <w:szCs w:val="18"/>
          <w:lang w:val="en-US"/>
        </w:rPr>
        <w:t xml:space="preserve">: </w:t>
      </w:r>
      <w:r w:rsidR="006E12E9" w:rsidRPr="006E12E9">
        <w:t xml:space="preserve"> </w:t>
      </w:r>
      <w:hyperlink r:id="rId2" w:history="1">
        <w:r w:rsidR="006E12E9" w:rsidRPr="00B63105">
          <w:rPr>
            <w:rStyle w:val="Hyperlink"/>
            <w:sz w:val="18"/>
            <w:szCs w:val="18"/>
            <w:lang w:val="en-US"/>
          </w:rPr>
          <w:t>https://www.nationalgrid.com/uk/gas-transmission/uk/electricity-transmission/document/135876/download</w:t>
        </w:r>
      </w:hyperlink>
      <w:r w:rsidR="006E12E9">
        <w:rPr>
          <w:rStyle w:val="Hyperlink"/>
          <w:sz w:val="18"/>
          <w:szCs w:val="18"/>
          <w:lang w:val="en-US"/>
        </w:rPr>
        <w:t xml:space="preserve"> </w:t>
      </w:r>
      <w:r w:rsidRPr="00774996">
        <w:rPr>
          <w:sz w:val="18"/>
          <w:szCs w:val="18"/>
          <w:lang w:val="en-US"/>
        </w:rPr>
        <w:t xml:space="preserve"> </w:t>
      </w:r>
    </w:p>
  </w:footnote>
  <w:footnote w:id="6">
    <w:p w14:paraId="0B3DA2FE" w14:textId="77777777" w:rsidR="00F84719" w:rsidRPr="00993F3C" w:rsidRDefault="00F84719">
      <w:pPr>
        <w:pStyle w:val="FootnoteText"/>
        <w:rPr>
          <w:sz w:val="18"/>
          <w:szCs w:val="18"/>
        </w:rPr>
      </w:pPr>
      <w:r w:rsidRPr="00993F3C">
        <w:rPr>
          <w:rStyle w:val="FootnoteReference"/>
          <w:sz w:val="18"/>
          <w:szCs w:val="18"/>
        </w:rPr>
        <w:footnoteRef/>
      </w:r>
      <w:r w:rsidRPr="00993F3C">
        <w:rPr>
          <w:sz w:val="18"/>
          <w:szCs w:val="18"/>
        </w:rPr>
        <w:t xml:space="preserve"> Note following the </w:t>
      </w:r>
      <w:r w:rsidR="00C47BE6" w:rsidRPr="00993F3C">
        <w:rPr>
          <w:sz w:val="18"/>
          <w:szCs w:val="18"/>
        </w:rPr>
        <w:t>implementation of</w:t>
      </w:r>
      <w:r w:rsidRPr="00993F3C">
        <w:rPr>
          <w:sz w:val="18"/>
          <w:szCs w:val="18"/>
        </w:rPr>
        <w:t xml:space="preserve"> UNC Modification 0759</w:t>
      </w:r>
      <w:r w:rsidR="004B7EB0">
        <w:rPr>
          <w:sz w:val="18"/>
          <w:szCs w:val="18"/>
        </w:rPr>
        <w:t xml:space="preserve"> -</w:t>
      </w:r>
      <w:r w:rsidR="004B7EB0" w:rsidRPr="004B7EB0">
        <w:t xml:space="preserve"> </w:t>
      </w:r>
      <w:r w:rsidR="004B7EB0" w:rsidRPr="00993F3C">
        <w:rPr>
          <w:i/>
          <w:iCs/>
          <w:sz w:val="18"/>
          <w:szCs w:val="18"/>
        </w:rPr>
        <w:t>Enhancements to NTS Within-Day Firm Entry and Exit Capacity Allocations</w:t>
      </w:r>
      <w:r w:rsidRPr="00993F3C">
        <w:rPr>
          <w:sz w:val="18"/>
          <w:szCs w:val="18"/>
        </w:rPr>
        <w:t xml:space="preserve"> on 24</w:t>
      </w:r>
      <w:r w:rsidRPr="00993F3C">
        <w:rPr>
          <w:sz w:val="18"/>
          <w:szCs w:val="18"/>
          <w:vertAlign w:val="superscript"/>
        </w:rPr>
        <w:t>th</w:t>
      </w:r>
      <w:r w:rsidRPr="00993F3C">
        <w:rPr>
          <w:sz w:val="18"/>
          <w:szCs w:val="18"/>
        </w:rPr>
        <w:t xml:space="preserve"> April 2022 Users will be able to submit capacity bids up to 02.00 on D.</w:t>
      </w:r>
    </w:p>
  </w:footnote>
  <w:footnote w:id="7">
    <w:p w14:paraId="7AC8AD7E" w14:textId="78AB4E78" w:rsidR="00147A0D" w:rsidRDefault="00147A0D">
      <w:pPr>
        <w:pStyle w:val="FootnoteText"/>
      </w:pPr>
      <w:r>
        <w:rPr>
          <w:rStyle w:val="FootnoteReference"/>
        </w:rPr>
        <w:footnoteRef/>
      </w:r>
      <w:r>
        <w:t xml:space="preserve"> </w:t>
      </w:r>
      <w:r w:rsidR="002E0A64" w:rsidRPr="002E0A64">
        <w:t>https://www.gasgovernance.co.uk/sites/default/files/ggf/book/2022-05/Mod%200805S%20XRN5502%20ROM%20Response%20V1.0.pdf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A5A5" w14:textId="7D5AE4D4" w:rsidR="00547AD0" w:rsidRDefault="00B86205" w:rsidP="007C1163">
    <w:pPr>
      <w:pStyle w:val="Header"/>
      <w:tabs>
        <w:tab w:val="left" w:pos="2160"/>
      </w:tabs>
      <w:jc w:val="right"/>
    </w:pPr>
    <w:r>
      <w:rPr>
        <w:noProof/>
      </w:rPr>
      <w:drawing>
        <wp:anchor distT="0" distB="0" distL="114300" distR="114300" simplePos="0" relativeHeight="251657728" behindDoc="0" locked="0" layoutInCell="1" allowOverlap="1" wp14:anchorId="2A7CB8AF" wp14:editId="71FFCCA6">
          <wp:simplePos x="0" y="0"/>
          <wp:positionH relativeFrom="column">
            <wp:posOffset>-194945</wp:posOffset>
          </wp:positionH>
          <wp:positionV relativeFrom="paragraph">
            <wp:posOffset>212090</wp:posOffset>
          </wp:positionV>
          <wp:extent cx="2057400" cy="274320"/>
          <wp:effectExtent l="0" t="0" r="0" b="0"/>
          <wp:wrapSquare wrapText="right"/>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pic:spPr>
              </pic:pic>
            </a:graphicData>
          </a:graphic>
          <wp14:sizeRelH relativeFrom="margin">
            <wp14:pctWidth>0</wp14:pctWidth>
          </wp14:sizeRelH>
          <wp14:sizeRelV relativeFrom="margin">
            <wp14:pctHeight>0</wp14:pctHeight>
          </wp14:sizeRelV>
        </wp:anchor>
      </w:drawing>
    </w:r>
  </w:p>
  <w:p w14:paraId="49A98754" w14:textId="77777777" w:rsidR="00547AD0" w:rsidRDefault="00547AD0"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9A8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D602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E00A74"/>
    <w:lvl w:ilvl="0">
      <w:start w:val="1"/>
      <w:numFmt w:val="decimal"/>
      <w:lvlText w:val="%1."/>
      <w:lvlJc w:val="left"/>
      <w:pPr>
        <w:tabs>
          <w:tab w:val="num" w:pos="1209"/>
        </w:tabs>
        <w:ind w:left="1209" w:hanging="360"/>
      </w:pPr>
    </w:lvl>
  </w:abstractNum>
  <w:abstractNum w:abstractNumId="3" w15:restartNumberingAfterBreak="0">
    <w:nsid w:val="FFFFFF83"/>
    <w:multiLevelType w:val="singleLevel"/>
    <w:tmpl w:val="D6DC695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B03DB5"/>
    <w:multiLevelType w:val="hybridMultilevel"/>
    <w:tmpl w:val="B72494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9" w15:restartNumberingAfterBreak="0">
    <w:nsid w:val="157C7AF2"/>
    <w:multiLevelType w:val="hybridMultilevel"/>
    <w:tmpl w:val="7C16D43A"/>
    <w:lvl w:ilvl="0" w:tplc="452AA99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04607"/>
    <w:multiLevelType w:val="hybridMultilevel"/>
    <w:tmpl w:val="F29E5E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23271B"/>
    <w:multiLevelType w:val="hybridMultilevel"/>
    <w:tmpl w:val="D9A085BE"/>
    <w:lvl w:ilvl="0" w:tplc="71983F12">
      <w:start w:val="1"/>
      <w:numFmt w:val="bullet"/>
      <w:lvlText w:val="•"/>
      <w:lvlJc w:val="left"/>
      <w:pPr>
        <w:tabs>
          <w:tab w:val="num" w:pos="720"/>
        </w:tabs>
        <w:ind w:left="720" w:hanging="360"/>
      </w:pPr>
      <w:rPr>
        <w:rFonts w:ascii="Arial" w:hAnsi="Arial" w:hint="default"/>
      </w:rPr>
    </w:lvl>
    <w:lvl w:ilvl="1" w:tplc="0A909E6E" w:tentative="1">
      <w:start w:val="1"/>
      <w:numFmt w:val="bullet"/>
      <w:lvlText w:val="•"/>
      <w:lvlJc w:val="left"/>
      <w:pPr>
        <w:tabs>
          <w:tab w:val="num" w:pos="1440"/>
        </w:tabs>
        <w:ind w:left="1440" w:hanging="360"/>
      </w:pPr>
      <w:rPr>
        <w:rFonts w:ascii="Arial" w:hAnsi="Arial" w:hint="default"/>
      </w:rPr>
    </w:lvl>
    <w:lvl w:ilvl="2" w:tplc="5714F696" w:tentative="1">
      <w:start w:val="1"/>
      <w:numFmt w:val="bullet"/>
      <w:lvlText w:val="•"/>
      <w:lvlJc w:val="left"/>
      <w:pPr>
        <w:tabs>
          <w:tab w:val="num" w:pos="2160"/>
        </w:tabs>
        <w:ind w:left="2160" w:hanging="360"/>
      </w:pPr>
      <w:rPr>
        <w:rFonts w:ascii="Arial" w:hAnsi="Arial" w:hint="default"/>
      </w:rPr>
    </w:lvl>
    <w:lvl w:ilvl="3" w:tplc="64E2B332" w:tentative="1">
      <w:start w:val="1"/>
      <w:numFmt w:val="bullet"/>
      <w:lvlText w:val="•"/>
      <w:lvlJc w:val="left"/>
      <w:pPr>
        <w:tabs>
          <w:tab w:val="num" w:pos="2880"/>
        </w:tabs>
        <w:ind w:left="2880" w:hanging="360"/>
      </w:pPr>
      <w:rPr>
        <w:rFonts w:ascii="Arial" w:hAnsi="Arial" w:hint="default"/>
      </w:rPr>
    </w:lvl>
    <w:lvl w:ilvl="4" w:tplc="1F988F18" w:tentative="1">
      <w:start w:val="1"/>
      <w:numFmt w:val="bullet"/>
      <w:lvlText w:val="•"/>
      <w:lvlJc w:val="left"/>
      <w:pPr>
        <w:tabs>
          <w:tab w:val="num" w:pos="3600"/>
        </w:tabs>
        <w:ind w:left="3600" w:hanging="360"/>
      </w:pPr>
      <w:rPr>
        <w:rFonts w:ascii="Arial" w:hAnsi="Arial" w:hint="default"/>
      </w:rPr>
    </w:lvl>
    <w:lvl w:ilvl="5" w:tplc="FA1EF14A" w:tentative="1">
      <w:start w:val="1"/>
      <w:numFmt w:val="bullet"/>
      <w:lvlText w:val="•"/>
      <w:lvlJc w:val="left"/>
      <w:pPr>
        <w:tabs>
          <w:tab w:val="num" w:pos="4320"/>
        </w:tabs>
        <w:ind w:left="4320" w:hanging="360"/>
      </w:pPr>
      <w:rPr>
        <w:rFonts w:ascii="Arial" w:hAnsi="Arial" w:hint="default"/>
      </w:rPr>
    </w:lvl>
    <w:lvl w:ilvl="6" w:tplc="52C6E400" w:tentative="1">
      <w:start w:val="1"/>
      <w:numFmt w:val="bullet"/>
      <w:lvlText w:val="•"/>
      <w:lvlJc w:val="left"/>
      <w:pPr>
        <w:tabs>
          <w:tab w:val="num" w:pos="5040"/>
        </w:tabs>
        <w:ind w:left="5040" w:hanging="360"/>
      </w:pPr>
      <w:rPr>
        <w:rFonts w:ascii="Arial" w:hAnsi="Arial" w:hint="default"/>
      </w:rPr>
    </w:lvl>
    <w:lvl w:ilvl="7" w:tplc="6944ADAE" w:tentative="1">
      <w:start w:val="1"/>
      <w:numFmt w:val="bullet"/>
      <w:lvlText w:val="•"/>
      <w:lvlJc w:val="left"/>
      <w:pPr>
        <w:tabs>
          <w:tab w:val="num" w:pos="5760"/>
        </w:tabs>
        <w:ind w:left="5760" w:hanging="360"/>
      </w:pPr>
      <w:rPr>
        <w:rFonts w:ascii="Arial" w:hAnsi="Arial" w:hint="default"/>
      </w:rPr>
    </w:lvl>
    <w:lvl w:ilvl="8" w:tplc="78CCC0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D0975E3"/>
    <w:multiLevelType w:val="hybridMultilevel"/>
    <w:tmpl w:val="DCAAEA64"/>
    <w:lvl w:ilvl="0" w:tplc="C502695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186883"/>
    <w:multiLevelType w:val="hybridMultilevel"/>
    <w:tmpl w:val="92CE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80489"/>
    <w:multiLevelType w:val="hybridMultilevel"/>
    <w:tmpl w:val="7542D548"/>
    <w:lvl w:ilvl="0" w:tplc="D2C08A7C">
      <w:start w:val="1"/>
      <w:numFmt w:val="bullet"/>
      <w:lvlText w:val="•"/>
      <w:lvlJc w:val="left"/>
      <w:pPr>
        <w:tabs>
          <w:tab w:val="num" w:pos="720"/>
        </w:tabs>
        <w:ind w:left="720" w:hanging="360"/>
      </w:pPr>
      <w:rPr>
        <w:rFonts w:ascii="Arial" w:hAnsi="Arial" w:hint="default"/>
      </w:rPr>
    </w:lvl>
    <w:lvl w:ilvl="1" w:tplc="1FC666A2" w:tentative="1">
      <w:start w:val="1"/>
      <w:numFmt w:val="bullet"/>
      <w:lvlText w:val="•"/>
      <w:lvlJc w:val="left"/>
      <w:pPr>
        <w:tabs>
          <w:tab w:val="num" w:pos="1440"/>
        </w:tabs>
        <w:ind w:left="1440" w:hanging="360"/>
      </w:pPr>
      <w:rPr>
        <w:rFonts w:ascii="Arial" w:hAnsi="Arial" w:hint="default"/>
      </w:rPr>
    </w:lvl>
    <w:lvl w:ilvl="2" w:tplc="B6185CCC" w:tentative="1">
      <w:start w:val="1"/>
      <w:numFmt w:val="bullet"/>
      <w:lvlText w:val="•"/>
      <w:lvlJc w:val="left"/>
      <w:pPr>
        <w:tabs>
          <w:tab w:val="num" w:pos="2160"/>
        </w:tabs>
        <w:ind w:left="2160" w:hanging="360"/>
      </w:pPr>
      <w:rPr>
        <w:rFonts w:ascii="Arial" w:hAnsi="Arial" w:hint="default"/>
      </w:rPr>
    </w:lvl>
    <w:lvl w:ilvl="3" w:tplc="6F7C84D6" w:tentative="1">
      <w:start w:val="1"/>
      <w:numFmt w:val="bullet"/>
      <w:lvlText w:val="•"/>
      <w:lvlJc w:val="left"/>
      <w:pPr>
        <w:tabs>
          <w:tab w:val="num" w:pos="2880"/>
        </w:tabs>
        <w:ind w:left="2880" w:hanging="360"/>
      </w:pPr>
      <w:rPr>
        <w:rFonts w:ascii="Arial" w:hAnsi="Arial" w:hint="default"/>
      </w:rPr>
    </w:lvl>
    <w:lvl w:ilvl="4" w:tplc="6624DD42" w:tentative="1">
      <w:start w:val="1"/>
      <w:numFmt w:val="bullet"/>
      <w:lvlText w:val="•"/>
      <w:lvlJc w:val="left"/>
      <w:pPr>
        <w:tabs>
          <w:tab w:val="num" w:pos="3600"/>
        </w:tabs>
        <w:ind w:left="3600" w:hanging="360"/>
      </w:pPr>
      <w:rPr>
        <w:rFonts w:ascii="Arial" w:hAnsi="Arial" w:hint="default"/>
      </w:rPr>
    </w:lvl>
    <w:lvl w:ilvl="5" w:tplc="B1E8C27C" w:tentative="1">
      <w:start w:val="1"/>
      <w:numFmt w:val="bullet"/>
      <w:lvlText w:val="•"/>
      <w:lvlJc w:val="left"/>
      <w:pPr>
        <w:tabs>
          <w:tab w:val="num" w:pos="4320"/>
        </w:tabs>
        <w:ind w:left="4320" w:hanging="360"/>
      </w:pPr>
      <w:rPr>
        <w:rFonts w:ascii="Arial" w:hAnsi="Arial" w:hint="default"/>
      </w:rPr>
    </w:lvl>
    <w:lvl w:ilvl="6" w:tplc="B28672EA" w:tentative="1">
      <w:start w:val="1"/>
      <w:numFmt w:val="bullet"/>
      <w:lvlText w:val="•"/>
      <w:lvlJc w:val="left"/>
      <w:pPr>
        <w:tabs>
          <w:tab w:val="num" w:pos="5040"/>
        </w:tabs>
        <w:ind w:left="5040" w:hanging="360"/>
      </w:pPr>
      <w:rPr>
        <w:rFonts w:ascii="Arial" w:hAnsi="Arial" w:hint="default"/>
      </w:rPr>
    </w:lvl>
    <w:lvl w:ilvl="7" w:tplc="D4DA4DF6" w:tentative="1">
      <w:start w:val="1"/>
      <w:numFmt w:val="bullet"/>
      <w:lvlText w:val="•"/>
      <w:lvlJc w:val="left"/>
      <w:pPr>
        <w:tabs>
          <w:tab w:val="num" w:pos="5760"/>
        </w:tabs>
        <w:ind w:left="5760" w:hanging="360"/>
      </w:pPr>
      <w:rPr>
        <w:rFonts w:ascii="Arial" w:hAnsi="Arial" w:hint="default"/>
      </w:rPr>
    </w:lvl>
    <w:lvl w:ilvl="8" w:tplc="68E46C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203542"/>
    <w:multiLevelType w:val="hybridMultilevel"/>
    <w:tmpl w:val="1728C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527FF4"/>
    <w:multiLevelType w:val="hybridMultilevel"/>
    <w:tmpl w:val="373C85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5317EF"/>
    <w:multiLevelType w:val="hybridMultilevel"/>
    <w:tmpl w:val="A69AD0AC"/>
    <w:lvl w:ilvl="0" w:tplc="F210113A">
      <w:start w:val="1"/>
      <w:numFmt w:val="bullet"/>
      <w:lvlText w:val="•"/>
      <w:lvlJc w:val="left"/>
      <w:pPr>
        <w:tabs>
          <w:tab w:val="num" w:pos="720"/>
        </w:tabs>
        <w:ind w:left="720" w:hanging="360"/>
      </w:pPr>
      <w:rPr>
        <w:rFonts w:ascii="Arial" w:hAnsi="Arial" w:hint="default"/>
      </w:rPr>
    </w:lvl>
    <w:lvl w:ilvl="1" w:tplc="4618798C" w:tentative="1">
      <w:start w:val="1"/>
      <w:numFmt w:val="bullet"/>
      <w:lvlText w:val="•"/>
      <w:lvlJc w:val="left"/>
      <w:pPr>
        <w:tabs>
          <w:tab w:val="num" w:pos="1440"/>
        </w:tabs>
        <w:ind w:left="1440" w:hanging="360"/>
      </w:pPr>
      <w:rPr>
        <w:rFonts w:ascii="Arial" w:hAnsi="Arial" w:hint="default"/>
      </w:rPr>
    </w:lvl>
    <w:lvl w:ilvl="2" w:tplc="69FA355C" w:tentative="1">
      <w:start w:val="1"/>
      <w:numFmt w:val="bullet"/>
      <w:lvlText w:val="•"/>
      <w:lvlJc w:val="left"/>
      <w:pPr>
        <w:tabs>
          <w:tab w:val="num" w:pos="2160"/>
        </w:tabs>
        <w:ind w:left="2160" w:hanging="360"/>
      </w:pPr>
      <w:rPr>
        <w:rFonts w:ascii="Arial" w:hAnsi="Arial" w:hint="default"/>
      </w:rPr>
    </w:lvl>
    <w:lvl w:ilvl="3" w:tplc="5C3251E4" w:tentative="1">
      <w:start w:val="1"/>
      <w:numFmt w:val="bullet"/>
      <w:lvlText w:val="•"/>
      <w:lvlJc w:val="left"/>
      <w:pPr>
        <w:tabs>
          <w:tab w:val="num" w:pos="2880"/>
        </w:tabs>
        <w:ind w:left="2880" w:hanging="360"/>
      </w:pPr>
      <w:rPr>
        <w:rFonts w:ascii="Arial" w:hAnsi="Arial" w:hint="default"/>
      </w:rPr>
    </w:lvl>
    <w:lvl w:ilvl="4" w:tplc="2F704D04" w:tentative="1">
      <w:start w:val="1"/>
      <w:numFmt w:val="bullet"/>
      <w:lvlText w:val="•"/>
      <w:lvlJc w:val="left"/>
      <w:pPr>
        <w:tabs>
          <w:tab w:val="num" w:pos="3600"/>
        </w:tabs>
        <w:ind w:left="3600" w:hanging="360"/>
      </w:pPr>
      <w:rPr>
        <w:rFonts w:ascii="Arial" w:hAnsi="Arial" w:hint="default"/>
      </w:rPr>
    </w:lvl>
    <w:lvl w:ilvl="5" w:tplc="1F789BFC" w:tentative="1">
      <w:start w:val="1"/>
      <w:numFmt w:val="bullet"/>
      <w:lvlText w:val="•"/>
      <w:lvlJc w:val="left"/>
      <w:pPr>
        <w:tabs>
          <w:tab w:val="num" w:pos="4320"/>
        </w:tabs>
        <w:ind w:left="4320" w:hanging="360"/>
      </w:pPr>
      <w:rPr>
        <w:rFonts w:ascii="Arial" w:hAnsi="Arial" w:hint="default"/>
      </w:rPr>
    </w:lvl>
    <w:lvl w:ilvl="6" w:tplc="849239E4" w:tentative="1">
      <w:start w:val="1"/>
      <w:numFmt w:val="bullet"/>
      <w:lvlText w:val="•"/>
      <w:lvlJc w:val="left"/>
      <w:pPr>
        <w:tabs>
          <w:tab w:val="num" w:pos="5040"/>
        </w:tabs>
        <w:ind w:left="5040" w:hanging="360"/>
      </w:pPr>
      <w:rPr>
        <w:rFonts w:ascii="Arial" w:hAnsi="Arial" w:hint="default"/>
      </w:rPr>
    </w:lvl>
    <w:lvl w:ilvl="7" w:tplc="49DE5CD6" w:tentative="1">
      <w:start w:val="1"/>
      <w:numFmt w:val="bullet"/>
      <w:lvlText w:val="•"/>
      <w:lvlJc w:val="left"/>
      <w:pPr>
        <w:tabs>
          <w:tab w:val="num" w:pos="5760"/>
        </w:tabs>
        <w:ind w:left="5760" w:hanging="360"/>
      </w:pPr>
      <w:rPr>
        <w:rFonts w:ascii="Arial" w:hAnsi="Arial" w:hint="default"/>
      </w:rPr>
    </w:lvl>
    <w:lvl w:ilvl="8" w:tplc="1B8E934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705ECC"/>
    <w:multiLevelType w:val="hybridMultilevel"/>
    <w:tmpl w:val="C03A1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884844"/>
    <w:multiLevelType w:val="hybridMultilevel"/>
    <w:tmpl w:val="5DACF560"/>
    <w:lvl w:ilvl="0" w:tplc="EF042204">
      <w:start w:val="1"/>
      <w:numFmt w:val="bullet"/>
      <w:lvlText w:val="•"/>
      <w:lvlJc w:val="left"/>
      <w:pPr>
        <w:tabs>
          <w:tab w:val="num" w:pos="720"/>
        </w:tabs>
        <w:ind w:left="720" w:hanging="360"/>
      </w:pPr>
      <w:rPr>
        <w:rFonts w:ascii="Arial" w:hAnsi="Arial" w:hint="default"/>
      </w:rPr>
    </w:lvl>
    <w:lvl w:ilvl="1" w:tplc="3F8EADC0" w:tentative="1">
      <w:start w:val="1"/>
      <w:numFmt w:val="bullet"/>
      <w:lvlText w:val="•"/>
      <w:lvlJc w:val="left"/>
      <w:pPr>
        <w:tabs>
          <w:tab w:val="num" w:pos="1440"/>
        </w:tabs>
        <w:ind w:left="1440" w:hanging="360"/>
      </w:pPr>
      <w:rPr>
        <w:rFonts w:ascii="Arial" w:hAnsi="Arial" w:hint="default"/>
      </w:rPr>
    </w:lvl>
    <w:lvl w:ilvl="2" w:tplc="461E4736" w:tentative="1">
      <w:start w:val="1"/>
      <w:numFmt w:val="bullet"/>
      <w:lvlText w:val="•"/>
      <w:lvlJc w:val="left"/>
      <w:pPr>
        <w:tabs>
          <w:tab w:val="num" w:pos="2160"/>
        </w:tabs>
        <w:ind w:left="2160" w:hanging="360"/>
      </w:pPr>
      <w:rPr>
        <w:rFonts w:ascii="Arial" w:hAnsi="Arial" w:hint="default"/>
      </w:rPr>
    </w:lvl>
    <w:lvl w:ilvl="3" w:tplc="6AA83DD6" w:tentative="1">
      <w:start w:val="1"/>
      <w:numFmt w:val="bullet"/>
      <w:lvlText w:val="•"/>
      <w:lvlJc w:val="left"/>
      <w:pPr>
        <w:tabs>
          <w:tab w:val="num" w:pos="2880"/>
        </w:tabs>
        <w:ind w:left="2880" w:hanging="360"/>
      </w:pPr>
      <w:rPr>
        <w:rFonts w:ascii="Arial" w:hAnsi="Arial" w:hint="default"/>
      </w:rPr>
    </w:lvl>
    <w:lvl w:ilvl="4" w:tplc="B43CF966" w:tentative="1">
      <w:start w:val="1"/>
      <w:numFmt w:val="bullet"/>
      <w:lvlText w:val="•"/>
      <w:lvlJc w:val="left"/>
      <w:pPr>
        <w:tabs>
          <w:tab w:val="num" w:pos="3600"/>
        </w:tabs>
        <w:ind w:left="3600" w:hanging="360"/>
      </w:pPr>
      <w:rPr>
        <w:rFonts w:ascii="Arial" w:hAnsi="Arial" w:hint="default"/>
      </w:rPr>
    </w:lvl>
    <w:lvl w:ilvl="5" w:tplc="52D0738A" w:tentative="1">
      <w:start w:val="1"/>
      <w:numFmt w:val="bullet"/>
      <w:lvlText w:val="•"/>
      <w:lvlJc w:val="left"/>
      <w:pPr>
        <w:tabs>
          <w:tab w:val="num" w:pos="4320"/>
        </w:tabs>
        <w:ind w:left="4320" w:hanging="360"/>
      </w:pPr>
      <w:rPr>
        <w:rFonts w:ascii="Arial" w:hAnsi="Arial" w:hint="default"/>
      </w:rPr>
    </w:lvl>
    <w:lvl w:ilvl="6" w:tplc="EB70D1C0" w:tentative="1">
      <w:start w:val="1"/>
      <w:numFmt w:val="bullet"/>
      <w:lvlText w:val="•"/>
      <w:lvlJc w:val="left"/>
      <w:pPr>
        <w:tabs>
          <w:tab w:val="num" w:pos="5040"/>
        </w:tabs>
        <w:ind w:left="5040" w:hanging="360"/>
      </w:pPr>
      <w:rPr>
        <w:rFonts w:ascii="Arial" w:hAnsi="Arial" w:hint="default"/>
      </w:rPr>
    </w:lvl>
    <w:lvl w:ilvl="7" w:tplc="2DE03C3E" w:tentative="1">
      <w:start w:val="1"/>
      <w:numFmt w:val="bullet"/>
      <w:lvlText w:val="•"/>
      <w:lvlJc w:val="left"/>
      <w:pPr>
        <w:tabs>
          <w:tab w:val="num" w:pos="5760"/>
        </w:tabs>
        <w:ind w:left="5760" w:hanging="360"/>
      </w:pPr>
      <w:rPr>
        <w:rFonts w:ascii="Arial" w:hAnsi="Arial" w:hint="default"/>
      </w:rPr>
    </w:lvl>
    <w:lvl w:ilvl="8" w:tplc="7852569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C404B9"/>
    <w:multiLevelType w:val="hybridMultilevel"/>
    <w:tmpl w:val="BD82DDF4"/>
    <w:lvl w:ilvl="0" w:tplc="D75A242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3BB0423"/>
    <w:multiLevelType w:val="hybridMultilevel"/>
    <w:tmpl w:val="E520B5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9" w15:restartNumberingAfterBreak="0">
    <w:nsid w:val="5DC51231"/>
    <w:multiLevelType w:val="hybridMultilevel"/>
    <w:tmpl w:val="2B98D22E"/>
    <w:lvl w:ilvl="0" w:tplc="D3ACEEF0">
      <w:start w:val="1"/>
      <w:numFmt w:val="bullet"/>
      <w:lvlText w:val="•"/>
      <w:lvlJc w:val="left"/>
      <w:pPr>
        <w:tabs>
          <w:tab w:val="num" w:pos="720"/>
        </w:tabs>
        <w:ind w:left="720" w:hanging="360"/>
      </w:pPr>
      <w:rPr>
        <w:rFonts w:ascii="Arial" w:hAnsi="Arial" w:hint="default"/>
      </w:rPr>
    </w:lvl>
    <w:lvl w:ilvl="1" w:tplc="F364D654" w:tentative="1">
      <w:start w:val="1"/>
      <w:numFmt w:val="bullet"/>
      <w:lvlText w:val="•"/>
      <w:lvlJc w:val="left"/>
      <w:pPr>
        <w:tabs>
          <w:tab w:val="num" w:pos="1440"/>
        </w:tabs>
        <w:ind w:left="1440" w:hanging="360"/>
      </w:pPr>
      <w:rPr>
        <w:rFonts w:ascii="Arial" w:hAnsi="Arial" w:hint="default"/>
      </w:rPr>
    </w:lvl>
    <w:lvl w:ilvl="2" w:tplc="08B08EAC" w:tentative="1">
      <w:start w:val="1"/>
      <w:numFmt w:val="bullet"/>
      <w:lvlText w:val="•"/>
      <w:lvlJc w:val="left"/>
      <w:pPr>
        <w:tabs>
          <w:tab w:val="num" w:pos="2160"/>
        </w:tabs>
        <w:ind w:left="2160" w:hanging="360"/>
      </w:pPr>
      <w:rPr>
        <w:rFonts w:ascii="Arial" w:hAnsi="Arial" w:hint="default"/>
      </w:rPr>
    </w:lvl>
    <w:lvl w:ilvl="3" w:tplc="C0CE2F64" w:tentative="1">
      <w:start w:val="1"/>
      <w:numFmt w:val="bullet"/>
      <w:lvlText w:val="•"/>
      <w:lvlJc w:val="left"/>
      <w:pPr>
        <w:tabs>
          <w:tab w:val="num" w:pos="2880"/>
        </w:tabs>
        <w:ind w:left="2880" w:hanging="360"/>
      </w:pPr>
      <w:rPr>
        <w:rFonts w:ascii="Arial" w:hAnsi="Arial" w:hint="default"/>
      </w:rPr>
    </w:lvl>
    <w:lvl w:ilvl="4" w:tplc="6914B944" w:tentative="1">
      <w:start w:val="1"/>
      <w:numFmt w:val="bullet"/>
      <w:lvlText w:val="•"/>
      <w:lvlJc w:val="left"/>
      <w:pPr>
        <w:tabs>
          <w:tab w:val="num" w:pos="3600"/>
        </w:tabs>
        <w:ind w:left="3600" w:hanging="360"/>
      </w:pPr>
      <w:rPr>
        <w:rFonts w:ascii="Arial" w:hAnsi="Arial" w:hint="default"/>
      </w:rPr>
    </w:lvl>
    <w:lvl w:ilvl="5" w:tplc="062AC6C2" w:tentative="1">
      <w:start w:val="1"/>
      <w:numFmt w:val="bullet"/>
      <w:lvlText w:val="•"/>
      <w:lvlJc w:val="left"/>
      <w:pPr>
        <w:tabs>
          <w:tab w:val="num" w:pos="4320"/>
        </w:tabs>
        <w:ind w:left="4320" w:hanging="360"/>
      </w:pPr>
      <w:rPr>
        <w:rFonts w:ascii="Arial" w:hAnsi="Arial" w:hint="default"/>
      </w:rPr>
    </w:lvl>
    <w:lvl w:ilvl="6" w:tplc="BDAE7614" w:tentative="1">
      <w:start w:val="1"/>
      <w:numFmt w:val="bullet"/>
      <w:lvlText w:val="•"/>
      <w:lvlJc w:val="left"/>
      <w:pPr>
        <w:tabs>
          <w:tab w:val="num" w:pos="5040"/>
        </w:tabs>
        <w:ind w:left="5040" w:hanging="360"/>
      </w:pPr>
      <w:rPr>
        <w:rFonts w:ascii="Arial" w:hAnsi="Arial" w:hint="default"/>
      </w:rPr>
    </w:lvl>
    <w:lvl w:ilvl="7" w:tplc="71762A4A" w:tentative="1">
      <w:start w:val="1"/>
      <w:numFmt w:val="bullet"/>
      <w:lvlText w:val="•"/>
      <w:lvlJc w:val="left"/>
      <w:pPr>
        <w:tabs>
          <w:tab w:val="num" w:pos="5760"/>
        </w:tabs>
        <w:ind w:left="5760" w:hanging="360"/>
      </w:pPr>
      <w:rPr>
        <w:rFonts w:ascii="Arial" w:hAnsi="Arial" w:hint="default"/>
      </w:rPr>
    </w:lvl>
    <w:lvl w:ilvl="8" w:tplc="B2247E7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31"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6295434F"/>
    <w:multiLevelType w:val="hybridMultilevel"/>
    <w:tmpl w:val="BBE4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315590"/>
    <w:multiLevelType w:val="hybridMultilevel"/>
    <w:tmpl w:val="EDE896CA"/>
    <w:lvl w:ilvl="0" w:tplc="E05825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39"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7C6D2E2F"/>
    <w:multiLevelType w:val="hybridMultilevel"/>
    <w:tmpl w:val="3DE6F9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AA624E"/>
    <w:multiLevelType w:val="hybridMultilevel"/>
    <w:tmpl w:val="2CE0F4C8"/>
    <w:lvl w:ilvl="0" w:tplc="7ACA2716">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9A0BA6"/>
    <w:multiLevelType w:val="hybridMultilevel"/>
    <w:tmpl w:val="5D3C2A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3"/>
  </w:num>
  <w:num w:numId="3">
    <w:abstractNumId w:val="15"/>
  </w:num>
  <w:num w:numId="4">
    <w:abstractNumId w:val="17"/>
  </w:num>
  <w:num w:numId="5">
    <w:abstractNumId w:val="10"/>
  </w:num>
  <w:num w:numId="6">
    <w:abstractNumId w:val="35"/>
  </w:num>
  <w:num w:numId="7">
    <w:abstractNumId w:val="18"/>
  </w:num>
  <w:num w:numId="8">
    <w:abstractNumId w:val="12"/>
  </w:num>
  <w:num w:numId="9">
    <w:abstractNumId w:val="32"/>
  </w:num>
  <w:num w:numId="10">
    <w:abstractNumId w:val="30"/>
  </w:num>
  <w:num w:numId="11">
    <w:abstractNumId w:val="8"/>
  </w:num>
  <w:num w:numId="12">
    <w:abstractNumId w:val="6"/>
  </w:num>
  <w:num w:numId="13">
    <w:abstractNumId w:val="31"/>
  </w:num>
  <w:num w:numId="14">
    <w:abstractNumId w:val="4"/>
  </w:num>
  <w:num w:numId="15">
    <w:abstractNumId w:val="5"/>
  </w:num>
  <w:num w:numId="16">
    <w:abstractNumId w:val="37"/>
  </w:num>
  <w:num w:numId="17">
    <w:abstractNumId w:val="39"/>
  </w:num>
  <w:num w:numId="18">
    <w:abstractNumId w:val="28"/>
  </w:num>
  <w:num w:numId="19">
    <w:abstractNumId w:val="11"/>
  </w:num>
  <w:num w:numId="20">
    <w:abstractNumId w:val="2"/>
  </w:num>
  <w:num w:numId="21">
    <w:abstractNumId w:val="1"/>
  </w:num>
  <w:num w:numId="22">
    <w:abstractNumId w:val="0"/>
  </w:num>
  <w:num w:numId="23">
    <w:abstractNumId w:val="4"/>
  </w:num>
  <w:num w:numId="24">
    <w:abstractNumId w:val="4"/>
  </w:num>
  <w:num w:numId="25">
    <w:abstractNumId w:val="4"/>
  </w:num>
  <w:num w:numId="26">
    <w:abstractNumId w:val="4"/>
  </w:num>
  <w:num w:numId="27">
    <w:abstractNumId w:val="4"/>
  </w:num>
  <w:num w:numId="28">
    <w:abstractNumId w:val="3"/>
  </w:num>
  <w:num w:numId="29">
    <w:abstractNumId w:val="22"/>
  </w:num>
  <w:num w:numId="30">
    <w:abstractNumId w:val="7"/>
  </w:num>
  <w:num w:numId="31">
    <w:abstractNumId w:val="24"/>
  </w:num>
  <w:num w:numId="32">
    <w:abstractNumId w:val="41"/>
  </w:num>
  <w:num w:numId="33">
    <w:abstractNumId w:val="9"/>
  </w:num>
  <w:num w:numId="34">
    <w:abstractNumId w:val="29"/>
  </w:num>
  <w:num w:numId="35">
    <w:abstractNumId w:val="23"/>
  </w:num>
  <w:num w:numId="36">
    <w:abstractNumId w:val="25"/>
  </w:num>
  <w:num w:numId="37">
    <w:abstractNumId w:val="14"/>
  </w:num>
  <w:num w:numId="38">
    <w:abstractNumId w:val="20"/>
  </w:num>
  <w:num w:numId="39">
    <w:abstractNumId w:val="27"/>
  </w:num>
  <w:num w:numId="40">
    <w:abstractNumId w:val="21"/>
  </w:num>
  <w:num w:numId="41">
    <w:abstractNumId w:val="26"/>
  </w:num>
  <w:num w:numId="42">
    <w:abstractNumId w:val="13"/>
  </w:num>
  <w:num w:numId="43">
    <w:abstractNumId w:val="42"/>
  </w:num>
  <w:num w:numId="44">
    <w:abstractNumId w:val="40"/>
  </w:num>
  <w:num w:numId="45">
    <w:abstractNumId w:val="34"/>
  </w:num>
  <w:num w:numId="46">
    <w:abstractNumId w:val="16"/>
  </w:num>
  <w:num w:numId="47">
    <w:abstractNumId w:val="36"/>
  </w:num>
  <w:num w:numId="4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20"/>
  <w:drawingGridHorizontalSpacing w:val="10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tjC1MDIxNzI0MzNR0lEKTi0uzszPAymwrAUAQpQCniwAAAA="/>
  </w:docVars>
  <w:rsids>
    <w:rsidRoot w:val="00731B99"/>
    <w:rsid w:val="0000132F"/>
    <w:rsid w:val="0000274D"/>
    <w:rsid w:val="00003462"/>
    <w:rsid w:val="00004426"/>
    <w:rsid w:val="00004790"/>
    <w:rsid w:val="00004A78"/>
    <w:rsid w:val="00005C2A"/>
    <w:rsid w:val="0000619E"/>
    <w:rsid w:val="0001312A"/>
    <w:rsid w:val="000131C0"/>
    <w:rsid w:val="00014A06"/>
    <w:rsid w:val="00017F43"/>
    <w:rsid w:val="00021E27"/>
    <w:rsid w:val="0002309B"/>
    <w:rsid w:val="00026A6A"/>
    <w:rsid w:val="00026CA1"/>
    <w:rsid w:val="00034954"/>
    <w:rsid w:val="000363FA"/>
    <w:rsid w:val="00041A17"/>
    <w:rsid w:val="00041D10"/>
    <w:rsid w:val="000427B0"/>
    <w:rsid w:val="0004596E"/>
    <w:rsid w:val="00045F75"/>
    <w:rsid w:val="0004703E"/>
    <w:rsid w:val="00050DD4"/>
    <w:rsid w:val="00051CBA"/>
    <w:rsid w:val="00052FB1"/>
    <w:rsid w:val="000546C7"/>
    <w:rsid w:val="00055793"/>
    <w:rsid w:val="0005617C"/>
    <w:rsid w:val="000561DC"/>
    <w:rsid w:val="00056F64"/>
    <w:rsid w:val="00057C9D"/>
    <w:rsid w:val="00062E0D"/>
    <w:rsid w:val="00082674"/>
    <w:rsid w:val="00082F1D"/>
    <w:rsid w:val="0008414D"/>
    <w:rsid w:val="00084725"/>
    <w:rsid w:val="00092D84"/>
    <w:rsid w:val="00096C4E"/>
    <w:rsid w:val="000A36A8"/>
    <w:rsid w:val="000A41E0"/>
    <w:rsid w:val="000A4606"/>
    <w:rsid w:val="000B007D"/>
    <w:rsid w:val="000B2E3D"/>
    <w:rsid w:val="000B3598"/>
    <w:rsid w:val="000B5CFC"/>
    <w:rsid w:val="000B5D6C"/>
    <w:rsid w:val="000C0A74"/>
    <w:rsid w:val="000C0C46"/>
    <w:rsid w:val="000C0DD1"/>
    <w:rsid w:val="000C174B"/>
    <w:rsid w:val="000D0D21"/>
    <w:rsid w:val="000D1ECA"/>
    <w:rsid w:val="000D2D4A"/>
    <w:rsid w:val="000D5720"/>
    <w:rsid w:val="000E0100"/>
    <w:rsid w:val="000E034A"/>
    <w:rsid w:val="000E2E48"/>
    <w:rsid w:val="000E3F5B"/>
    <w:rsid w:val="000E4BBC"/>
    <w:rsid w:val="000E76BF"/>
    <w:rsid w:val="000F5EAC"/>
    <w:rsid w:val="001028CE"/>
    <w:rsid w:val="001060C1"/>
    <w:rsid w:val="00111177"/>
    <w:rsid w:val="00111F27"/>
    <w:rsid w:val="00112F45"/>
    <w:rsid w:val="001156C4"/>
    <w:rsid w:val="00116515"/>
    <w:rsid w:val="001167CD"/>
    <w:rsid w:val="00116E9B"/>
    <w:rsid w:val="00120E26"/>
    <w:rsid w:val="001216C5"/>
    <w:rsid w:val="00122D68"/>
    <w:rsid w:val="00123E81"/>
    <w:rsid w:val="0012496E"/>
    <w:rsid w:val="00124BD3"/>
    <w:rsid w:val="0013761A"/>
    <w:rsid w:val="00142B10"/>
    <w:rsid w:val="00143041"/>
    <w:rsid w:val="0014327C"/>
    <w:rsid w:val="001445A0"/>
    <w:rsid w:val="001451F4"/>
    <w:rsid w:val="00147A0D"/>
    <w:rsid w:val="00150AE6"/>
    <w:rsid w:val="00153B91"/>
    <w:rsid w:val="00154BA0"/>
    <w:rsid w:val="00157DFA"/>
    <w:rsid w:val="00164E30"/>
    <w:rsid w:val="001651CD"/>
    <w:rsid w:val="001703AA"/>
    <w:rsid w:val="0017482B"/>
    <w:rsid w:val="00174D21"/>
    <w:rsid w:val="00175EFB"/>
    <w:rsid w:val="00182A0C"/>
    <w:rsid w:val="0018496D"/>
    <w:rsid w:val="0018581B"/>
    <w:rsid w:val="00186524"/>
    <w:rsid w:val="00187E0A"/>
    <w:rsid w:val="00187E2F"/>
    <w:rsid w:val="0019312D"/>
    <w:rsid w:val="001937A0"/>
    <w:rsid w:val="00193F47"/>
    <w:rsid w:val="00195D25"/>
    <w:rsid w:val="00197A37"/>
    <w:rsid w:val="001A244C"/>
    <w:rsid w:val="001A42AD"/>
    <w:rsid w:val="001A5839"/>
    <w:rsid w:val="001A6F74"/>
    <w:rsid w:val="001B2D7A"/>
    <w:rsid w:val="001B6BEA"/>
    <w:rsid w:val="001C01D5"/>
    <w:rsid w:val="001C0AAE"/>
    <w:rsid w:val="001C0C6E"/>
    <w:rsid w:val="001C1CD8"/>
    <w:rsid w:val="001C207A"/>
    <w:rsid w:val="001C665E"/>
    <w:rsid w:val="001D0B92"/>
    <w:rsid w:val="001D2BFA"/>
    <w:rsid w:val="001D3EFD"/>
    <w:rsid w:val="001D5C1B"/>
    <w:rsid w:val="001D7EC5"/>
    <w:rsid w:val="001E32D7"/>
    <w:rsid w:val="001E434D"/>
    <w:rsid w:val="001E5D9F"/>
    <w:rsid w:val="001E6DCF"/>
    <w:rsid w:val="001F0629"/>
    <w:rsid w:val="001F36FC"/>
    <w:rsid w:val="001F3812"/>
    <w:rsid w:val="001F4DA0"/>
    <w:rsid w:val="001F6DA9"/>
    <w:rsid w:val="001F7908"/>
    <w:rsid w:val="001F7D0E"/>
    <w:rsid w:val="00200427"/>
    <w:rsid w:val="002036BB"/>
    <w:rsid w:val="002047E2"/>
    <w:rsid w:val="00205E60"/>
    <w:rsid w:val="002112ED"/>
    <w:rsid w:val="002126D4"/>
    <w:rsid w:val="00212BF5"/>
    <w:rsid w:val="00212CAB"/>
    <w:rsid w:val="0021418F"/>
    <w:rsid w:val="002148B6"/>
    <w:rsid w:val="00215877"/>
    <w:rsid w:val="002161A4"/>
    <w:rsid w:val="00220815"/>
    <w:rsid w:val="00224658"/>
    <w:rsid w:val="00225131"/>
    <w:rsid w:val="00225F2B"/>
    <w:rsid w:val="002272EF"/>
    <w:rsid w:val="00232466"/>
    <w:rsid w:val="00232BC6"/>
    <w:rsid w:val="00233040"/>
    <w:rsid w:val="00236DCB"/>
    <w:rsid w:val="0024000A"/>
    <w:rsid w:val="002426A7"/>
    <w:rsid w:val="00247D7A"/>
    <w:rsid w:val="00250BE9"/>
    <w:rsid w:val="00251679"/>
    <w:rsid w:val="00251F86"/>
    <w:rsid w:val="00256075"/>
    <w:rsid w:val="00256566"/>
    <w:rsid w:val="00260BAE"/>
    <w:rsid w:val="00260C2C"/>
    <w:rsid w:val="002612FD"/>
    <w:rsid w:val="0026229E"/>
    <w:rsid w:val="00263600"/>
    <w:rsid w:val="00266BC0"/>
    <w:rsid w:val="00272979"/>
    <w:rsid w:val="002736D9"/>
    <w:rsid w:val="002758A6"/>
    <w:rsid w:val="00281CF1"/>
    <w:rsid w:val="00281F45"/>
    <w:rsid w:val="00282B03"/>
    <w:rsid w:val="00286CBD"/>
    <w:rsid w:val="00290F86"/>
    <w:rsid w:val="00291083"/>
    <w:rsid w:val="002966A9"/>
    <w:rsid w:val="002A0154"/>
    <w:rsid w:val="002A369F"/>
    <w:rsid w:val="002A7B38"/>
    <w:rsid w:val="002B4393"/>
    <w:rsid w:val="002B6556"/>
    <w:rsid w:val="002B6671"/>
    <w:rsid w:val="002B68DB"/>
    <w:rsid w:val="002C1553"/>
    <w:rsid w:val="002C39D1"/>
    <w:rsid w:val="002C4C65"/>
    <w:rsid w:val="002C5A7A"/>
    <w:rsid w:val="002C7BAA"/>
    <w:rsid w:val="002D25F9"/>
    <w:rsid w:val="002D4AED"/>
    <w:rsid w:val="002D59B2"/>
    <w:rsid w:val="002D5DFC"/>
    <w:rsid w:val="002D6272"/>
    <w:rsid w:val="002E0A64"/>
    <w:rsid w:val="002E2ECA"/>
    <w:rsid w:val="002E3FFA"/>
    <w:rsid w:val="002E4ADC"/>
    <w:rsid w:val="002E7709"/>
    <w:rsid w:val="002F0224"/>
    <w:rsid w:val="002F084F"/>
    <w:rsid w:val="002F13B8"/>
    <w:rsid w:val="002F357D"/>
    <w:rsid w:val="002F40F9"/>
    <w:rsid w:val="002F5EF5"/>
    <w:rsid w:val="002F6CD0"/>
    <w:rsid w:val="00301DAF"/>
    <w:rsid w:val="003020A2"/>
    <w:rsid w:val="00302F67"/>
    <w:rsid w:val="0030347F"/>
    <w:rsid w:val="003048A5"/>
    <w:rsid w:val="00305810"/>
    <w:rsid w:val="003059C3"/>
    <w:rsid w:val="00305AC5"/>
    <w:rsid w:val="00306BF5"/>
    <w:rsid w:val="00310750"/>
    <w:rsid w:val="00313E9E"/>
    <w:rsid w:val="00313EDF"/>
    <w:rsid w:val="00313FE4"/>
    <w:rsid w:val="00316676"/>
    <w:rsid w:val="00320457"/>
    <w:rsid w:val="003221E9"/>
    <w:rsid w:val="00322443"/>
    <w:rsid w:val="003241A3"/>
    <w:rsid w:val="003248D1"/>
    <w:rsid w:val="003261A6"/>
    <w:rsid w:val="0033097B"/>
    <w:rsid w:val="00332A65"/>
    <w:rsid w:val="00332FE3"/>
    <w:rsid w:val="003336FA"/>
    <w:rsid w:val="00336821"/>
    <w:rsid w:val="00341CAD"/>
    <w:rsid w:val="00344FDC"/>
    <w:rsid w:val="00347E25"/>
    <w:rsid w:val="00351769"/>
    <w:rsid w:val="00351960"/>
    <w:rsid w:val="00352A27"/>
    <w:rsid w:val="0035487C"/>
    <w:rsid w:val="003557B1"/>
    <w:rsid w:val="00357570"/>
    <w:rsid w:val="00362030"/>
    <w:rsid w:val="00363FE9"/>
    <w:rsid w:val="00367905"/>
    <w:rsid w:val="00367F60"/>
    <w:rsid w:val="0037034E"/>
    <w:rsid w:val="003711F3"/>
    <w:rsid w:val="003715ED"/>
    <w:rsid w:val="00377752"/>
    <w:rsid w:val="00380C64"/>
    <w:rsid w:val="00381EB7"/>
    <w:rsid w:val="00382814"/>
    <w:rsid w:val="00384206"/>
    <w:rsid w:val="00386096"/>
    <w:rsid w:val="00390D19"/>
    <w:rsid w:val="00390D7B"/>
    <w:rsid w:val="003920ED"/>
    <w:rsid w:val="00394936"/>
    <w:rsid w:val="003971AB"/>
    <w:rsid w:val="003A016A"/>
    <w:rsid w:val="003A2AA8"/>
    <w:rsid w:val="003A2BCC"/>
    <w:rsid w:val="003A4FC7"/>
    <w:rsid w:val="003A5C76"/>
    <w:rsid w:val="003A6CCA"/>
    <w:rsid w:val="003B0780"/>
    <w:rsid w:val="003B1A71"/>
    <w:rsid w:val="003B4359"/>
    <w:rsid w:val="003B44D0"/>
    <w:rsid w:val="003B5258"/>
    <w:rsid w:val="003B54B1"/>
    <w:rsid w:val="003B5816"/>
    <w:rsid w:val="003C1BBC"/>
    <w:rsid w:val="003C1E4D"/>
    <w:rsid w:val="003C22DF"/>
    <w:rsid w:val="003C2E56"/>
    <w:rsid w:val="003C457B"/>
    <w:rsid w:val="003C6AB2"/>
    <w:rsid w:val="003C6D82"/>
    <w:rsid w:val="003D0281"/>
    <w:rsid w:val="003D41D8"/>
    <w:rsid w:val="003D5877"/>
    <w:rsid w:val="003D6504"/>
    <w:rsid w:val="003D689D"/>
    <w:rsid w:val="003D6F3E"/>
    <w:rsid w:val="003E0757"/>
    <w:rsid w:val="003E0B53"/>
    <w:rsid w:val="003E16D8"/>
    <w:rsid w:val="003E1B16"/>
    <w:rsid w:val="003F030F"/>
    <w:rsid w:val="003F0B70"/>
    <w:rsid w:val="003F2A86"/>
    <w:rsid w:val="003F643A"/>
    <w:rsid w:val="003F7111"/>
    <w:rsid w:val="003F73D8"/>
    <w:rsid w:val="004028D5"/>
    <w:rsid w:val="004045E4"/>
    <w:rsid w:val="00413790"/>
    <w:rsid w:val="00416FC8"/>
    <w:rsid w:val="00417D78"/>
    <w:rsid w:val="00420FB8"/>
    <w:rsid w:val="00421B40"/>
    <w:rsid w:val="00422258"/>
    <w:rsid w:val="00425330"/>
    <w:rsid w:val="0042584E"/>
    <w:rsid w:val="00425BC2"/>
    <w:rsid w:val="00426FD6"/>
    <w:rsid w:val="00430E90"/>
    <w:rsid w:val="00432081"/>
    <w:rsid w:val="00432932"/>
    <w:rsid w:val="00433909"/>
    <w:rsid w:val="00433CFE"/>
    <w:rsid w:val="00435C42"/>
    <w:rsid w:val="00435CF2"/>
    <w:rsid w:val="00436AEA"/>
    <w:rsid w:val="004428DE"/>
    <w:rsid w:val="00446636"/>
    <w:rsid w:val="00447064"/>
    <w:rsid w:val="00450385"/>
    <w:rsid w:val="004504EA"/>
    <w:rsid w:val="00454D30"/>
    <w:rsid w:val="004570AC"/>
    <w:rsid w:val="004579CF"/>
    <w:rsid w:val="0046001A"/>
    <w:rsid w:val="00461C2F"/>
    <w:rsid w:val="00463EF6"/>
    <w:rsid w:val="004654ED"/>
    <w:rsid w:val="00465988"/>
    <w:rsid w:val="00473B9D"/>
    <w:rsid w:val="0048091F"/>
    <w:rsid w:val="00481019"/>
    <w:rsid w:val="00481AF8"/>
    <w:rsid w:val="00484BB9"/>
    <w:rsid w:val="0048657A"/>
    <w:rsid w:val="00491C25"/>
    <w:rsid w:val="004948AA"/>
    <w:rsid w:val="004958FC"/>
    <w:rsid w:val="004A105A"/>
    <w:rsid w:val="004A22E8"/>
    <w:rsid w:val="004A2402"/>
    <w:rsid w:val="004A2F77"/>
    <w:rsid w:val="004A3386"/>
    <w:rsid w:val="004A3AB1"/>
    <w:rsid w:val="004A56D9"/>
    <w:rsid w:val="004A5970"/>
    <w:rsid w:val="004A631D"/>
    <w:rsid w:val="004B0EA7"/>
    <w:rsid w:val="004B27FB"/>
    <w:rsid w:val="004B376C"/>
    <w:rsid w:val="004B4090"/>
    <w:rsid w:val="004B53C8"/>
    <w:rsid w:val="004B6D9A"/>
    <w:rsid w:val="004B791D"/>
    <w:rsid w:val="004B7ABF"/>
    <w:rsid w:val="004B7EB0"/>
    <w:rsid w:val="004C1CF9"/>
    <w:rsid w:val="004C2609"/>
    <w:rsid w:val="004C2B25"/>
    <w:rsid w:val="004C4371"/>
    <w:rsid w:val="004C6117"/>
    <w:rsid w:val="004C66D0"/>
    <w:rsid w:val="004C7C25"/>
    <w:rsid w:val="004D09F0"/>
    <w:rsid w:val="004D0D74"/>
    <w:rsid w:val="004D149E"/>
    <w:rsid w:val="004D1CB3"/>
    <w:rsid w:val="004D3A5D"/>
    <w:rsid w:val="004D430C"/>
    <w:rsid w:val="004D46B9"/>
    <w:rsid w:val="004E2468"/>
    <w:rsid w:val="004F03D0"/>
    <w:rsid w:val="004F0D8F"/>
    <w:rsid w:val="004F4A12"/>
    <w:rsid w:val="00500707"/>
    <w:rsid w:val="005023B5"/>
    <w:rsid w:val="005024F7"/>
    <w:rsid w:val="00504E6C"/>
    <w:rsid w:val="005054CF"/>
    <w:rsid w:val="0050650D"/>
    <w:rsid w:val="005079E0"/>
    <w:rsid w:val="00510CB4"/>
    <w:rsid w:val="00513062"/>
    <w:rsid w:val="00513631"/>
    <w:rsid w:val="0051566C"/>
    <w:rsid w:val="005177DA"/>
    <w:rsid w:val="005251AD"/>
    <w:rsid w:val="00527545"/>
    <w:rsid w:val="005304C2"/>
    <w:rsid w:val="005310CC"/>
    <w:rsid w:val="00531B35"/>
    <w:rsid w:val="005352A6"/>
    <w:rsid w:val="005357A0"/>
    <w:rsid w:val="0053599D"/>
    <w:rsid w:val="005370A9"/>
    <w:rsid w:val="00540357"/>
    <w:rsid w:val="005469C0"/>
    <w:rsid w:val="00547AD0"/>
    <w:rsid w:val="0055068A"/>
    <w:rsid w:val="005543AE"/>
    <w:rsid w:val="0055672D"/>
    <w:rsid w:val="0056041A"/>
    <w:rsid w:val="00560EF2"/>
    <w:rsid w:val="005649CA"/>
    <w:rsid w:val="0056684C"/>
    <w:rsid w:val="00567D1C"/>
    <w:rsid w:val="005703B3"/>
    <w:rsid w:val="005753C3"/>
    <w:rsid w:val="005835F0"/>
    <w:rsid w:val="00584C63"/>
    <w:rsid w:val="00587E1E"/>
    <w:rsid w:val="005901BA"/>
    <w:rsid w:val="00597D29"/>
    <w:rsid w:val="005A0143"/>
    <w:rsid w:val="005A1E00"/>
    <w:rsid w:val="005A3DF5"/>
    <w:rsid w:val="005A4046"/>
    <w:rsid w:val="005A4F5D"/>
    <w:rsid w:val="005A5B37"/>
    <w:rsid w:val="005A6174"/>
    <w:rsid w:val="005A7145"/>
    <w:rsid w:val="005B0B30"/>
    <w:rsid w:val="005B105E"/>
    <w:rsid w:val="005B378E"/>
    <w:rsid w:val="005C2175"/>
    <w:rsid w:val="005C22EF"/>
    <w:rsid w:val="005D4418"/>
    <w:rsid w:val="005D4631"/>
    <w:rsid w:val="005D4958"/>
    <w:rsid w:val="005D4A2B"/>
    <w:rsid w:val="005D521A"/>
    <w:rsid w:val="005D72CA"/>
    <w:rsid w:val="005E0689"/>
    <w:rsid w:val="005E0CEE"/>
    <w:rsid w:val="005E103C"/>
    <w:rsid w:val="005E3915"/>
    <w:rsid w:val="005E661A"/>
    <w:rsid w:val="005F1F9D"/>
    <w:rsid w:val="005F3932"/>
    <w:rsid w:val="005F394F"/>
    <w:rsid w:val="005F4AE3"/>
    <w:rsid w:val="005F6A2C"/>
    <w:rsid w:val="00600B78"/>
    <w:rsid w:val="00601117"/>
    <w:rsid w:val="006074E1"/>
    <w:rsid w:val="00610C8D"/>
    <w:rsid w:val="00613074"/>
    <w:rsid w:val="00614A23"/>
    <w:rsid w:val="006175A2"/>
    <w:rsid w:val="0062062A"/>
    <w:rsid w:val="0062199A"/>
    <w:rsid w:val="00621E88"/>
    <w:rsid w:val="00622259"/>
    <w:rsid w:val="00622DC8"/>
    <w:rsid w:val="00623022"/>
    <w:rsid w:val="00624FA6"/>
    <w:rsid w:val="00625362"/>
    <w:rsid w:val="00625946"/>
    <w:rsid w:val="00627983"/>
    <w:rsid w:val="00630581"/>
    <w:rsid w:val="00630F15"/>
    <w:rsid w:val="00631710"/>
    <w:rsid w:val="0063186C"/>
    <w:rsid w:val="00631EBB"/>
    <w:rsid w:val="006361BA"/>
    <w:rsid w:val="006377B6"/>
    <w:rsid w:val="00637CD6"/>
    <w:rsid w:val="006446DD"/>
    <w:rsid w:val="00647335"/>
    <w:rsid w:val="00650186"/>
    <w:rsid w:val="0065102B"/>
    <w:rsid w:val="00652D78"/>
    <w:rsid w:val="006533C3"/>
    <w:rsid w:val="006551B8"/>
    <w:rsid w:val="00665358"/>
    <w:rsid w:val="006653B5"/>
    <w:rsid w:val="0067455A"/>
    <w:rsid w:val="00674659"/>
    <w:rsid w:val="0067489B"/>
    <w:rsid w:val="00676075"/>
    <w:rsid w:val="0068509B"/>
    <w:rsid w:val="006876B6"/>
    <w:rsid w:val="00691A06"/>
    <w:rsid w:val="00694865"/>
    <w:rsid w:val="006972D2"/>
    <w:rsid w:val="00697683"/>
    <w:rsid w:val="00697B76"/>
    <w:rsid w:val="006A0767"/>
    <w:rsid w:val="006A0D54"/>
    <w:rsid w:val="006A5279"/>
    <w:rsid w:val="006A624C"/>
    <w:rsid w:val="006A7C9E"/>
    <w:rsid w:val="006B1D3B"/>
    <w:rsid w:val="006B68D8"/>
    <w:rsid w:val="006B6D83"/>
    <w:rsid w:val="006B7D4F"/>
    <w:rsid w:val="006C1856"/>
    <w:rsid w:val="006C3B35"/>
    <w:rsid w:val="006C3CED"/>
    <w:rsid w:val="006C48F8"/>
    <w:rsid w:val="006C5683"/>
    <w:rsid w:val="006C6675"/>
    <w:rsid w:val="006D0CC1"/>
    <w:rsid w:val="006D0E98"/>
    <w:rsid w:val="006D0FB6"/>
    <w:rsid w:val="006D1F16"/>
    <w:rsid w:val="006D2870"/>
    <w:rsid w:val="006D75CD"/>
    <w:rsid w:val="006D765D"/>
    <w:rsid w:val="006E035D"/>
    <w:rsid w:val="006E12E9"/>
    <w:rsid w:val="006E2ED1"/>
    <w:rsid w:val="006E3C00"/>
    <w:rsid w:val="006E7327"/>
    <w:rsid w:val="006E7560"/>
    <w:rsid w:val="006E7A7E"/>
    <w:rsid w:val="006F19E3"/>
    <w:rsid w:val="006F378F"/>
    <w:rsid w:val="006F4689"/>
    <w:rsid w:val="006F4798"/>
    <w:rsid w:val="006F62DE"/>
    <w:rsid w:val="007008A3"/>
    <w:rsid w:val="007015FF"/>
    <w:rsid w:val="00701B10"/>
    <w:rsid w:val="00701D85"/>
    <w:rsid w:val="00701E18"/>
    <w:rsid w:val="00701FA4"/>
    <w:rsid w:val="00702A28"/>
    <w:rsid w:val="00702A88"/>
    <w:rsid w:val="00706916"/>
    <w:rsid w:val="00710E92"/>
    <w:rsid w:val="0071167B"/>
    <w:rsid w:val="00714EDE"/>
    <w:rsid w:val="0071547D"/>
    <w:rsid w:val="00722FCE"/>
    <w:rsid w:val="0072385C"/>
    <w:rsid w:val="00726171"/>
    <w:rsid w:val="007275EF"/>
    <w:rsid w:val="00730718"/>
    <w:rsid w:val="00731B99"/>
    <w:rsid w:val="00731CC7"/>
    <w:rsid w:val="00733372"/>
    <w:rsid w:val="00733D46"/>
    <w:rsid w:val="00733F4B"/>
    <w:rsid w:val="00734630"/>
    <w:rsid w:val="00735FFE"/>
    <w:rsid w:val="007374B9"/>
    <w:rsid w:val="0074074F"/>
    <w:rsid w:val="00740A8F"/>
    <w:rsid w:val="00742876"/>
    <w:rsid w:val="00745BAF"/>
    <w:rsid w:val="00747A24"/>
    <w:rsid w:val="007514E8"/>
    <w:rsid w:val="007607E8"/>
    <w:rsid w:val="007608FF"/>
    <w:rsid w:val="00760BD6"/>
    <w:rsid w:val="007626D9"/>
    <w:rsid w:val="00765357"/>
    <w:rsid w:val="007659BC"/>
    <w:rsid w:val="00770663"/>
    <w:rsid w:val="00771ACE"/>
    <w:rsid w:val="00772942"/>
    <w:rsid w:val="00773136"/>
    <w:rsid w:val="00774996"/>
    <w:rsid w:val="00774F15"/>
    <w:rsid w:val="00775EF4"/>
    <w:rsid w:val="0077778C"/>
    <w:rsid w:val="00780130"/>
    <w:rsid w:val="00783662"/>
    <w:rsid w:val="00784486"/>
    <w:rsid w:val="00787630"/>
    <w:rsid w:val="00790D7F"/>
    <w:rsid w:val="0079113B"/>
    <w:rsid w:val="00797AA8"/>
    <w:rsid w:val="007A0FB2"/>
    <w:rsid w:val="007A4F58"/>
    <w:rsid w:val="007A6725"/>
    <w:rsid w:val="007A7ADD"/>
    <w:rsid w:val="007B002D"/>
    <w:rsid w:val="007B18AD"/>
    <w:rsid w:val="007B2962"/>
    <w:rsid w:val="007B2D23"/>
    <w:rsid w:val="007B4476"/>
    <w:rsid w:val="007B71E2"/>
    <w:rsid w:val="007C00DA"/>
    <w:rsid w:val="007C0E16"/>
    <w:rsid w:val="007C1163"/>
    <w:rsid w:val="007C4987"/>
    <w:rsid w:val="007D47BD"/>
    <w:rsid w:val="007D7C47"/>
    <w:rsid w:val="007D7FFB"/>
    <w:rsid w:val="007E1A43"/>
    <w:rsid w:val="007E3C0E"/>
    <w:rsid w:val="007E4673"/>
    <w:rsid w:val="007E572E"/>
    <w:rsid w:val="007E61EC"/>
    <w:rsid w:val="007E718E"/>
    <w:rsid w:val="007F128F"/>
    <w:rsid w:val="007F5304"/>
    <w:rsid w:val="007F7776"/>
    <w:rsid w:val="008023A6"/>
    <w:rsid w:val="008115C5"/>
    <w:rsid w:val="00812C70"/>
    <w:rsid w:val="0081418A"/>
    <w:rsid w:val="008149B0"/>
    <w:rsid w:val="00814E7D"/>
    <w:rsid w:val="008177D7"/>
    <w:rsid w:val="00821E16"/>
    <w:rsid w:val="00822D9F"/>
    <w:rsid w:val="00826203"/>
    <w:rsid w:val="008272A5"/>
    <w:rsid w:val="008277A6"/>
    <w:rsid w:val="00833183"/>
    <w:rsid w:val="0083470D"/>
    <w:rsid w:val="008423A3"/>
    <w:rsid w:val="00846074"/>
    <w:rsid w:val="00846D9D"/>
    <w:rsid w:val="0085211A"/>
    <w:rsid w:val="00852B1F"/>
    <w:rsid w:val="00856C0B"/>
    <w:rsid w:val="00860C22"/>
    <w:rsid w:val="0086142A"/>
    <w:rsid w:val="00861D88"/>
    <w:rsid w:val="00862D16"/>
    <w:rsid w:val="0087362B"/>
    <w:rsid w:val="00876FA4"/>
    <w:rsid w:val="008775AB"/>
    <w:rsid w:val="00880168"/>
    <w:rsid w:val="00882D3C"/>
    <w:rsid w:val="00883BC4"/>
    <w:rsid w:val="008847ED"/>
    <w:rsid w:val="00884AC1"/>
    <w:rsid w:val="00885B22"/>
    <w:rsid w:val="00887D24"/>
    <w:rsid w:val="00892D3B"/>
    <w:rsid w:val="00895154"/>
    <w:rsid w:val="00895451"/>
    <w:rsid w:val="00897EDC"/>
    <w:rsid w:val="008A17EB"/>
    <w:rsid w:val="008A2F12"/>
    <w:rsid w:val="008A5134"/>
    <w:rsid w:val="008A79FE"/>
    <w:rsid w:val="008B1C97"/>
    <w:rsid w:val="008B2508"/>
    <w:rsid w:val="008B267B"/>
    <w:rsid w:val="008B2781"/>
    <w:rsid w:val="008B6CCD"/>
    <w:rsid w:val="008C5774"/>
    <w:rsid w:val="008C579E"/>
    <w:rsid w:val="008C7454"/>
    <w:rsid w:val="008D0FCF"/>
    <w:rsid w:val="008D37F6"/>
    <w:rsid w:val="008D3A63"/>
    <w:rsid w:val="008D5B54"/>
    <w:rsid w:val="008D6266"/>
    <w:rsid w:val="008D7983"/>
    <w:rsid w:val="008E27C4"/>
    <w:rsid w:val="008E3BE0"/>
    <w:rsid w:val="008F09A9"/>
    <w:rsid w:val="008F0E9C"/>
    <w:rsid w:val="008F48D5"/>
    <w:rsid w:val="008F51FF"/>
    <w:rsid w:val="008F55C3"/>
    <w:rsid w:val="00900963"/>
    <w:rsid w:val="0090492C"/>
    <w:rsid w:val="009121FF"/>
    <w:rsid w:val="009129DC"/>
    <w:rsid w:val="00913148"/>
    <w:rsid w:val="009208D8"/>
    <w:rsid w:val="00922DBD"/>
    <w:rsid w:val="0092387F"/>
    <w:rsid w:val="00923B0E"/>
    <w:rsid w:val="00925F3A"/>
    <w:rsid w:val="00926505"/>
    <w:rsid w:val="009265C0"/>
    <w:rsid w:val="00926F0E"/>
    <w:rsid w:val="00932C28"/>
    <w:rsid w:val="00935573"/>
    <w:rsid w:val="009356A2"/>
    <w:rsid w:val="0094005C"/>
    <w:rsid w:val="00940E25"/>
    <w:rsid w:val="00940F60"/>
    <w:rsid w:val="00941587"/>
    <w:rsid w:val="009469BE"/>
    <w:rsid w:val="0094797C"/>
    <w:rsid w:val="00947DC2"/>
    <w:rsid w:val="00951FDE"/>
    <w:rsid w:val="009544DF"/>
    <w:rsid w:val="00954FC6"/>
    <w:rsid w:val="0095503D"/>
    <w:rsid w:val="00956984"/>
    <w:rsid w:val="00957FBC"/>
    <w:rsid w:val="00960420"/>
    <w:rsid w:val="00960714"/>
    <w:rsid w:val="0096255F"/>
    <w:rsid w:val="009636D9"/>
    <w:rsid w:val="0096799B"/>
    <w:rsid w:val="00967C6A"/>
    <w:rsid w:val="009704FB"/>
    <w:rsid w:val="009723C2"/>
    <w:rsid w:val="0097468C"/>
    <w:rsid w:val="0097527E"/>
    <w:rsid w:val="00980FC6"/>
    <w:rsid w:val="009832ED"/>
    <w:rsid w:val="00985FC1"/>
    <w:rsid w:val="00991785"/>
    <w:rsid w:val="00993E9F"/>
    <w:rsid w:val="00993F3C"/>
    <w:rsid w:val="00994B34"/>
    <w:rsid w:val="00994EF3"/>
    <w:rsid w:val="00995804"/>
    <w:rsid w:val="00997577"/>
    <w:rsid w:val="009A03A4"/>
    <w:rsid w:val="009A200B"/>
    <w:rsid w:val="009A25B0"/>
    <w:rsid w:val="009A4102"/>
    <w:rsid w:val="009B429B"/>
    <w:rsid w:val="009B54CB"/>
    <w:rsid w:val="009C1C52"/>
    <w:rsid w:val="009C2EA4"/>
    <w:rsid w:val="009C4B80"/>
    <w:rsid w:val="009C7CDB"/>
    <w:rsid w:val="009D1A9A"/>
    <w:rsid w:val="009D7913"/>
    <w:rsid w:val="009D7B56"/>
    <w:rsid w:val="009E1A09"/>
    <w:rsid w:val="009E318C"/>
    <w:rsid w:val="009E4D2D"/>
    <w:rsid w:val="009E63A4"/>
    <w:rsid w:val="009E7589"/>
    <w:rsid w:val="009E76C1"/>
    <w:rsid w:val="009E7FAD"/>
    <w:rsid w:val="009F2F77"/>
    <w:rsid w:val="009F3981"/>
    <w:rsid w:val="009F4D87"/>
    <w:rsid w:val="009F70E9"/>
    <w:rsid w:val="00A00B4A"/>
    <w:rsid w:val="00A0777B"/>
    <w:rsid w:val="00A101DF"/>
    <w:rsid w:val="00A10251"/>
    <w:rsid w:val="00A13230"/>
    <w:rsid w:val="00A16360"/>
    <w:rsid w:val="00A21AD2"/>
    <w:rsid w:val="00A25CB1"/>
    <w:rsid w:val="00A25D84"/>
    <w:rsid w:val="00A31D12"/>
    <w:rsid w:val="00A36E4F"/>
    <w:rsid w:val="00A429B9"/>
    <w:rsid w:val="00A4337D"/>
    <w:rsid w:val="00A5042D"/>
    <w:rsid w:val="00A50878"/>
    <w:rsid w:val="00A51787"/>
    <w:rsid w:val="00A56ED0"/>
    <w:rsid w:val="00A579D3"/>
    <w:rsid w:val="00A635E4"/>
    <w:rsid w:val="00A66894"/>
    <w:rsid w:val="00A6790E"/>
    <w:rsid w:val="00A809BC"/>
    <w:rsid w:val="00A80EE0"/>
    <w:rsid w:val="00A81AA5"/>
    <w:rsid w:val="00A836CF"/>
    <w:rsid w:val="00A85694"/>
    <w:rsid w:val="00A93BF0"/>
    <w:rsid w:val="00A94C94"/>
    <w:rsid w:val="00A96295"/>
    <w:rsid w:val="00A968AB"/>
    <w:rsid w:val="00A97DD5"/>
    <w:rsid w:val="00AA463E"/>
    <w:rsid w:val="00AA69EF"/>
    <w:rsid w:val="00AB2DA2"/>
    <w:rsid w:val="00AB3915"/>
    <w:rsid w:val="00AB4DE5"/>
    <w:rsid w:val="00AC0309"/>
    <w:rsid w:val="00AC0716"/>
    <w:rsid w:val="00AC5BEF"/>
    <w:rsid w:val="00AC68BE"/>
    <w:rsid w:val="00AD0028"/>
    <w:rsid w:val="00AD2304"/>
    <w:rsid w:val="00AD3477"/>
    <w:rsid w:val="00AE2F29"/>
    <w:rsid w:val="00AE4FA9"/>
    <w:rsid w:val="00AE5F4A"/>
    <w:rsid w:val="00AE7C82"/>
    <w:rsid w:val="00AF0DF2"/>
    <w:rsid w:val="00AF30A5"/>
    <w:rsid w:val="00AF3186"/>
    <w:rsid w:val="00AF5B6E"/>
    <w:rsid w:val="00B0247A"/>
    <w:rsid w:val="00B04087"/>
    <w:rsid w:val="00B057CB"/>
    <w:rsid w:val="00B072FE"/>
    <w:rsid w:val="00B10136"/>
    <w:rsid w:val="00B11637"/>
    <w:rsid w:val="00B12260"/>
    <w:rsid w:val="00B17FB8"/>
    <w:rsid w:val="00B23EB4"/>
    <w:rsid w:val="00B30626"/>
    <w:rsid w:val="00B30B77"/>
    <w:rsid w:val="00B30CA1"/>
    <w:rsid w:val="00B320DC"/>
    <w:rsid w:val="00B35A8E"/>
    <w:rsid w:val="00B37860"/>
    <w:rsid w:val="00B40062"/>
    <w:rsid w:val="00B4014F"/>
    <w:rsid w:val="00B40ED7"/>
    <w:rsid w:val="00B42AB2"/>
    <w:rsid w:val="00B45635"/>
    <w:rsid w:val="00B52044"/>
    <w:rsid w:val="00B53898"/>
    <w:rsid w:val="00B539A1"/>
    <w:rsid w:val="00B53C15"/>
    <w:rsid w:val="00B544C1"/>
    <w:rsid w:val="00B615CC"/>
    <w:rsid w:val="00B6291B"/>
    <w:rsid w:val="00B63E2C"/>
    <w:rsid w:val="00B7023F"/>
    <w:rsid w:val="00B70B36"/>
    <w:rsid w:val="00B7268A"/>
    <w:rsid w:val="00B762A2"/>
    <w:rsid w:val="00B7630C"/>
    <w:rsid w:val="00B81F70"/>
    <w:rsid w:val="00B826AC"/>
    <w:rsid w:val="00B86205"/>
    <w:rsid w:val="00B86701"/>
    <w:rsid w:val="00B8670B"/>
    <w:rsid w:val="00B87D9B"/>
    <w:rsid w:val="00B93137"/>
    <w:rsid w:val="00B9451F"/>
    <w:rsid w:val="00B95571"/>
    <w:rsid w:val="00B955C4"/>
    <w:rsid w:val="00B97DE8"/>
    <w:rsid w:val="00BA1172"/>
    <w:rsid w:val="00BB32F0"/>
    <w:rsid w:val="00BB473F"/>
    <w:rsid w:val="00BC05A6"/>
    <w:rsid w:val="00BC10C2"/>
    <w:rsid w:val="00BC1448"/>
    <w:rsid w:val="00BC1CFB"/>
    <w:rsid w:val="00BC2224"/>
    <w:rsid w:val="00BC314F"/>
    <w:rsid w:val="00BC406E"/>
    <w:rsid w:val="00BC6F59"/>
    <w:rsid w:val="00BD10A6"/>
    <w:rsid w:val="00BD2895"/>
    <w:rsid w:val="00BD38EB"/>
    <w:rsid w:val="00BD3CB9"/>
    <w:rsid w:val="00BD3E31"/>
    <w:rsid w:val="00BD78DB"/>
    <w:rsid w:val="00BE50AA"/>
    <w:rsid w:val="00BE5121"/>
    <w:rsid w:val="00BE5EDF"/>
    <w:rsid w:val="00BE7316"/>
    <w:rsid w:val="00BE7B70"/>
    <w:rsid w:val="00BE7C55"/>
    <w:rsid w:val="00BF00E3"/>
    <w:rsid w:val="00BF0C5F"/>
    <w:rsid w:val="00BF4B57"/>
    <w:rsid w:val="00C04C22"/>
    <w:rsid w:val="00C06503"/>
    <w:rsid w:val="00C10827"/>
    <w:rsid w:val="00C10E24"/>
    <w:rsid w:val="00C10FEC"/>
    <w:rsid w:val="00C11964"/>
    <w:rsid w:val="00C11CDC"/>
    <w:rsid w:val="00C14277"/>
    <w:rsid w:val="00C236F4"/>
    <w:rsid w:val="00C257CF"/>
    <w:rsid w:val="00C25C0F"/>
    <w:rsid w:val="00C31A20"/>
    <w:rsid w:val="00C3321C"/>
    <w:rsid w:val="00C34DCE"/>
    <w:rsid w:val="00C34FDB"/>
    <w:rsid w:val="00C356E8"/>
    <w:rsid w:val="00C36B8A"/>
    <w:rsid w:val="00C43137"/>
    <w:rsid w:val="00C45839"/>
    <w:rsid w:val="00C471ED"/>
    <w:rsid w:val="00C47BE6"/>
    <w:rsid w:val="00C5056D"/>
    <w:rsid w:val="00C50F95"/>
    <w:rsid w:val="00C57489"/>
    <w:rsid w:val="00C607C9"/>
    <w:rsid w:val="00C64B15"/>
    <w:rsid w:val="00C65823"/>
    <w:rsid w:val="00C6615E"/>
    <w:rsid w:val="00C673B4"/>
    <w:rsid w:val="00C67F24"/>
    <w:rsid w:val="00C71EB7"/>
    <w:rsid w:val="00C72782"/>
    <w:rsid w:val="00C730A2"/>
    <w:rsid w:val="00C75154"/>
    <w:rsid w:val="00C75A7B"/>
    <w:rsid w:val="00C76D9F"/>
    <w:rsid w:val="00C776BE"/>
    <w:rsid w:val="00C83898"/>
    <w:rsid w:val="00C83D64"/>
    <w:rsid w:val="00C867BC"/>
    <w:rsid w:val="00C924ED"/>
    <w:rsid w:val="00C93599"/>
    <w:rsid w:val="00C93870"/>
    <w:rsid w:val="00C93A21"/>
    <w:rsid w:val="00C94E7B"/>
    <w:rsid w:val="00C954D7"/>
    <w:rsid w:val="00CA3630"/>
    <w:rsid w:val="00CA4EA1"/>
    <w:rsid w:val="00CA5E1B"/>
    <w:rsid w:val="00CA6F12"/>
    <w:rsid w:val="00CA74C4"/>
    <w:rsid w:val="00CA75DC"/>
    <w:rsid w:val="00CA7800"/>
    <w:rsid w:val="00CA7D25"/>
    <w:rsid w:val="00CB10E0"/>
    <w:rsid w:val="00CB23D0"/>
    <w:rsid w:val="00CB5849"/>
    <w:rsid w:val="00CB5D46"/>
    <w:rsid w:val="00CB5E73"/>
    <w:rsid w:val="00CB5E98"/>
    <w:rsid w:val="00CB6330"/>
    <w:rsid w:val="00CC39D2"/>
    <w:rsid w:val="00CC66E6"/>
    <w:rsid w:val="00CD21B6"/>
    <w:rsid w:val="00CD4346"/>
    <w:rsid w:val="00CD70EB"/>
    <w:rsid w:val="00CD719F"/>
    <w:rsid w:val="00CE0C93"/>
    <w:rsid w:val="00CE19AC"/>
    <w:rsid w:val="00CE2599"/>
    <w:rsid w:val="00CE4AF3"/>
    <w:rsid w:val="00CE5938"/>
    <w:rsid w:val="00CE7F33"/>
    <w:rsid w:val="00CF08FF"/>
    <w:rsid w:val="00CF2DDB"/>
    <w:rsid w:val="00CF4CC3"/>
    <w:rsid w:val="00CF549A"/>
    <w:rsid w:val="00D050B8"/>
    <w:rsid w:val="00D06875"/>
    <w:rsid w:val="00D122BE"/>
    <w:rsid w:val="00D1530C"/>
    <w:rsid w:val="00D1613E"/>
    <w:rsid w:val="00D20C24"/>
    <w:rsid w:val="00D2126B"/>
    <w:rsid w:val="00D22CEB"/>
    <w:rsid w:val="00D253BF"/>
    <w:rsid w:val="00D31D9A"/>
    <w:rsid w:val="00D34E70"/>
    <w:rsid w:val="00D35A55"/>
    <w:rsid w:val="00D363E8"/>
    <w:rsid w:val="00D37ABC"/>
    <w:rsid w:val="00D41235"/>
    <w:rsid w:val="00D41486"/>
    <w:rsid w:val="00D4173D"/>
    <w:rsid w:val="00D42CA7"/>
    <w:rsid w:val="00D43886"/>
    <w:rsid w:val="00D46435"/>
    <w:rsid w:val="00D50089"/>
    <w:rsid w:val="00D517BA"/>
    <w:rsid w:val="00D54568"/>
    <w:rsid w:val="00D620D5"/>
    <w:rsid w:val="00D635CE"/>
    <w:rsid w:val="00D64A1E"/>
    <w:rsid w:val="00D64AE7"/>
    <w:rsid w:val="00D64E17"/>
    <w:rsid w:val="00D6788C"/>
    <w:rsid w:val="00D7092D"/>
    <w:rsid w:val="00D76054"/>
    <w:rsid w:val="00D80A98"/>
    <w:rsid w:val="00D8769C"/>
    <w:rsid w:val="00D90F5D"/>
    <w:rsid w:val="00DA0383"/>
    <w:rsid w:val="00DA270B"/>
    <w:rsid w:val="00DA5F89"/>
    <w:rsid w:val="00DA6586"/>
    <w:rsid w:val="00DA6C89"/>
    <w:rsid w:val="00DB5096"/>
    <w:rsid w:val="00DB7918"/>
    <w:rsid w:val="00DC3562"/>
    <w:rsid w:val="00DC6F5D"/>
    <w:rsid w:val="00DD0BDB"/>
    <w:rsid w:val="00DD1D57"/>
    <w:rsid w:val="00DD269D"/>
    <w:rsid w:val="00DD7C82"/>
    <w:rsid w:val="00DE1518"/>
    <w:rsid w:val="00DE2088"/>
    <w:rsid w:val="00DE6A97"/>
    <w:rsid w:val="00DF184E"/>
    <w:rsid w:val="00DF32F9"/>
    <w:rsid w:val="00DF6863"/>
    <w:rsid w:val="00DF68BA"/>
    <w:rsid w:val="00E02F60"/>
    <w:rsid w:val="00E070F1"/>
    <w:rsid w:val="00E07BA5"/>
    <w:rsid w:val="00E10A8C"/>
    <w:rsid w:val="00E1494E"/>
    <w:rsid w:val="00E1701D"/>
    <w:rsid w:val="00E222AE"/>
    <w:rsid w:val="00E22CF0"/>
    <w:rsid w:val="00E24BDF"/>
    <w:rsid w:val="00E250B2"/>
    <w:rsid w:val="00E2789D"/>
    <w:rsid w:val="00E30556"/>
    <w:rsid w:val="00E34267"/>
    <w:rsid w:val="00E34E07"/>
    <w:rsid w:val="00E367F4"/>
    <w:rsid w:val="00E40304"/>
    <w:rsid w:val="00E41BB9"/>
    <w:rsid w:val="00E4348E"/>
    <w:rsid w:val="00E510C9"/>
    <w:rsid w:val="00E51A6E"/>
    <w:rsid w:val="00E52FBC"/>
    <w:rsid w:val="00E55C4A"/>
    <w:rsid w:val="00E569B2"/>
    <w:rsid w:val="00E6212D"/>
    <w:rsid w:val="00E666BF"/>
    <w:rsid w:val="00E67BE7"/>
    <w:rsid w:val="00E70BE7"/>
    <w:rsid w:val="00E74111"/>
    <w:rsid w:val="00E81739"/>
    <w:rsid w:val="00E8236B"/>
    <w:rsid w:val="00E82BDD"/>
    <w:rsid w:val="00E844CC"/>
    <w:rsid w:val="00E855A5"/>
    <w:rsid w:val="00E91400"/>
    <w:rsid w:val="00E949E2"/>
    <w:rsid w:val="00E97DB3"/>
    <w:rsid w:val="00EA0727"/>
    <w:rsid w:val="00EA1C2B"/>
    <w:rsid w:val="00EA2475"/>
    <w:rsid w:val="00EA3F0B"/>
    <w:rsid w:val="00EA4674"/>
    <w:rsid w:val="00EA53D0"/>
    <w:rsid w:val="00EA632D"/>
    <w:rsid w:val="00EB1FF2"/>
    <w:rsid w:val="00EB21A0"/>
    <w:rsid w:val="00EB32BB"/>
    <w:rsid w:val="00EB3334"/>
    <w:rsid w:val="00EB362B"/>
    <w:rsid w:val="00EC0370"/>
    <w:rsid w:val="00EC647D"/>
    <w:rsid w:val="00ED3528"/>
    <w:rsid w:val="00EE1190"/>
    <w:rsid w:val="00EE1694"/>
    <w:rsid w:val="00EE2334"/>
    <w:rsid w:val="00EE2569"/>
    <w:rsid w:val="00EE35E4"/>
    <w:rsid w:val="00EE4519"/>
    <w:rsid w:val="00EE5CD9"/>
    <w:rsid w:val="00EE7FB5"/>
    <w:rsid w:val="00EF0CE5"/>
    <w:rsid w:val="00EF6CC8"/>
    <w:rsid w:val="00EF789C"/>
    <w:rsid w:val="00F007A0"/>
    <w:rsid w:val="00F1043A"/>
    <w:rsid w:val="00F10E14"/>
    <w:rsid w:val="00F10FC5"/>
    <w:rsid w:val="00F1132A"/>
    <w:rsid w:val="00F1175C"/>
    <w:rsid w:val="00F14070"/>
    <w:rsid w:val="00F14A61"/>
    <w:rsid w:val="00F14EC4"/>
    <w:rsid w:val="00F17B9C"/>
    <w:rsid w:val="00F20FAB"/>
    <w:rsid w:val="00F212C1"/>
    <w:rsid w:val="00F27854"/>
    <w:rsid w:val="00F306DA"/>
    <w:rsid w:val="00F33E41"/>
    <w:rsid w:val="00F34F88"/>
    <w:rsid w:val="00F36887"/>
    <w:rsid w:val="00F42F29"/>
    <w:rsid w:val="00F4328D"/>
    <w:rsid w:val="00F4356A"/>
    <w:rsid w:val="00F450C9"/>
    <w:rsid w:val="00F450E7"/>
    <w:rsid w:val="00F46D5E"/>
    <w:rsid w:val="00F504AF"/>
    <w:rsid w:val="00F50A5A"/>
    <w:rsid w:val="00F50C02"/>
    <w:rsid w:val="00F51122"/>
    <w:rsid w:val="00F511D1"/>
    <w:rsid w:val="00F51FCB"/>
    <w:rsid w:val="00F57A16"/>
    <w:rsid w:val="00F61506"/>
    <w:rsid w:val="00F61549"/>
    <w:rsid w:val="00F62E4B"/>
    <w:rsid w:val="00F63C2B"/>
    <w:rsid w:val="00F726D8"/>
    <w:rsid w:val="00F73FD6"/>
    <w:rsid w:val="00F751E8"/>
    <w:rsid w:val="00F77EAA"/>
    <w:rsid w:val="00F80207"/>
    <w:rsid w:val="00F80510"/>
    <w:rsid w:val="00F81314"/>
    <w:rsid w:val="00F813F4"/>
    <w:rsid w:val="00F84719"/>
    <w:rsid w:val="00F847DE"/>
    <w:rsid w:val="00F90ADA"/>
    <w:rsid w:val="00F940B1"/>
    <w:rsid w:val="00F94961"/>
    <w:rsid w:val="00F94F85"/>
    <w:rsid w:val="00F95AE4"/>
    <w:rsid w:val="00F962B5"/>
    <w:rsid w:val="00FA09D0"/>
    <w:rsid w:val="00FA22E9"/>
    <w:rsid w:val="00FA4B61"/>
    <w:rsid w:val="00FA6C9E"/>
    <w:rsid w:val="00FB1692"/>
    <w:rsid w:val="00FB3016"/>
    <w:rsid w:val="00FB43B2"/>
    <w:rsid w:val="00FB44B2"/>
    <w:rsid w:val="00FB5BAF"/>
    <w:rsid w:val="00FB71C1"/>
    <w:rsid w:val="00FB7362"/>
    <w:rsid w:val="00FC02D9"/>
    <w:rsid w:val="00FC1065"/>
    <w:rsid w:val="00FC38AB"/>
    <w:rsid w:val="00FD0418"/>
    <w:rsid w:val="00FD29A2"/>
    <w:rsid w:val="00FD2BFB"/>
    <w:rsid w:val="00FD32A2"/>
    <w:rsid w:val="00FD60CA"/>
    <w:rsid w:val="00FD6F76"/>
    <w:rsid w:val="00FD7920"/>
    <w:rsid w:val="00FD7968"/>
    <w:rsid w:val="00FE004A"/>
    <w:rsid w:val="00FE2E93"/>
    <w:rsid w:val="00FE3169"/>
    <w:rsid w:val="00FE3C51"/>
    <w:rsid w:val="00FE4A41"/>
    <w:rsid w:val="00FE6A79"/>
    <w:rsid w:val="00FF24FB"/>
    <w:rsid w:val="00FF252A"/>
    <w:rsid w:val="00FF3D9D"/>
    <w:rsid w:val="00FF4882"/>
    <w:rsid w:val="00FF5A4B"/>
    <w:rsid w:val="00FF60B4"/>
    <w:rsid w:val="00FF617A"/>
    <w:rsid w:val="00FF67BD"/>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0DA632"/>
  <w15:chartTrackingRefBased/>
  <w15:docId w15:val="{136E0534-8D2B-4768-B290-9227B817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Hyperlink"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A429B9"/>
    <w:pPr>
      <w:spacing w:before="120" w:after="120" w:line="300" w:lineRule="atLeast"/>
    </w:pPr>
    <w:rPr>
      <w:rFonts w:ascii="Arial" w:eastAsia="Times New Roman" w:hAnsi="Arial"/>
      <w:szCs w:val="24"/>
    </w:rPr>
  </w:style>
  <w:style w:type="paragraph" w:styleId="Heading1">
    <w:name w:val="heading 1"/>
    <w:basedOn w:val="Normal"/>
    <w:next w:val="Normal"/>
    <w:link w:val="Heading1Char"/>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lang w:eastAsia="en-GB"/>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lang w:eastAsia="en-GB"/>
    </w:rPr>
  </w:style>
  <w:style w:type="character" w:customStyle="1" w:styleId="Heading8Char">
    <w:name w:val="Heading 8 Char"/>
    <w:link w:val="Heading8"/>
    <w:rsid w:val="00313E9E"/>
    <w:rPr>
      <w:rFonts w:ascii="Calibri" w:eastAsia="MS Gothic" w:hAnsi="Calibri"/>
      <w:color w:val="363636"/>
      <w:lang w:eastAsia="en-GB"/>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lang w:eastAsia="en-GB"/>
    </w:rPr>
  </w:style>
  <w:style w:type="character" w:customStyle="1" w:styleId="ListBullet2Char">
    <w:name w:val="List Bullet 2 Char"/>
    <w:link w:val="ListBullet2"/>
    <w:rsid w:val="00313E9E"/>
    <w:rPr>
      <w:rFonts w:ascii="Arial" w:eastAsia="Times New Roman" w:hAnsi="Arial"/>
      <w:szCs w:val="24"/>
      <w:lang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lang w:eastAsia="en-GB"/>
    </w:rPr>
  </w:style>
  <w:style w:type="character" w:customStyle="1" w:styleId="Heading5Char">
    <w:name w:val="Heading 5 Char"/>
    <w:link w:val="Heading5"/>
    <w:rsid w:val="00313E9E"/>
    <w:rPr>
      <w:rFonts w:ascii="Calibri" w:eastAsia="MS Gothic" w:hAnsi="Calibri"/>
      <w:color w:val="244061"/>
      <w:szCs w:val="24"/>
      <w:lang w:eastAsia="en-GB"/>
    </w:rPr>
  </w:style>
  <w:style w:type="character" w:customStyle="1" w:styleId="Heading6Char">
    <w:name w:val="Heading 6 Char"/>
    <w:link w:val="Heading6"/>
    <w:rsid w:val="00313E9E"/>
    <w:rPr>
      <w:rFonts w:ascii="Calibri" w:eastAsia="MS Gothic" w:hAnsi="Calibri"/>
      <w:i/>
      <w:iCs/>
      <w:color w:val="244061"/>
      <w:szCs w:val="24"/>
      <w:lang w:eastAsia="en-GB"/>
    </w:rPr>
  </w:style>
  <w:style w:type="character" w:customStyle="1" w:styleId="Heading7Char">
    <w:name w:val="Heading 7 Char"/>
    <w:link w:val="Heading7"/>
    <w:rsid w:val="00313E9E"/>
    <w:rPr>
      <w:rFonts w:ascii="Calibri" w:eastAsia="MS Gothic" w:hAnsi="Calibri"/>
      <w:i/>
      <w:iCs/>
      <w:color w:val="404040"/>
      <w:szCs w:val="24"/>
      <w:lang w:eastAsia="en-GB"/>
    </w:rPr>
  </w:style>
  <w:style w:type="character" w:customStyle="1" w:styleId="Heading9Char">
    <w:name w:val="Heading 9 Char"/>
    <w:link w:val="Heading9"/>
    <w:rsid w:val="00313E9E"/>
    <w:rPr>
      <w:rFonts w:ascii="Calibri" w:eastAsia="MS Gothic" w:hAnsi="Calibri"/>
      <w:i/>
      <w:iCs/>
      <w:color w:val="363636"/>
      <w:lang w:eastAsia="en-GB"/>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lang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lang w:eastAsia="en-GB"/>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CA3630"/>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CA3630"/>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character" w:styleId="UnresolvedMention">
    <w:name w:val="Unresolved Mention"/>
    <w:uiPriority w:val="47"/>
    <w:rsid w:val="003F73D8"/>
    <w:rPr>
      <w:color w:val="605E5C"/>
      <w:shd w:val="clear" w:color="auto" w:fill="E1DFDD"/>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styleId="ListParagraph">
    <w:name w:val="List Paragraph"/>
    <w:basedOn w:val="Normal"/>
    <w:uiPriority w:val="34"/>
    <w:qFormat/>
    <w:rsid w:val="00BC6F59"/>
    <w:pPr>
      <w:spacing w:before="0" w:after="0" w:line="240" w:lineRule="auto"/>
      <w:ind w:left="720"/>
      <w:contextualSpacing/>
    </w:pPr>
    <w:rPr>
      <w:rFonts w:ascii="Times New Roman" w:hAnsi="Times New Roman"/>
      <w:sz w:val="24"/>
    </w:rPr>
  </w:style>
  <w:style w:type="paragraph" w:styleId="FootnoteText">
    <w:name w:val="footnote text"/>
    <w:basedOn w:val="Normal"/>
    <w:link w:val="FootnoteTextChar"/>
    <w:rsid w:val="00A36E4F"/>
    <w:rPr>
      <w:szCs w:val="20"/>
    </w:rPr>
  </w:style>
  <w:style w:type="character" w:customStyle="1" w:styleId="FootnoteTextChar">
    <w:name w:val="Footnote Text Char"/>
    <w:link w:val="FootnoteText"/>
    <w:rsid w:val="00A36E4F"/>
    <w:rPr>
      <w:rFonts w:ascii="Arial" w:eastAsia="Times New Roman" w:hAnsi="Arial"/>
    </w:rPr>
  </w:style>
  <w:style w:type="character" w:styleId="FootnoteReference">
    <w:name w:val="footnote reference"/>
    <w:rsid w:val="00A36E4F"/>
    <w:rPr>
      <w:vertAlign w:val="superscript"/>
    </w:rPr>
  </w:style>
  <w:style w:type="paragraph" w:styleId="Revision">
    <w:name w:val="Revision"/>
    <w:hidden/>
    <w:rsid w:val="00BD38EB"/>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65865223">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987781941">
      <w:bodyDiv w:val="1"/>
      <w:marLeft w:val="0"/>
      <w:marRight w:val="0"/>
      <w:marTop w:val="0"/>
      <w:marBottom w:val="0"/>
      <w:divBdr>
        <w:top w:val="none" w:sz="0" w:space="0" w:color="auto"/>
        <w:left w:val="none" w:sz="0" w:space="0" w:color="auto"/>
        <w:bottom w:val="none" w:sz="0" w:space="0" w:color="auto"/>
        <w:right w:val="none" w:sz="0" w:space="0" w:color="auto"/>
      </w:divBdr>
    </w:div>
    <w:div w:id="1353652464">
      <w:bodyDiv w:val="1"/>
      <w:marLeft w:val="0"/>
      <w:marRight w:val="0"/>
      <w:marTop w:val="0"/>
      <w:marBottom w:val="0"/>
      <w:divBdr>
        <w:top w:val="none" w:sz="0" w:space="0" w:color="auto"/>
        <w:left w:val="none" w:sz="0" w:space="0" w:color="auto"/>
        <w:bottom w:val="none" w:sz="0" w:space="0" w:color="auto"/>
        <w:right w:val="none" w:sz="0" w:space="0" w:color="auto"/>
      </w:divBdr>
      <w:divsChild>
        <w:div w:id="408310299">
          <w:marLeft w:val="274"/>
          <w:marRight w:val="0"/>
          <w:marTop w:val="0"/>
          <w:marBottom w:val="0"/>
          <w:divBdr>
            <w:top w:val="none" w:sz="0" w:space="0" w:color="auto"/>
            <w:left w:val="none" w:sz="0" w:space="0" w:color="auto"/>
            <w:bottom w:val="none" w:sz="0" w:space="0" w:color="auto"/>
            <w:right w:val="none" w:sz="0" w:space="0" w:color="auto"/>
          </w:divBdr>
        </w:div>
        <w:div w:id="435100709">
          <w:marLeft w:val="274"/>
          <w:marRight w:val="0"/>
          <w:marTop w:val="0"/>
          <w:marBottom w:val="0"/>
          <w:divBdr>
            <w:top w:val="none" w:sz="0" w:space="0" w:color="auto"/>
            <w:left w:val="none" w:sz="0" w:space="0" w:color="auto"/>
            <w:bottom w:val="none" w:sz="0" w:space="0" w:color="auto"/>
            <w:right w:val="none" w:sz="0" w:space="0" w:color="auto"/>
          </w:divBdr>
        </w:div>
        <w:div w:id="479151553">
          <w:marLeft w:val="274"/>
          <w:marRight w:val="0"/>
          <w:marTop w:val="0"/>
          <w:marBottom w:val="0"/>
          <w:divBdr>
            <w:top w:val="none" w:sz="0" w:space="0" w:color="auto"/>
            <w:left w:val="none" w:sz="0" w:space="0" w:color="auto"/>
            <w:bottom w:val="none" w:sz="0" w:space="0" w:color="auto"/>
            <w:right w:val="none" w:sz="0" w:space="0" w:color="auto"/>
          </w:divBdr>
        </w:div>
        <w:div w:id="1634751596">
          <w:marLeft w:val="274"/>
          <w:marRight w:val="0"/>
          <w:marTop w:val="0"/>
          <w:marBottom w:val="0"/>
          <w:divBdr>
            <w:top w:val="none" w:sz="0" w:space="0" w:color="auto"/>
            <w:left w:val="none" w:sz="0" w:space="0" w:color="auto"/>
            <w:bottom w:val="none" w:sz="0" w:space="0" w:color="auto"/>
            <w:right w:val="none" w:sz="0" w:space="0" w:color="auto"/>
          </w:divBdr>
        </w:div>
        <w:div w:id="1751148366">
          <w:marLeft w:val="274"/>
          <w:marRight w:val="0"/>
          <w:marTop w:val="0"/>
          <w:marBottom w:val="0"/>
          <w:divBdr>
            <w:top w:val="none" w:sz="0" w:space="0" w:color="auto"/>
            <w:left w:val="none" w:sz="0" w:space="0" w:color="auto"/>
            <w:bottom w:val="none" w:sz="0" w:space="0" w:color="auto"/>
            <w:right w:val="none" w:sz="0" w:space="0" w:color="auto"/>
          </w:divBdr>
        </w:div>
        <w:div w:id="2071536121">
          <w:marLeft w:val="274"/>
          <w:marRight w:val="0"/>
          <w:marTop w:val="0"/>
          <w:marBottom w:val="0"/>
          <w:divBdr>
            <w:top w:val="none" w:sz="0" w:space="0" w:color="auto"/>
            <w:left w:val="none" w:sz="0" w:space="0" w:color="auto"/>
            <w:bottom w:val="none" w:sz="0" w:space="0" w:color="auto"/>
            <w:right w:val="none" w:sz="0" w:space="0" w:color="auto"/>
          </w:divBdr>
        </w:div>
      </w:divsChild>
    </w:div>
    <w:div w:id="1865710674">
      <w:bodyDiv w:val="1"/>
      <w:marLeft w:val="0"/>
      <w:marRight w:val="0"/>
      <w:marTop w:val="0"/>
      <w:marBottom w:val="0"/>
      <w:divBdr>
        <w:top w:val="none" w:sz="0" w:space="0" w:color="auto"/>
        <w:left w:val="none" w:sz="0" w:space="0" w:color="auto"/>
        <w:bottom w:val="none" w:sz="0" w:space="0" w:color="auto"/>
        <w:right w:val="none" w:sz="0" w:space="0" w:color="auto"/>
      </w:divBdr>
      <w:divsChild>
        <w:div w:id="29645665">
          <w:marLeft w:val="274"/>
          <w:marRight w:val="0"/>
          <w:marTop w:val="0"/>
          <w:marBottom w:val="0"/>
          <w:divBdr>
            <w:top w:val="none" w:sz="0" w:space="0" w:color="auto"/>
            <w:left w:val="none" w:sz="0" w:space="0" w:color="auto"/>
            <w:bottom w:val="none" w:sz="0" w:space="0" w:color="auto"/>
            <w:right w:val="none" w:sz="0" w:space="0" w:color="auto"/>
          </w:divBdr>
        </w:div>
        <w:div w:id="35744472">
          <w:marLeft w:val="274"/>
          <w:marRight w:val="0"/>
          <w:marTop w:val="0"/>
          <w:marBottom w:val="0"/>
          <w:divBdr>
            <w:top w:val="none" w:sz="0" w:space="0" w:color="auto"/>
            <w:left w:val="none" w:sz="0" w:space="0" w:color="auto"/>
            <w:bottom w:val="none" w:sz="0" w:space="0" w:color="auto"/>
            <w:right w:val="none" w:sz="0" w:space="0" w:color="auto"/>
          </w:divBdr>
        </w:div>
        <w:div w:id="570698922">
          <w:marLeft w:val="274"/>
          <w:marRight w:val="0"/>
          <w:marTop w:val="0"/>
          <w:marBottom w:val="0"/>
          <w:divBdr>
            <w:top w:val="none" w:sz="0" w:space="0" w:color="auto"/>
            <w:left w:val="none" w:sz="0" w:space="0" w:color="auto"/>
            <w:bottom w:val="none" w:sz="0" w:space="0" w:color="auto"/>
            <w:right w:val="none" w:sz="0" w:space="0" w:color="auto"/>
          </w:divBdr>
        </w:div>
        <w:div w:id="1377587051">
          <w:marLeft w:val="274"/>
          <w:marRight w:val="0"/>
          <w:marTop w:val="0"/>
          <w:marBottom w:val="0"/>
          <w:divBdr>
            <w:top w:val="none" w:sz="0" w:space="0" w:color="auto"/>
            <w:left w:val="none" w:sz="0" w:space="0" w:color="auto"/>
            <w:bottom w:val="none" w:sz="0" w:space="0" w:color="auto"/>
            <w:right w:val="none" w:sz="0" w:space="0" w:color="auto"/>
          </w:divBdr>
        </w:div>
        <w:div w:id="1564442604">
          <w:marLeft w:val="274"/>
          <w:marRight w:val="0"/>
          <w:marTop w:val="0"/>
          <w:marBottom w:val="0"/>
          <w:divBdr>
            <w:top w:val="none" w:sz="0" w:space="0" w:color="auto"/>
            <w:left w:val="none" w:sz="0" w:space="0" w:color="auto"/>
            <w:bottom w:val="none" w:sz="0" w:space="0" w:color="auto"/>
            <w:right w:val="none" w:sz="0" w:space="0" w:color="auto"/>
          </w:divBdr>
        </w:div>
        <w:div w:id="1610043446">
          <w:marLeft w:val="274"/>
          <w:marRight w:val="0"/>
          <w:marTop w:val="0"/>
          <w:marBottom w:val="0"/>
          <w:divBdr>
            <w:top w:val="none" w:sz="0" w:space="0" w:color="auto"/>
            <w:left w:val="none" w:sz="0" w:space="0" w:color="auto"/>
            <w:bottom w:val="none" w:sz="0" w:space="0" w:color="auto"/>
            <w:right w:val="none" w:sz="0" w:space="0" w:color="auto"/>
          </w:divBdr>
        </w:div>
      </w:divsChild>
    </w:div>
    <w:div w:id="19903578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jpeg"/><Relationship Id="rId26" Type="http://schemas.openxmlformats.org/officeDocument/2006/relationships/hyperlink" Target="http://www.gasgovernance.co.uk/sites/default/files/Legal%20Text%20Guidance%20Document%20Revision%20v2.0.pdf" TargetMode="External"/><Relationship Id="rId3" Type="http://schemas.openxmlformats.org/officeDocument/2006/relationships/customXml" Target="../customXml/item3.xml"/><Relationship Id="rId21" Type="http://schemas.openxmlformats.org/officeDocument/2006/relationships/hyperlink" Target="mailto:ihughes@vpi-i.co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emf"/><Relationship Id="rId25" Type="http://schemas.openxmlformats.org/officeDocument/2006/relationships/hyperlink" Target="https://www.nationalgrid.com/uk/gas-transmission/uk/electricity-transmission/document/135876/download" TargetMode="External"/><Relationship Id="rId2" Type="http://schemas.openxmlformats.org/officeDocument/2006/relationships/customXml" Target="../customXml/item2.xml"/><Relationship Id="rId16" Type="http://schemas.openxmlformats.org/officeDocument/2006/relationships/hyperlink" Target="mailto:enquiries@gasgovernance.co.uk"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asgovernance.co.uk/sites/default/files/ggf/page/2020-12/4%20TPD%20Section%20B%20-%20System%20Use%20%26%20Capacity_0.pdf" TargetMode="External"/><Relationship Id="rId5" Type="http://schemas.openxmlformats.org/officeDocument/2006/relationships/customXml" Target="../customXml/item5.xml"/><Relationship Id="rId15" Type="http://schemas.openxmlformats.org/officeDocument/2006/relationships/hyperlink" Target="mailto:enquiries@gasgovernance.co.uk" TargetMode="External"/><Relationship Id="rId23" Type="http://schemas.openxmlformats.org/officeDocument/2006/relationships/hyperlink" Target="mailto:nick@waterswye.co.uk"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mailto:enquiries@gasgovernance.co.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commercial.enquiries@xoserve.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ationalgrid.com/uk/gas-transmission/uk/electricity-transmission/document/135876/download" TargetMode="External"/><Relationship Id="rId1" Type="http://schemas.openxmlformats.org/officeDocument/2006/relationships/hyperlink" Target="https://www.gasgovernance.co.uk/06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2" ma:contentTypeDescription="Create a new document." ma:contentTypeScope="" ma:versionID="b000c2fcafc5bbf3c949d1948fb1d4f2">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4ae753b67a08d4a3f901ce7fe17d642d"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_Flow_SignoffStatus xmlns="ca249c35-2c41-4717-8384-495d9b737fa7" xsi:nil="true"/>
  </documentManagement>
</p:properties>
</file>

<file path=customXml/itemProps1.xml><?xml version="1.0" encoding="utf-8"?>
<ds:datastoreItem xmlns:ds="http://schemas.openxmlformats.org/officeDocument/2006/customXml" ds:itemID="{866E872A-3C9E-4F1F-B03A-0EC5C4075302}">
  <ds:schemaRefs>
    <ds:schemaRef ds:uri="http://schemas.microsoft.com/sharepoint/v3/contenttype/forms"/>
  </ds:schemaRefs>
</ds:datastoreItem>
</file>

<file path=customXml/itemProps2.xml><?xml version="1.0" encoding="utf-8"?>
<ds:datastoreItem xmlns:ds="http://schemas.openxmlformats.org/officeDocument/2006/customXml" ds:itemID="{3B0B6268-B06E-44EB-AA9E-0BA774A7BE3F}">
  <ds:schemaRefs>
    <ds:schemaRef ds:uri="http://schemas.microsoft.com/sharepoint/v3/contenttype/forms"/>
  </ds:schemaRefs>
</ds:datastoreItem>
</file>

<file path=customXml/itemProps3.xml><?xml version="1.0" encoding="utf-8"?>
<ds:datastoreItem xmlns:ds="http://schemas.openxmlformats.org/officeDocument/2006/customXml" ds:itemID="{016EE7DF-3D89-47C3-A455-7A95F3057E08}">
  <ds:schemaRefs>
    <ds:schemaRef ds:uri="http://schemas.microsoft.com/office/2006/metadata/longProperties"/>
  </ds:schemaRefs>
</ds:datastoreItem>
</file>

<file path=customXml/itemProps4.xml><?xml version="1.0" encoding="utf-8"?>
<ds:datastoreItem xmlns:ds="http://schemas.openxmlformats.org/officeDocument/2006/customXml" ds:itemID="{B05447BF-CACB-41C1-891A-BF8120531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9c35-2c41-4717-8384-495d9b737fa7"/>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319386-095B-42E2-918D-428C0E5A6ECE}">
  <ds:schemaRefs>
    <ds:schemaRef ds:uri="http://schemas.microsoft.com/office/2006/metadata/longProperties"/>
  </ds:schemaRefs>
</ds:datastoreItem>
</file>

<file path=customXml/itemProps6.xml><?xml version="1.0" encoding="utf-8"?>
<ds:datastoreItem xmlns:ds="http://schemas.openxmlformats.org/officeDocument/2006/customXml" ds:itemID="{A3325C39-A2D2-4269-A559-ABF9B117AF9D}">
  <ds:schemaRefs>
    <ds:schemaRef ds:uri="http://schemas.openxmlformats.org/officeDocument/2006/bibliography"/>
  </ds:schemaRefs>
</ds:datastoreItem>
</file>

<file path=customXml/itemProps7.xml><?xml version="1.0" encoding="utf-8"?>
<ds:datastoreItem xmlns:ds="http://schemas.openxmlformats.org/officeDocument/2006/customXml" ds:itemID="{024262B3-85C5-401E-BAF3-DC8D6C2D38B0}">
  <ds:schemaRefs>
    <ds:schemaRef ds:uri="http://schemas.microsoft.com/office/infopath/2007/PartnerControl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3ee84ff3-1fa2-4b0e-bbc1-9d3729ac2ba9"/>
    <ds:schemaRef ds:uri="ca249c35-2c41-4717-8384-495d9b737fa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Manager/>
  <Company>Joint Office of Gas Transporters</Company>
  <LinksUpToDate>false</LinksUpToDate>
  <CharactersWithSpaces>20245</CharactersWithSpaces>
  <SharedDoc>false</SharedDoc>
  <HyperlinkBase/>
  <HLinks>
    <vt:vector size="54" baseType="variant">
      <vt:variant>
        <vt:i4>5832788</vt:i4>
      </vt:variant>
      <vt:variant>
        <vt:i4>51</vt:i4>
      </vt:variant>
      <vt:variant>
        <vt:i4>0</vt:i4>
      </vt:variant>
      <vt:variant>
        <vt:i4>5</vt:i4>
      </vt:variant>
      <vt:variant>
        <vt:lpwstr>https://www.nationalgrid.com/uk/gas-transmission/uk/electricity-transmission/document/135876/download</vt:lpwstr>
      </vt:variant>
      <vt:variant>
        <vt:lpwstr/>
      </vt:variant>
      <vt:variant>
        <vt:i4>589928</vt:i4>
      </vt:variant>
      <vt:variant>
        <vt:i4>48</vt:i4>
      </vt:variant>
      <vt:variant>
        <vt:i4>0</vt:i4>
      </vt:variant>
      <vt:variant>
        <vt:i4>5</vt:i4>
      </vt:variant>
      <vt:variant>
        <vt:lpwstr>https://www.gasgovernance.co.uk/sites/default/files/ggf/page/2020-12/4 TPD Section B - System Use %26 Capacity_0.pdf</vt:lpwstr>
      </vt:variant>
      <vt:variant>
        <vt:lpwstr/>
      </vt:variant>
      <vt:variant>
        <vt:i4>1376358</vt:i4>
      </vt:variant>
      <vt:variant>
        <vt:i4>42</vt:i4>
      </vt:variant>
      <vt:variant>
        <vt:i4>0</vt:i4>
      </vt:variant>
      <vt:variant>
        <vt:i4>5</vt:i4>
      </vt:variant>
      <vt:variant>
        <vt:lpwstr>mailto:nick@waterswye.co.uk</vt:lpwstr>
      </vt:variant>
      <vt:variant>
        <vt:lpwstr/>
      </vt:variant>
      <vt:variant>
        <vt:i4>5505063</vt:i4>
      </vt:variant>
      <vt:variant>
        <vt:i4>39</vt:i4>
      </vt:variant>
      <vt:variant>
        <vt:i4>0</vt:i4>
      </vt:variant>
      <vt:variant>
        <vt:i4>5</vt:i4>
      </vt:variant>
      <vt:variant>
        <vt:lpwstr>mailto:commercial.enquiries@xoserve.com</vt:lpwstr>
      </vt:variant>
      <vt:variant>
        <vt:lpwstr/>
      </vt:variant>
      <vt:variant>
        <vt:i4>1900668</vt:i4>
      </vt:variant>
      <vt:variant>
        <vt:i4>36</vt:i4>
      </vt:variant>
      <vt:variant>
        <vt:i4>0</vt:i4>
      </vt:variant>
      <vt:variant>
        <vt:i4>5</vt:i4>
      </vt:variant>
      <vt:variant>
        <vt:lpwstr>mailto:ihughes@vpi-i.com</vt:lpwstr>
      </vt:variant>
      <vt:variant>
        <vt:lpwstr/>
      </vt:variant>
      <vt:variant>
        <vt:i4>5767218</vt:i4>
      </vt:variant>
      <vt:variant>
        <vt:i4>33</vt:i4>
      </vt:variant>
      <vt:variant>
        <vt:i4>0</vt:i4>
      </vt:variant>
      <vt:variant>
        <vt:i4>5</vt:i4>
      </vt:variant>
      <vt:variant>
        <vt:lpwstr>mailto:enquiries@gasgovernance.co.uk</vt:lpwstr>
      </vt:variant>
      <vt:variant>
        <vt:lpwstr/>
      </vt:variant>
      <vt:variant>
        <vt:i4>5832788</vt:i4>
      </vt:variant>
      <vt:variant>
        <vt:i4>3</vt:i4>
      </vt:variant>
      <vt:variant>
        <vt:i4>0</vt:i4>
      </vt:variant>
      <vt:variant>
        <vt:i4>5</vt:i4>
      </vt:variant>
      <vt:variant>
        <vt:lpwstr>https://www.nationalgrid.com/uk/gas-transmission/uk/electricity-transmission/document/135876/download</vt:lpwstr>
      </vt:variant>
      <vt:variant>
        <vt:lpwstr/>
      </vt:variant>
      <vt:variant>
        <vt:i4>6094874</vt:i4>
      </vt:variant>
      <vt:variant>
        <vt:i4>0</vt:i4>
      </vt:variant>
      <vt:variant>
        <vt:i4>0</vt:i4>
      </vt:variant>
      <vt:variant>
        <vt:i4>5</vt:i4>
      </vt:variant>
      <vt:variant>
        <vt:lpwstr>https://www.gasgovernance.co.uk/0678</vt:lpwstr>
      </vt:variant>
      <vt:variant>
        <vt:lpwstr/>
      </vt:variant>
      <vt:variant>
        <vt:i4>5767218</vt:i4>
      </vt:variant>
      <vt:variant>
        <vt:i4>0</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Rebecca Hailes</cp:lastModifiedBy>
  <cp:revision>5</cp:revision>
  <cp:lastPrinted>2022-03-04T15:16:00Z</cp:lastPrinted>
  <dcterms:created xsi:type="dcterms:W3CDTF">2022-05-30T15:47:00Z</dcterms:created>
  <dcterms:modified xsi:type="dcterms:W3CDTF">2022-06-07T16:10:00Z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0x0101008A4021FE4EE17B41A5E67D1EB75DD99E</vt:lpwstr>
  </property>
  <property fmtid="{D5CDD505-2E9C-101B-9397-08002B2CF9AE}" pid="3" name="_dlc_DocIdPersistId">
    <vt:lpwstr/>
  </property>
  <property fmtid="{D5CDD505-2E9C-101B-9397-08002B2CF9AE}" pid="4" name="TaxCatchAll">
    <vt:lpwstr/>
  </property>
  <property fmtid="{D5CDD505-2E9C-101B-9397-08002B2CF9AE}" pid="5" name="Audience">
    <vt:lpwstr/>
  </property>
  <property fmtid="{D5CDD505-2E9C-101B-9397-08002B2CF9AE}" pid="6" name="Topic(s)">
    <vt:lpwstr/>
  </property>
  <property fmtid="{D5CDD505-2E9C-101B-9397-08002B2CF9AE}" pid="7" name="_dlc_DocId">
    <vt:lpwstr>R5U3RVHVNQW6-942054574-1681</vt:lpwstr>
  </property>
  <property fmtid="{D5CDD505-2E9C-101B-9397-08002B2CF9AE}" pid="8" name="_dlc_DocIdItemGuid">
    <vt:lpwstr>268d974a-96e8-4dcd-b2a0-df1c78a75c77</vt:lpwstr>
  </property>
  <property fmtid="{D5CDD505-2E9C-101B-9397-08002B2CF9AE}" pid="9" name="_dlc_DocIdUrl">
    <vt:lpwstr>https://southhookgas.sharepoint.com/sites/CommercialOpsWorkplace/_layouts/15/DocIdRedir.aspx?ID=R5U3RVHVNQW6-942054574-1681, R5U3RVHVNQW6-942054574-1681</vt:lpwstr>
  </property>
  <property fmtid="{D5CDD505-2E9C-101B-9397-08002B2CF9AE}" pid="10" name="display_urn:schemas-microsoft-com:office:office#SharedWithUsers">
    <vt:lpwstr>Kay Riley;Richard Sinclair</vt:lpwstr>
  </property>
  <property fmtid="{D5CDD505-2E9C-101B-9397-08002B2CF9AE}" pid="11" name="SharedWithUsers">
    <vt:lpwstr>24;#Kay Riley;#33;#Richard Sinclair</vt:lpwstr>
  </property>
  <property fmtid="{D5CDD505-2E9C-101B-9397-08002B2CF9AE}" pid="12" name="Year">
    <vt:lpwstr>2014</vt:lpwstr>
  </property>
  <property fmtid="{D5CDD505-2E9C-101B-9397-08002B2CF9AE}" pid="13" name="SHGAS_Doc_Status">
    <vt:lpwstr/>
  </property>
  <property fmtid="{D5CDD505-2E9C-101B-9397-08002B2CF9AE}" pid="14" name="PSCM FolderTaxHTField0">
    <vt:lpwstr/>
  </property>
  <property fmtid="{D5CDD505-2E9C-101B-9397-08002B2CF9AE}" pid="15" name="SHGAS Document Type">
    <vt:lpwstr/>
  </property>
  <property fmtid="{D5CDD505-2E9C-101B-9397-08002B2CF9AE}" pid="16" name="Correspondence">
    <vt:lpwstr/>
  </property>
  <property fmtid="{D5CDD505-2E9C-101B-9397-08002B2CF9AE}" pid="17" name="ActiveClientsID">
    <vt:lpwstr/>
  </property>
  <property fmtid="{D5CDD505-2E9C-101B-9397-08002B2CF9AE}" pid="18" name="SHGAS_ContractTaxHTField0">
    <vt:lpwstr/>
  </property>
  <property fmtid="{D5CDD505-2E9C-101B-9397-08002B2CF9AE}" pid="19" name="SHGAS_Doc_Security">
    <vt:lpwstr/>
  </property>
  <property fmtid="{D5CDD505-2E9C-101B-9397-08002B2CF9AE}" pid="20" name="Customer IDTaxHTField0">
    <vt:lpwstr/>
  </property>
  <property fmtid="{D5CDD505-2E9C-101B-9397-08002B2CF9AE}" pid="21" name="SHGAS_Contract">
    <vt:lpwstr/>
  </property>
  <property fmtid="{D5CDD505-2E9C-101B-9397-08002B2CF9AE}" pid="22" name="PSCM Folder">
    <vt:lpwstr/>
  </property>
  <property fmtid="{D5CDD505-2E9C-101B-9397-08002B2CF9AE}" pid="23" name="Customer ID">
    <vt:lpwstr/>
  </property>
</Properties>
</file>