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4CC" w:rsidRPr="00130A24" w:rsidRDefault="006554CC" w:rsidP="006554CC">
      <w:pPr>
        <w:jc w:val="center"/>
        <w:rPr>
          <w:rFonts w:ascii="Arial" w:hAnsi="Arial" w:cs="Arial"/>
          <w:b/>
          <w:sz w:val="32"/>
          <w:szCs w:val="20"/>
        </w:rPr>
      </w:pPr>
      <w:r w:rsidRPr="00130A24">
        <w:rPr>
          <w:rFonts w:ascii="Arial" w:hAnsi="Arial" w:cs="Arial"/>
          <w:b/>
          <w:sz w:val="32"/>
          <w:szCs w:val="20"/>
        </w:rPr>
        <w:t>Disclosure Request Report</w:t>
      </w:r>
    </w:p>
    <w:p w:rsidR="00FB5B6D" w:rsidRPr="00CF7C18" w:rsidRDefault="00287C7F" w:rsidP="006554CC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Extending </w:t>
      </w:r>
      <w:r w:rsidR="00406290">
        <w:rPr>
          <w:rFonts w:ascii="Arial" w:hAnsi="Arial" w:cs="Arial"/>
          <w:b/>
          <w:sz w:val="24"/>
          <w:szCs w:val="20"/>
        </w:rPr>
        <w:t>additional data items to Suppliers &amp; Shippers</w:t>
      </w:r>
      <w:r>
        <w:rPr>
          <w:rFonts w:ascii="Arial" w:hAnsi="Arial" w:cs="Arial"/>
          <w:b/>
          <w:sz w:val="24"/>
          <w:szCs w:val="20"/>
        </w:rPr>
        <w:t xml:space="preserve"> via API</w:t>
      </w:r>
    </w:p>
    <w:p w:rsidR="006554CC" w:rsidRPr="001656CF" w:rsidRDefault="006554CC" w:rsidP="006554CC">
      <w:pPr>
        <w:rPr>
          <w:rFonts w:ascii="Arial" w:hAnsi="Arial" w:cs="Arial"/>
          <w:sz w:val="6"/>
          <w:szCs w:val="20"/>
        </w:rPr>
      </w:pPr>
    </w:p>
    <w:tbl>
      <w:tblPr>
        <w:tblStyle w:val="TableGrid"/>
        <w:tblW w:w="8035" w:type="dxa"/>
        <w:tblInd w:w="720" w:type="dxa"/>
        <w:tblLook w:val="04A0" w:firstRow="1" w:lastRow="0" w:firstColumn="1" w:lastColumn="0" w:noHBand="0" w:noVBand="1"/>
      </w:tblPr>
      <w:tblGrid>
        <w:gridCol w:w="1940"/>
        <w:gridCol w:w="6095"/>
      </w:tblGrid>
      <w:tr w:rsidR="006554CC" w:rsidRPr="00E37EF7" w:rsidTr="00AC1DC8">
        <w:tc>
          <w:tcPr>
            <w:tcW w:w="1940" w:type="dxa"/>
            <w:shd w:val="clear" w:color="auto" w:fill="95B3D7" w:themeFill="accent1" w:themeFillTint="99"/>
            <w:vAlign w:val="center"/>
          </w:tcPr>
          <w:p w:rsidR="006554CC" w:rsidRPr="00E37EF7" w:rsidRDefault="006554CC" w:rsidP="006554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7EF7">
              <w:rPr>
                <w:rFonts w:ascii="Arial" w:hAnsi="Arial" w:cs="Arial"/>
                <w:b/>
                <w:sz w:val="20"/>
                <w:szCs w:val="20"/>
              </w:rPr>
              <w:t>Prepared by:</w:t>
            </w:r>
          </w:p>
        </w:tc>
        <w:tc>
          <w:tcPr>
            <w:tcW w:w="6095" w:type="dxa"/>
            <w:vAlign w:val="center"/>
          </w:tcPr>
          <w:p w:rsidR="006554CC" w:rsidRPr="00E37EF7" w:rsidRDefault="006554CC" w:rsidP="00967F62">
            <w:pPr>
              <w:rPr>
                <w:rFonts w:ascii="Arial" w:hAnsi="Arial" w:cs="Arial"/>
                <w:sz w:val="20"/>
                <w:szCs w:val="20"/>
              </w:rPr>
            </w:pPr>
            <w:r w:rsidRPr="00E37EF7">
              <w:rPr>
                <w:rFonts w:ascii="Arial" w:hAnsi="Arial" w:cs="Arial"/>
                <w:sz w:val="20"/>
                <w:szCs w:val="20"/>
              </w:rPr>
              <w:t>Simon Harris</w:t>
            </w:r>
            <w:r w:rsidR="00A16634">
              <w:rPr>
                <w:rFonts w:ascii="Arial" w:hAnsi="Arial" w:cs="Arial"/>
                <w:sz w:val="20"/>
                <w:szCs w:val="20"/>
              </w:rPr>
              <w:t xml:space="preserve"> on behalf </w:t>
            </w:r>
            <w:r w:rsidR="00692E15">
              <w:rPr>
                <w:rFonts w:ascii="Arial" w:hAnsi="Arial" w:cs="Arial"/>
                <w:sz w:val="20"/>
                <w:szCs w:val="20"/>
              </w:rPr>
              <w:t>British Gas</w:t>
            </w:r>
          </w:p>
        </w:tc>
      </w:tr>
      <w:tr w:rsidR="006554CC" w:rsidRPr="00E37EF7" w:rsidTr="00AC1DC8">
        <w:tc>
          <w:tcPr>
            <w:tcW w:w="1940" w:type="dxa"/>
            <w:shd w:val="clear" w:color="auto" w:fill="95B3D7" w:themeFill="accent1" w:themeFillTint="99"/>
            <w:vAlign w:val="center"/>
          </w:tcPr>
          <w:p w:rsidR="006554CC" w:rsidRPr="00E37EF7" w:rsidRDefault="006554CC" w:rsidP="006554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7EF7">
              <w:rPr>
                <w:rFonts w:ascii="Arial" w:hAnsi="Arial" w:cs="Arial"/>
                <w:b/>
                <w:sz w:val="20"/>
                <w:szCs w:val="20"/>
              </w:rPr>
              <w:t>Submitted for:</w:t>
            </w:r>
          </w:p>
        </w:tc>
        <w:tc>
          <w:tcPr>
            <w:tcW w:w="6095" w:type="dxa"/>
            <w:vAlign w:val="center"/>
          </w:tcPr>
          <w:p w:rsidR="006554CC" w:rsidRPr="00E37EF7" w:rsidRDefault="006554CC" w:rsidP="006554CC">
            <w:pPr>
              <w:rPr>
                <w:rFonts w:ascii="Arial" w:hAnsi="Arial" w:cs="Arial"/>
                <w:sz w:val="20"/>
                <w:szCs w:val="20"/>
              </w:rPr>
            </w:pPr>
            <w:r w:rsidRPr="00E37EF7"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6554CC" w:rsidRPr="00E37EF7" w:rsidTr="00AC1DC8">
        <w:tc>
          <w:tcPr>
            <w:tcW w:w="1940" w:type="dxa"/>
            <w:shd w:val="clear" w:color="auto" w:fill="95B3D7" w:themeFill="accent1" w:themeFillTint="99"/>
            <w:vAlign w:val="center"/>
          </w:tcPr>
          <w:p w:rsidR="006554CC" w:rsidRPr="00E37EF7" w:rsidRDefault="006554CC" w:rsidP="006554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7EF7">
              <w:rPr>
                <w:rFonts w:ascii="Arial" w:hAnsi="Arial" w:cs="Arial"/>
                <w:b/>
                <w:sz w:val="20"/>
                <w:szCs w:val="20"/>
              </w:rPr>
              <w:t>Decision details:</w:t>
            </w:r>
          </w:p>
        </w:tc>
        <w:tc>
          <w:tcPr>
            <w:tcW w:w="6095" w:type="dxa"/>
            <w:vAlign w:val="center"/>
          </w:tcPr>
          <w:p w:rsidR="006554CC" w:rsidRPr="00E37EF7" w:rsidRDefault="006554CC" w:rsidP="00882BB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EF7">
              <w:rPr>
                <w:rFonts w:ascii="Arial" w:hAnsi="Arial" w:cs="Arial"/>
                <w:sz w:val="20"/>
                <w:szCs w:val="20"/>
              </w:rPr>
              <w:t>CoMC</w:t>
            </w:r>
            <w:proofErr w:type="spellEnd"/>
            <w:r w:rsidRPr="00E37EF7">
              <w:rPr>
                <w:rFonts w:ascii="Arial" w:hAnsi="Arial" w:cs="Arial"/>
                <w:sz w:val="20"/>
                <w:szCs w:val="20"/>
              </w:rPr>
              <w:t xml:space="preserve"> is requested </w:t>
            </w:r>
            <w:r w:rsidR="00287C7F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E37EF7">
              <w:rPr>
                <w:rFonts w:ascii="Arial" w:hAnsi="Arial" w:cs="Arial"/>
                <w:sz w:val="20"/>
                <w:szCs w:val="20"/>
              </w:rPr>
              <w:t xml:space="preserve">approve this request to </w:t>
            </w:r>
            <w:r w:rsidR="00927680">
              <w:rPr>
                <w:rFonts w:ascii="Arial" w:hAnsi="Arial" w:cs="Arial"/>
                <w:sz w:val="20"/>
                <w:szCs w:val="20"/>
              </w:rPr>
              <w:t>amended</w:t>
            </w:r>
            <w:r w:rsidR="0079479C">
              <w:rPr>
                <w:rFonts w:ascii="Arial" w:hAnsi="Arial" w:cs="Arial"/>
                <w:sz w:val="20"/>
                <w:szCs w:val="20"/>
              </w:rPr>
              <w:t xml:space="preserve"> Data Permission Matrix and </w:t>
            </w:r>
            <w:r w:rsidR="0065179C">
              <w:rPr>
                <w:rFonts w:ascii="Arial" w:hAnsi="Arial" w:cs="Arial"/>
                <w:sz w:val="20"/>
                <w:szCs w:val="20"/>
              </w:rPr>
              <w:t>add additional data items for</w:t>
            </w:r>
            <w:r w:rsidR="007947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7680">
              <w:rPr>
                <w:rFonts w:ascii="Arial" w:hAnsi="Arial" w:cs="Arial"/>
                <w:sz w:val="20"/>
                <w:szCs w:val="20"/>
              </w:rPr>
              <w:t>Supplier</w:t>
            </w:r>
            <w:r w:rsidR="00882BB9">
              <w:rPr>
                <w:rFonts w:ascii="Arial" w:hAnsi="Arial" w:cs="Arial"/>
                <w:sz w:val="20"/>
                <w:szCs w:val="20"/>
              </w:rPr>
              <w:t>s &amp; Shippers</w:t>
            </w:r>
            <w:r w:rsidR="0065179C">
              <w:rPr>
                <w:rFonts w:ascii="Arial" w:hAnsi="Arial" w:cs="Arial"/>
                <w:sz w:val="20"/>
                <w:szCs w:val="20"/>
              </w:rPr>
              <w:t xml:space="preserve"> to access</w:t>
            </w:r>
            <w:r w:rsidR="00692E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7C7F">
              <w:rPr>
                <w:rFonts w:ascii="Arial" w:hAnsi="Arial" w:cs="Arial"/>
                <w:sz w:val="20"/>
                <w:szCs w:val="20"/>
              </w:rPr>
              <w:t xml:space="preserve">via API </w:t>
            </w:r>
            <w:r w:rsidR="00692E15">
              <w:rPr>
                <w:rFonts w:ascii="Arial" w:hAnsi="Arial" w:cs="Arial"/>
                <w:sz w:val="20"/>
                <w:szCs w:val="20"/>
              </w:rPr>
              <w:t xml:space="preserve">(to </w:t>
            </w:r>
            <w:r w:rsidR="004F5F0C">
              <w:rPr>
                <w:rFonts w:ascii="Arial" w:hAnsi="Arial" w:cs="Arial"/>
                <w:sz w:val="20"/>
                <w:szCs w:val="20"/>
              </w:rPr>
              <w:t>be in line with</w:t>
            </w:r>
            <w:r w:rsidR="00692E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2BB9">
              <w:rPr>
                <w:rFonts w:ascii="Arial" w:hAnsi="Arial" w:cs="Arial"/>
                <w:sz w:val="20"/>
                <w:szCs w:val="20"/>
              </w:rPr>
              <w:t>SPA response files</w:t>
            </w:r>
            <w:r w:rsidR="00692E15">
              <w:rPr>
                <w:rFonts w:ascii="Arial" w:hAnsi="Arial" w:cs="Arial"/>
                <w:sz w:val="20"/>
                <w:szCs w:val="20"/>
              </w:rPr>
              <w:t>)</w:t>
            </w:r>
            <w:r w:rsidR="00A3616E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967F62">
              <w:rPr>
                <w:rFonts w:ascii="Arial" w:hAnsi="Arial" w:cs="Arial"/>
                <w:sz w:val="20"/>
                <w:szCs w:val="20"/>
              </w:rPr>
              <w:t xml:space="preserve"> Linked to</w:t>
            </w:r>
            <w:r w:rsidR="00A3616E">
              <w:rPr>
                <w:rFonts w:ascii="Arial" w:hAnsi="Arial" w:cs="Arial"/>
                <w:sz w:val="20"/>
                <w:szCs w:val="20"/>
              </w:rPr>
              <w:t xml:space="preserve"> XRN4877</w:t>
            </w:r>
          </w:p>
        </w:tc>
      </w:tr>
      <w:tr w:rsidR="006554CC" w:rsidRPr="00E37EF7" w:rsidTr="00AC1DC8">
        <w:tc>
          <w:tcPr>
            <w:tcW w:w="1940" w:type="dxa"/>
            <w:shd w:val="clear" w:color="auto" w:fill="95B3D7" w:themeFill="accent1" w:themeFillTint="99"/>
            <w:vAlign w:val="center"/>
          </w:tcPr>
          <w:p w:rsidR="006554CC" w:rsidRPr="00E37EF7" w:rsidRDefault="006554CC" w:rsidP="006554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7EF7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6095" w:type="dxa"/>
            <w:vAlign w:val="center"/>
          </w:tcPr>
          <w:p w:rsidR="006554CC" w:rsidRPr="00E37EF7" w:rsidRDefault="009866E5" w:rsidP="008036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967F62" w:rsidRPr="00967F6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967F62">
              <w:rPr>
                <w:rFonts w:ascii="Arial" w:hAnsi="Arial" w:cs="Arial"/>
                <w:sz w:val="20"/>
                <w:szCs w:val="20"/>
              </w:rPr>
              <w:t xml:space="preserve"> June 2019</w:t>
            </w:r>
          </w:p>
        </w:tc>
      </w:tr>
    </w:tbl>
    <w:p w:rsidR="00E37EF7" w:rsidRPr="00E37EF7" w:rsidRDefault="00E37EF7" w:rsidP="006554CC">
      <w:pPr>
        <w:rPr>
          <w:rFonts w:ascii="Arial" w:hAnsi="Arial" w:cs="Arial"/>
          <w:sz w:val="20"/>
          <w:szCs w:val="20"/>
        </w:rPr>
      </w:pPr>
    </w:p>
    <w:p w:rsidR="006554CC" w:rsidRPr="00E37EF7" w:rsidRDefault="006554CC" w:rsidP="006554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37EF7">
        <w:rPr>
          <w:rFonts w:ascii="Arial" w:hAnsi="Arial" w:cs="Arial"/>
          <w:b/>
          <w:sz w:val="20"/>
          <w:szCs w:val="20"/>
        </w:rPr>
        <w:t>Introduction and background</w:t>
      </w:r>
    </w:p>
    <w:p w:rsidR="00927680" w:rsidRDefault="00927680" w:rsidP="006554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Following on from the successful implementation of </w:t>
      </w:r>
      <w:r w:rsidRPr="00927680">
        <w:rPr>
          <w:rFonts w:ascii="Arial" w:hAnsi="Arial" w:cs="Arial"/>
          <w:sz w:val="20"/>
          <w:szCs w:val="20"/>
        </w:rPr>
        <w:t xml:space="preserve">XRN4700 </w:t>
      </w:r>
      <w:r>
        <w:rPr>
          <w:rFonts w:ascii="Arial" w:hAnsi="Arial" w:cs="Arial"/>
          <w:sz w:val="20"/>
          <w:szCs w:val="20"/>
        </w:rPr>
        <w:t>“</w:t>
      </w:r>
      <w:r w:rsidRPr="00927680">
        <w:rPr>
          <w:rFonts w:ascii="Arial" w:hAnsi="Arial" w:cs="Arial"/>
          <w:sz w:val="20"/>
          <w:szCs w:val="20"/>
        </w:rPr>
        <w:t>Provision of data to Suppliers via API</w:t>
      </w:r>
      <w:r w:rsidR="00881E29">
        <w:rPr>
          <w:rFonts w:ascii="Arial" w:hAnsi="Arial" w:cs="Arial"/>
          <w:sz w:val="20"/>
          <w:szCs w:val="20"/>
        </w:rPr>
        <w:t xml:space="preserve">”, </w:t>
      </w:r>
      <w:r>
        <w:rPr>
          <w:rFonts w:ascii="Arial" w:hAnsi="Arial" w:cs="Arial"/>
          <w:sz w:val="20"/>
          <w:szCs w:val="20"/>
        </w:rPr>
        <w:t xml:space="preserve">the </w:t>
      </w:r>
      <w:r w:rsidR="00692E15">
        <w:rPr>
          <w:rFonts w:ascii="Arial" w:hAnsi="Arial" w:cs="Arial"/>
          <w:sz w:val="20"/>
          <w:szCs w:val="20"/>
        </w:rPr>
        <w:t xml:space="preserve">Supply Point Enquiry API </w:t>
      </w:r>
      <w:r>
        <w:rPr>
          <w:rFonts w:ascii="Arial" w:hAnsi="Arial" w:cs="Arial"/>
          <w:sz w:val="20"/>
          <w:szCs w:val="20"/>
        </w:rPr>
        <w:t>service</w:t>
      </w:r>
      <w:r w:rsidR="0009106A">
        <w:rPr>
          <w:rFonts w:ascii="Arial" w:hAnsi="Arial" w:cs="Arial"/>
          <w:sz w:val="20"/>
          <w:szCs w:val="20"/>
        </w:rPr>
        <w:t xml:space="preserve"> is</w:t>
      </w:r>
      <w:r>
        <w:rPr>
          <w:rFonts w:ascii="Arial" w:hAnsi="Arial" w:cs="Arial"/>
          <w:sz w:val="20"/>
          <w:szCs w:val="20"/>
        </w:rPr>
        <w:t xml:space="preserve"> being utilised</w:t>
      </w:r>
      <w:r w:rsidR="0009106A">
        <w:rPr>
          <w:rFonts w:ascii="Arial" w:hAnsi="Arial" w:cs="Arial"/>
          <w:sz w:val="20"/>
          <w:szCs w:val="20"/>
        </w:rPr>
        <w:t xml:space="preserve"> by a number of Suppliers</w:t>
      </w:r>
      <w:r w:rsidR="00CE28B4">
        <w:rPr>
          <w:rFonts w:ascii="Arial" w:hAnsi="Arial" w:cs="Arial"/>
          <w:sz w:val="20"/>
          <w:szCs w:val="20"/>
        </w:rPr>
        <w:t>,</w:t>
      </w:r>
      <w:r w:rsidR="0009106A">
        <w:rPr>
          <w:rFonts w:ascii="Arial" w:hAnsi="Arial" w:cs="Arial"/>
          <w:sz w:val="20"/>
          <w:szCs w:val="20"/>
        </w:rPr>
        <w:t xml:space="preserve"> of which,</w:t>
      </w:r>
      <w:r>
        <w:rPr>
          <w:rFonts w:ascii="Arial" w:hAnsi="Arial" w:cs="Arial"/>
          <w:sz w:val="20"/>
          <w:szCs w:val="20"/>
        </w:rPr>
        <w:t xml:space="preserve"> </w:t>
      </w:r>
      <w:r w:rsidR="00692E15">
        <w:rPr>
          <w:rFonts w:ascii="Arial" w:hAnsi="Arial" w:cs="Arial"/>
          <w:sz w:val="20"/>
          <w:szCs w:val="20"/>
        </w:rPr>
        <w:t>British Gas</w:t>
      </w:r>
      <w:r>
        <w:rPr>
          <w:rFonts w:ascii="Arial" w:hAnsi="Arial" w:cs="Arial"/>
          <w:sz w:val="20"/>
          <w:szCs w:val="20"/>
        </w:rPr>
        <w:t xml:space="preserve"> have requested that </w:t>
      </w:r>
      <w:r w:rsidR="00684578">
        <w:rPr>
          <w:rFonts w:ascii="Arial" w:hAnsi="Arial" w:cs="Arial"/>
          <w:sz w:val="20"/>
          <w:szCs w:val="20"/>
        </w:rPr>
        <w:t xml:space="preserve">additional </w:t>
      </w:r>
      <w:r>
        <w:rPr>
          <w:rFonts w:ascii="Arial" w:hAnsi="Arial" w:cs="Arial"/>
          <w:sz w:val="20"/>
          <w:szCs w:val="20"/>
        </w:rPr>
        <w:t>data items</w:t>
      </w:r>
      <w:r w:rsidR="001A416A">
        <w:rPr>
          <w:rFonts w:ascii="Arial" w:hAnsi="Arial" w:cs="Arial"/>
          <w:sz w:val="20"/>
          <w:szCs w:val="20"/>
        </w:rPr>
        <w:t xml:space="preserve"> to be added</w:t>
      </w:r>
      <w:r w:rsidR="009866E5">
        <w:rPr>
          <w:rFonts w:ascii="Arial" w:hAnsi="Arial" w:cs="Arial"/>
          <w:sz w:val="20"/>
          <w:szCs w:val="20"/>
        </w:rPr>
        <w:t>.  A previous DR</w:t>
      </w:r>
      <w:r w:rsidR="004150BC">
        <w:rPr>
          <w:rFonts w:ascii="Arial" w:hAnsi="Arial" w:cs="Arial"/>
          <w:sz w:val="20"/>
          <w:szCs w:val="20"/>
        </w:rPr>
        <w:t xml:space="preserve">R was raised and approved at </w:t>
      </w:r>
      <w:proofErr w:type="spellStart"/>
      <w:r w:rsidR="004150BC">
        <w:rPr>
          <w:rFonts w:ascii="Arial" w:hAnsi="Arial" w:cs="Arial"/>
          <w:sz w:val="20"/>
          <w:szCs w:val="20"/>
        </w:rPr>
        <w:t>CoMC</w:t>
      </w:r>
      <w:proofErr w:type="spellEnd"/>
      <w:r w:rsidR="004150BC">
        <w:rPr>
          <w:rFonts w:ascii="Arial" w:hAnsi="Arial" w:cs="Arial"/>
          <w:sz w:val="20"/>
          <w:szCs w:val="20"/>
        </w:rPr>
        <w:t xml:space="preserve"> on the 1</w:t>
      </w:r>
      <w:r w:rsidR="004150BC" w:rsidRPr="004150BC">
        <w:rPr>
          <w:rFonts w:ascii="Arial" w:hAnsi="Arial" w:cs="Arial"/>
          <w:sz w:val="20"/>
          <w:szCs w:val="20"/>
          <w:vertAlign w:val="superscript"/>
        </w:rPr>
        <w:t>st</w:t>
      </w:r>
      <w:r w:rsidR="004150BC">
        <w:rPr>
          <w:rFonts w:ascii="Arial" w:hAnsi="Arial" w:cs="Arial"/>
          <w:sz w:val="20"/>
          <w:szCs w:val="20"/>
        </w:rPr>
        <w:t xml:space="preserve"> May 2019 to include data items to be aligned to what is already available in DES but to have access via API.  </w:t>
      </w:r>
      <w:r>
        <w:rPr>
          <w:rFonts w:ascii="Arial" w:hAnsi="Arial" w:cs="Arial"/>
          <w:sz w:val="20"/>
          <w:szCs w:val="20"/>
        </w:rPr>
        <w:t xml:space="preserve"> </w:t>
      </w:r>
      <w:r w:rsidR="009866E5">
        <w:rPr>
          <w:rFonts w:ascii="Arial" w:hAnsi="Arial" w:cs="Arial"/>
          <w:sz w:val="20"/>
          <w:szCs w:val="20"/>
        </w:rPr>
        <w:t>This DR</w:t>
      </w:r>
      <w:r w:rsidR="004150BC">
        <w:rPr>
          <w:rFonts w:ascii="Arial" w:hAnsi="Arial" w:cs="Arial"/>
          <w:sz w:val="20"/>
          <w:szCs w:val="20"/>
        </w:rPr>
        <w:t>R is the second part of the original request where we are looking to provide access to additional data items that are provided as part of SPA response files (Confirmation &amp; Nomination) via API as well as potentially allowing some data items to be viewed in Community (where they are currently Portfolio view) v</w:t>
      </w:r>
      <w:r w:rsidR="00692E15">
        <w:rPr>
          <w:rFonts w:ascii="Arial" w:hAnsi="Arial" w:cs="Arial"/>
          <w:sz w:val="20"/>
          <w:szCs w:val="20"/>
        </w:rPr>
        <w:t xml:space="preserve">ia </w:t>
      </w:r>
      <w:r w:rsidR="00CE28B4">
        <w:rPr>
          <w:rFonts w:ascii="Arial" w:hAnsi="Arial" w:cs="Arial"/>
          <w:sz w:val="20"/>
          <w:szCs w:val="20"/>
        </w:rPr>
        <w:t>API</w:t>
      </w:r>
      <w:r w:rsidR="00692E15">
        <w:rPr>
          <w:rFonts w:ascii="Arial" w:hAnsi="Arial" w:cs="Arial"/>
          <w:sz w:val="20"/>
          <w:szCs w:val="20"/>
        </w:rPr>
        <w:t xml:space="preserve"> </w:t>
      </w:r>
      <w:r w:rsidR="00CE28B4">
        <w:rPr>
          <w:rFonts w:ascii="Arial" w:hAnsi="Arial" w:cs="Arial"/>
          <w:sz w:val="20"/>
          <w:szCs w:val="20"/>
        </w:rPr>
        <w:t>to improve</w:t>
      </w:r>
      <w:r w:rsidR="001A416A">
        <w:rPr>
          <w:rFonts w:ascii="Arial" w:hAnsi="Arial" w:cs="Arial"/>
          <w:sz w:val="20"/>
          <w:szCs w:val="20"/>
        </w:rPr>
        <w:t xml:space="preserve"> Shipper &amp; Supplier</w:t>
      </w:r>
      <w:r w:rsidR="00CE28B4">
        <w:rPr>
          <w:rFonts w:ascii="Arial" w:hAnsi="Arial" w:cs="Arial"/>
          <w:sz w:val="20"/>
          <w:szCs w:val="20"/>
        </w:rPr>
        <w:t xml:space="preserve"> operational efficiencies</w:t>
      </w:r>
      <w:r w:rsidR="001A416A">
        <w:rPr>
          <w:rFonts w:ascii="Arial" w:hAnsi="Arial" w:cs="Arial"/>
          <w:sz w:val="20"/>
          <w:szCs w:val="20"/>
        </w:rPr>
        <w:t xml:space="preserve"> and allow them to effectively quote for changes in supplier.</w:t>
      </w:r>
    </w:p>
    <w:p w:rsidR="009A2891" w:rsidRDefault="009A2891" w:rsidP="006554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proposed amendments to the Data Permission Matrix are therefore:</w:t>
      </w:r>
    </w:p>
    <w:p w:rsidR="009A2891" w:rsidRDefault="0082333C" w:rsidP="009A2891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permission to provide </w:t>
      </w:r>
      <w:r w:rsidR="00CE28B4">
        <w:rPr>
          <w:rFonts w:ascii="Arial" w:hAnsi="Arial" w:cs="Arial"/>
          <w:sz w:val="20"/>
          <w:szCs w:val="20"/>
        </w:rPr>
        <w:t xml:space="preserve">additional </w:t>
      </w:r>
      <w:r w:rsidR="00692E15">
        <w:rPr>
          <w:rFonts w:ascii="Arial" w:hAnsi="Arial" w:cs="Arial"/>
          <w:sz w:val="20"/>
          <w:szCs w:val="20"/>
        </w:rPr>
        <w:t xml:space="preserve">data items </w:t>
      </w:r>
      <w:r w:rsidR="00CE28B4">
        <w:rPr>
          <w:rFonts w:ascii="Arial" w:hAnsi="Arial" w:cs="Arial"/>
          <w:sz w:val="20"/>
          <w:szCs w:val="20"/>
        </w:rPr>
        <w:t>via API services</w:t>
      </w:r>
      <w:r w:rsidR="004150BC">
        <w:rPr>
          <w:rFonts w:ascii="Arial" w:hAnsi="Arial" w:cs="Arial"/>
          <w:sz w:val="20"/>
          <w:szCs w:val="20"/>
        </w:rPr>
        <w:t xml:space="preserve"> to Supplier &amp; Shipper entities that are provided via SPA response files</w:t>
      </w:r>
    </w:p>
    <w:p w:rsidR="004150BC" w:rsidRDefault="004150BC" w:rsidP="009A2891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Amendment of data items currently available via API from Portfolio to Community view for Supplier &amp; Shipper entities where the data items are provided via SPA response files</w:t>
      </w:r>
    </w:p>
    <w:p w:rsidR="001A416A" w:rsidRDefault="001A416A" w:rsidP="009A2891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Addition of new data items to the data permissions matrix and assign appropriate user types</w:t>
      </w:r>
    </w:p>
    <w:p w:rsidR="001A416A" w:rsidRDefault="001A416A" w:rsidP="009A2891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Rectify oversight in Meter Serial Number data item for API access </w:t>
      </w:r>
    </w:p>
    <w:p w:rsidR="00CE28B4" w:rsidRDefault="00CE28B4" w:rsidP="00CE28B4">
      <w:pPr>
        <w:pStyle w:val="ListParagraph"/>
        <w:rPr>
          <w:rFonts w:ascii="Arial" w:hAnsi="Arial" w:cs="Arial"/>
          <w:sz w:val="20"/>
          <w:szCs w:val="20"/>
        </w:rPr>
      </w:pPr>
    </w:p>
    <w:p w:rsidR="00DE7769" w:rsidRDefault="00DE7769" w:rsidP="00DE7769">
      <w:pPr>
        <w:pStyle w:val="ListParagraph"/>
        <w:rPr>
          <w:rFonts w:ascii="Arial" w:hAnsi="Arial" w:cs="Arial"/>
          <w:sz w:val="20"/>
          <w:szCs w:val="20"/>
        </w:rPr>
      </w:pPr>
    </w:p>
    <w:p w:rsidR="006554CC" w:rsidRPr="00E37EF7" w:rsidRDefault="006554CC" w:rsidP="006554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37EF7">
        <w:rPr>
          <w:rFonts w:ascii="Arial" w:hAnsi="Arial" w:cs="Arial"/>
          <w:b/>
          <w:sz w:val="20"/>
          <w:szCs w:val="20"/>
        </w:rPr>
        <w:t>Data items</w:t>
      </w:r>
    </w:p>
    <w:p w:rsidR="0082333C" w:rsidRDefault="00125934" w:rsidP="006554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Supplier</w:t>
      </w:r>
      <w:r w:rsidR="006F6323">
        <w:rPr>
          <w:rFonts w:ascii="Arial" w:hAnsi="Arial" w:cs="Arial"/>
          <w:sz w:val="20"/>
          <w:szCs w:val="20"/>
        </w:rPr>
        <w:t xml:space="preserve"> &amp; Shippers</w:t>
      </w:r>
      <w:r w:rsidR="00CA1FD2">
        <w:rPr>
          <w:rFonts w:ascii="Arial" w:hAnsi="Arial" w:cs="Arial"/>
          <w:sz w:val="20"/>
          <w:szCs w:val="20"/>
        </w:rPr>
        <w:t xml:space="preserve"> already have access to data via </w:t>
      </w:r>
      <w:r>
        <w:rPr>
          <w:rFonts w:ascii="Arial" w:hAnsi="Arial" w:cs="Arial"/>
          <w:sz w:val="20"/>
          <w:szCs w:val="20"/>
        </w:rPr>
        <w:t>API</w:t>
      </w:r>
      <w:r w:rsidR="00CA1FD2">
        <w:rPr>
          <w:rFonts w:ascii="Arial" w:hAnsi="Arial" w:cs="Arial"/>
          <w:sz w:val="20"/>
          <w:szCs w:val="20"/>
        </w:rPr>
        <w:t xml:space="preserve"> both in a Community and Portfolio view</w:t>
      </w:r>
      <w:r w:rsidR="00AC5B33">
        <w:rPr>
          <w:rFonts w:ascii="Arial" w:hAnsi="Arial" w:cs="Arial"/>
          <w:sz w:val="20"/>
          <w:szCs w:val="20"/>
        </w:rPr>
        <w:t xml:space="preserve"> for </w:t>
      </w:r>
      <w:r w:rsidR="0082333C">
        <w:rPr>
          <w:rFonts w:ascii="Arial" w:hAnsi="Arial" w:cs="Arial"/>
          <w:sz w:val="20"/>
          <w:szCs w:val="20"/>
        </w:rPr>
        <w:t>a range of data items</w:t>
      </w:r>
      <w:r w:rsidR="00CA1FD2">
        <w:rPr>
          <w:rFonts w:ascii="Arial" w:hAnsi="Arial" w:cs="Arial"/>
          <w:sz w:val="20"/>
          <w:szCs w:val="20"/>
        </w:rPr>
        <w:t xml:space="preserve">.  This DRR is </w:t>
      </w:r>
      <w:r w:rsidR="0082333C">
        <w:rPr>
          <w:rFonts w:ascii="Arial" w:hAnsi="Arial" w:cs="Arial"/>
          <w:sz w:val="20"/>
          <w:szCs w:val="20"/>
        </w:rPr>
        <w:t>proposing</w:t>
      </w:r>
      <w:r w:rsidR="00CA1FD2">
        <w:rPr>
          <w:rFonts w:ascii="Arial" w:hAnsi="Arial" w:cs="Arial"/>
          <w:sz w:val="20"/>
          <w:szCs w:val="20"/>
        </w:rPr>
        <w:t xml:space="preserve"> to</w:t>
      </w:r>
      <w:r w:rsidR="0082333C">
        <w:rPr>
          <w:rFonts w:ascii="Arial" w:hAnsi="Arial" w:cs="Arial"/>
          <w:sz w:val="20"/>
          <w:szCs w:val="20"/>
        </w:rPr>
        <w:t>:</w:t>
      </w:r>
    </w:p>
    <w:p w:rsidR="0082333C" w:rsidRPr="00466BB9" w:rsidRDefault="007507FF" w:rsidP="007507FF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7507FF">
        <w:rPr>
          <w:rFonts w:ascii="Arial" w:hAnsi="Arial" w:cs="Arial"/>
          <w:sz w:val="20"/>
          <w:szCs w:val="20"/>
        </w:rPr>
        <w:t xml:space="preserve">Extend </w:t>
      </w:r>
      <w:r w:rsidR="00466BB9">
        <w:rPr>
          <w:rFonts w:ascii="Arial" w:hAnsi="Arial" w:cs="Arial"/>
          <w:sz w:val="20"/>
          <w:szCs w:val="20"/>
        </w:rPr>
        <w:t xml:space="preserve">data items to </w:t>
      </w:r>
      <w:r w:rsidRPr="007507FF">
        <w:rPr>
          <w:rFonts w:ascii="Arial" w:hAnsi="Arial" w:cs="Arial"/>
          <w:sz w:val="20"/>
          <w:szCs w:val="20"/>
        </w:rPr>
        <w:t>Supp</w:t>
      </w:r>
      <w:bookmarkStart w:id="0" w:name="_GoBack"/>
      <w:bookmarkEnd w:id="0"/>
      <w:r w:rsidRPr="007507FF">
        <w:rPr>
          <w:rFonts w:ascii="Arial" w:hAnsi="Arial" w:cs="Arial"/>
          <w:sz w:val="20"/>
          <w:szCs w:val="20"/>
        </w:rPr>
        <w:t>lier</w:t>
      </w:r>
      <w:r w:rsidR="00466BB9">
        <w:rPr>
          <w:rFonts w:ascii="Arial" w:hAnsi="Arial" w:cs="Arial"/>
          <w:sz w:val="20"/>
          <w:szCs w:val="20"/>
        </w:rPr>
        <w:t xml:space="preserve"> &amp; Shipper via </w:t>
      </w:r>
      <w:r w:rsidRPr="007507FF">
        <w:rPr>
          <w:rFonts w:ascii="Arial" w:hAnsi="Arial" w:cs="Arial"/>
          <w:sz w:val="20"/>
          <w:szCs w:val="20"/>
        </w:rPr>
        <w:t xml:space="preserve">API (community and portfolio) to include data items currently accessible to </w:t>
      </w:r>
      <w:r w:rsidR="00466BB9">
        <w:rPr>
          <w:rFonts w:ascii="Arial" w:hAnsi="Arial" w:cs="Arial"/>
          <w:sz w:val="20"/>
          <w:szCs w:val="20"/>
        </w:rPr>
        <w:t>Shippers (C</w:t>
      </w:r>
      <w:r w:rsidRPr="007507FF">
        <w:rPr>
          <w:rFonts w:ascii="Arial" w:hAnsi="Arial" w:cs="Arial"/>
          <w:sz w:val="20"/>
          <w:szCs w:val="20"/>
        </w:rPr>
        <w:t>ommunity</w:t>
      </w:r>
      <w:r w:rsidR="00466BB9">
        <w:rPr>
          <w:rFonts w:ascii="Arial" w:hAnsi="Arial" w:cs="Arial"/>
          <w:sz w:val="20"/>
          <w:szCs w:val="20"/>
        </w:rPr>
        <w:t>)</w:t>
      </w:r>
      <w:r w:rsidRPr="007507FF">
        <w:rPr>
          <w:rFonts w:ascii="Arial" w:hAnsi="Arial" w:cs="Arial"/>
          <w:sz w:val="20"/>
          <w:szCs w:val="20"/>
        </w:rPr>
        <w:t xml:space="preserve"> via </w:t>
      </w:r>
      <w:r w:rsidR="00466BB9">
        <w:rPr>
          <w:rFonts w:ascii="Arial" w:hAnsi="Arial" w:cs="Arial"/>
          <w:sz w:val="20"/>
          <w:szCs w:val="20"/>
        </w:rPr>
        <w:t>SPA response files</w:t>
      </w:r>
      <w:r w:rsidRPr="007507FF">
        <w:rPr>
          <w:rFonts w:ascii="Arial" w:hAnsi="Arial" w:cs="Arial"/>
          <w:sz w:val="20"/>
          <w:szCs w:val="20"/>
        </w:rPr>
        <w:t xml:space="preserve"> </w:t>
      </w:r>
      <w:r w:rsidR="0082333C" w:rsidRPr="0065179C">
        <w:rPr>
          <w:rFonts w:ascii="Arial" w:hAnsi="Arial" w:cs="Arial"/>
          <w:i/>
          <w:sz w:val="20"/>
          <w:szCs w:val="20"/>
        </w:rPr>
        <w:t>(</w:t>
      </w:r>
      <w:r w:rsidR="0065179C" w:rsidRPr="0065179C">
        <w:rPr>
          <w:rFonts w:ascii="Arial" w:hAnsi="Arial" w:cs="Arial"/>
          <w:i/>
          <w:sz w:val="20"/>
          <w:szCs w:val="20"/>
        </w:rPr>
        <w:t xml:space="preserve">for full permissions </w:t>
      </w:r>
      <w:r w:rsidR="0082333C" w:rsidRPr="0065179C">
        <w:rPr>
          <w:rFonts w:ascii="Arial" w:hAnsi="Arial" w:cs="Arial"/>
          <w:i/>
          <w:sz w:val="20"/>
          <w:szCs w:val="20"/>
        </w:rPr>
        <w:t xml:space="preserve">see Appendix 1) </w:t>
      </w:r>
    </w:p>
    <w:p w:rsidR="00466BB9" w:rsidRPr="00466BB9" w:rsidRDefault="00466BB9" w:rsidP="00466BB9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 </w:t>
      </w:r>
      <w:r w:rsidR="001A416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new data items to the DPM and provide these to </w:t>
      </w:r>
      <w:r w:rsidRPr="007507FF">
        <w:rPr>
          <w:rFonts w:ascii="Arial" w:hAnsi="Arial" w:cs="Arial"/>
          <w:sz w:val="20"/>
          <w:szCs w:val="20"/>
        </w:rPr>
        <w:t>Supplier</w:t>
      </w:r>
      <w:r>
        <w:rPr>
          <w:rFonts w:ascii="Arial" w:hAnsi="Arial" w:cs="Arial"/>
          <w:sz w:val="20"/>
          <w:szCs w:val="20"/>
        </w:rPr>
        <w:t xml:space="preserve"> &amp; Shipper via </w:t>
      </w:r>
      <w:r w:rsidRPr="007507FF">
        <w:rPr>
          <w:rFonts w:ascii="Arial" w:hAnsi="Arial" w:cs="Arial"/>
          <w:sz w:val="20"/>
          <w:szCs w:val="20"/>
        </w:rPr>
        <w:t>API</w:t>
      </w:r>
      <w:r>
        <w:rPr>
          <w:rFonts w:ascii="Arial" w:hAnsi="Arial" w:cs="Arial"/>
          <w:sz w:val="20"/>
          <w:szCs w:val="20"/>
        </w:rPr>
        <w:t xml:space="preserve"> aligning data currently </w:t>
      </w:r>
      <w:r w:rsidRPr="007507FF">
        <w:rPr>
          <w:rFonts w:ascii="Arial" w:hAnsi="Arial" w:cs="Arial"/>
          <w:sz w:val="20"/>
          <w:szCs w:val="20"/>
        </w:rPr>
        <w:t xml:space="preserve">accessible to </w:t>
      </w:r>
      <w:r>
        <w:rPr>
          <w:rFonts w:ascii="Arial" w:hAnsi="Arial" w:cs="Arial"/>
          <w:sz w:val="20"/>
          <w:szCs w:val="20"/>
        </w:rPr>
        <w:t>Shippers (C</w:t>
      </w:r>
      <w:r w:rsidRPr="007507FF">
        <w:rPr>
          <w:rFonts w:ascii="Arial" w:hAnsi="Arial" w:cs="Arial"/>
          <w:sz w:val="20"/>
          <w:szCs w:val="20"/>
        </w:rPr>
        <w:t>ommunity</w:t>
      </w:r>
      <w:r>
        <w:rPr>
          <w:rFonts w:ascii="Arial" w:hAnsi="Arial" w:cs="Arial"/>
          <w:sz w:val="20"/>
          <w:szCs w:val="20"/>
        </w:rPr>
        <w:t>)</w:t>
      </w:r>
      <w:r w:rsidRPr="007507FF">
        <w:rPr>
          <w:rFonts w:ascii="Arial" w:hAnsi="Arial" w:cs="Arial"/>
          <w:sz w:val="20"/>
          <w:szCs w:val="20"/>
        </w:rPr>
        <w:t xml:space="preserve"> via </w:t>
      </w:r>
      <w:r>
        <w:rPr>
          <w:rFonts w:ascii="Arial" w:hAnsi="Arial" w:cs="Arial"/>
          <w:sz w:val="20"/>
          <w:szCs w:val="20"/>
        </w:rPr>
        <w:t>SPA response files</w:t>
      </w:r>
      <w:r w:rsidRPr="007507FF">
        <w:rPr>
          <w:rFonts w:ascii="Arial" w:hAnsi="Arial" w:cs="Arial"/>
          <w:sz w:val="20"/>
          <w:szCs w:val="20"/>
        </w:rPr>
        <w:t xml:space="preserve"> </w:t>
      </w:r>
      <w:r w:rsidRPr="0065179C">
        <w:rPr>
          <w:rFonts w:ascii="Arial" w:hAnsi="Arial" w:cs="Arial"/>
          <w:i/>
          <w:sz w:val="20"/>
          <w:szCs w:val="20"/>
        </w:rPr>
        <w:t xml:space="preserve">(for full permissions see Appendix 1) </w:t>
      </w:r>
    </w:p>
    <w:p w:rsidR="00466BB9" w:rsidRDefault="00466BB9" w:rsidP="00466BB9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Extend data items already accessible by Shipper via API </w:t>
      </w:r>
      <w:r w:rsidRPr="007507FF">
        <w:rPr>
          <w:rFonts w:ascii="Arial" w:hAnsi="Arial" w:cs="Arial"/>
          <w:sz w:val="20"/>
          <w:szCs w:val="20"/>
        </w:rPr>
        <w:t>(community and portfolio)</w:t>
      </w:r>
      <w:r>
        <w:rPr>
          <w:rFonts w:ascii="Arial" w:hAnsi="Arial" w:cs="Arial"/>
          <w:sz w:val="20"/>
          <w:szCs w:val="20"/>
        </w:rPr>
        <w:t xml:space="preserve"> to Suppliers </w:t>
      </w:r>
      <w:r w:rsidRPr="0065179C">
        <w:rPr>
          <w:rFonts w:ascii="Arial" w:hAnsi="Arial" w:cs="Arial"/>
          <w:i/>
          <w:sz w:val="20"/>
          <w:szCs w:val="20"/>
        </w:rPr>
        <w:t xml:space="preserve">(for full permissions see Appendix 1) </w:t>
      </w:r>
    </w:p>
    <w:p w:rsidR="001A416A" w:rsidRDefault="001A416A" w:rsidP="00466BB9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Amend the permissions on API user types to reflect actual access rights due to oversight when adding Meter Serial Number into the DPM (as part of DRR [</w:t>
      </w:r>
      <w:r w:rsidRPr="00F05C36">
        <w:rPr>
          <w:rFonts w:ascii="Arial" w:hAnsi="Arial" w:cs="Arial"/>
          <w:sz w:val="20"/>
          <w:szCs w:val="20"/>
        </w:rPr>
        <w:t xml:space="preserve">Provision of Data via </w:t>
      </w:r>
      <w:proofErr w:type="spellStart"/>
      <w:r w:rsidRPr="00F05C36">
        <w:rPr>
          <w:rFonts w:ascii="Arial" w:hAnsi="Arial" w:cs="Arial"/>
          <w:sz w:val="20"/>
          <w:szCs w:val="20"/>
        </w:rPr>
        <w:t>Birst</w:t>
      </w:r>
      <w:proofErr w:type="spellEnd"/>
      <w:r w:rsidRPr="00F05C36">
        <w:rPr>
          <w:rFonts w:ascii="Arial" w:hAnsi="Arial" w:cs="Arial"/>
          <w:sz w:val="20"/>
          <w:szCs w:val="20"/>
        </w:rPr>
        <w:t xml:space="preserve"> (XRN4833)</w:t>
      </w:r>
      <w:r>
        <w:rPr>
          <w:rFonts w:ascii="Arial" w:hAnsi="Arial" w:cs="Arial"/>
          <w:sz w:val="20"/>
          <w:szCs w:val="20"/>
        </w:rPr>
        <w:t>]) as only DES was previously considered</w:t>
      </w:r>
    </w:p>
    <w:p w:rsidR="001A416A" w:rsidRPr="00466BB9" w:rsidRDefault="001A416A" w:rsidP="001A416A">
      <w:pPr>
        <w:pStyle w:val="ListParagrap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464" w:type="dxa"/>
        <w:jc w:val="center"/>
        <w:tblLook w:val="04A0" w:firstRow="1" w:lastRow="0" w:firstColumn="1" w:lastColumn="0" w:noHBand="0" w:noVBand="1"/>
      </w:tblPr>
      <w:tblGrid>
        <w:gridCol w:w="2346"/>
        <w:gridCol w:w="2976"/>
        <w:gridCol w:w="4142"/>
      </w:tblGrid>
      <w:tr w:rsidR="006F6323" w:rsidRPr="00406290" w:rsidTr="003E68CE">
        <w:trPr>
          <w:tblHeader/>
          <w:jc w:val="center"/>
        </w:trPr>
        <w:tc>
          <w:tcPr>
            <w:tcW w:w="2346" w:type="dxa"/>
            <w:shd w:val="clear" w:color="auto" w:fill="95B3D7" w:themeFill="accent1" w:themeFillTint="99"/>
            <w:vAlign w:val="center"/>
          </w:tcPr>
          <w:p w:rsidR="006F6323" w:rsidRPr="00406290" w:rsidRDefault="006F6323" w:rsidP="003E68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6290">
              <w:rPr>
                <w:rFonts w:ascii="Arial" w:hAnsi="Arial" w:cs="Arial"/>
                <w:b/>
                <w:sz w:val="20"/>
                <w:szCs w:val="20"/>
              </w:rPr>
              <w:lastRenderedPageBreak/>
              <w:t>API Data Item</w:t>
            </w:r>
          </w:p>
        </w:tc>
        <w:tc>
          <w:tcPr>
            <w:tcW w:w="2976" w:type="dxa"/>
            <w:shd w:val="clear" w:color="auto" w:fill="95B3D7" w:themeFill="accent1" w:themeFillTint="99"/>
            <w:vAlign w:val="center"/>
          </w:tcPr>
          <w:p w:rsidR="006F6323" w:rsidRPr="00406290" w:rsidRDefault="006F6323" w:rsidP="003E68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6290">
              <w:rPr>
                <w:rFonts w:ascii="Arial" w:hAnsi="Arial" w:cs="Arial"/>
                <w:b/>
                <w:sz w:val="20"/>
                <w:szCs w:val="20"/>
              </w:rPr>
              <w:t>DPM Data Item</w:t>
            </w:r>
          </w:p>
        </w:tc>
        <w:tc>
          <w:tcPr>
            <w:tcW w:w="4142" w:type="dxa"/>
            <w:shd w:val="clear" w:color="auto" w:fill="95B3D7" w:themeFill="accent1" w:themeFillTint="99"/>
            <w:vAlign w:val="center"/>
          </w:tcPr>
          <w:p w:rsidR="006F6323" w:rsidRPr="00406290" w:rsidRDefault="006F6323" w:rsidP="003E68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6290">
              <w:rPr>
                <w:rFonts w:ascii="Arial" w:hAnsi="Arial" w:cs="Arial"/>
                <w:b/>
                <w:sz w:val="20"/>
                <w:szCs w:val="20"/>
              </w:rPr>
              <w:t>Justification</w:t>
            </w:r>
          </w:p>
        </w:tc>
      </w:tr>
      <w:tr w:rsidR="003E68CE" w:rsidRPr="00406290" w:rsidTr="003E68CE">
        <w:trPr>
          <w:jc w:val="center"/>
        </w:trPr>
        <w:tc>
          <w:tcPr>
            <w:tcW w:w="2346" w:type="dxa"/>
            <w:vAlign w:val="center"/>
          </w:tcPr>
          <w:p w:rsidR="003E68CE" w:rsidRPr="00406290" w:rsidRDefault="003E68CE" w:rsidP="003E68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Shipper Name</w:t>
            </w:r>
          </w:p>
        </w:tc>
        <w:tc>
          <w:tcPr>
            <w:tcW w:w="2976" w:type="dxa"/>
            <w:vAlign w:val="center"/>
          </w:tcPr>
          <w:p w:rsidR="003E68CE" w:rsidRPr="00406290" w:rsidRDefault="003E68CE" w:rsidP="003E68CE">
            <w:pPr>
              <w:rPr>
                <w:rFonts w:ascii="Arial" w:hAnsi="Arial" w:cs="Arial"/>
                <w:sz w:val="20"/>
                <w:szCs w:val="20"/>
              </w:rPr>
            </w:pPr>
            <w:r w:rsidRPr="00406290">
              <w:rPr>
                <w:rFonts w:ascii="Arial" w:hAnsi="Arial" w:cs="Arial"/>
                <w:sz w:val="20"/>
                <w:szCs w:val="20"/>
              </w:rPr>
              <w:t>Current Shipper</w:t>
            </w:r>
          </w:p>
        </w:tc>
        <w:tc>
          <w:tcPr>
            <w:tcW w:w="4142" w:type="dxa"/>
            <w:vMerge w:val="restart"/>
            <w:vAlign w:val="center"/>
          </w:tcPr>
          <w:p w:rsidR="003E68CE" w:rsidRPr="00406290" w:rsidRDefault="003E68CE" w:rsidP="00466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  <w:r w:rsidR="001A416A">
              <w:rPr>
                <w:rFonts w:ascii="Arial" w:hAnsi="Arial" w:cs="Arial"/>
                <w:sz w:val="20"/>
                <w:szCs w:val="20"/>
              </w:rPr>
              <w:t>ta item needed to allow Shipper ID</w:t>
            </w:r>
            <w:r>
              <w:rPr>
                <w:rFonts w:ascii="Arial" w:hAnsi="Arial" w:cs="Arial"/>
                <w:sz w:val="20"/>
                <w:szCs w:val="20"/>
              </w:rPr>
              <w:t xml:space="preserve"> to be distinguished between Portfolio and Community, also allows Supplier users to know the current Shipper at a Supply Meter Point</w:t>
            </w:r>
          </w:p>
        </w:tc>
      </w:tr>
      <w:tr w:rsidR="003E68CE" w:rsidRPr="00406290" w:rsidTr="003E68CE">
        <w:trPr>
          <w:jc w:val="center"/>
        </w:trPr>
        <w:tc>
          <w:tcPr>
            <w:tcW w:w="2346" w:type="dxa"/>
            <w:vAlign w:val="center"/>
          </w:tcPr>
          <w:p w:rsidR="003E68CE" w:rsidRPr="00406290" w:rsidRDefault="003E68CE" w:rsidP="003E68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Shipper Short Code</w:t>
            </w:r>
          </w:p>
        </w:tc>
        <w:tc>
          <w:tcPr>
            <w:tcW w:w="2976" w:type="dxa"/>
            <w:vAlign w:val="center"/>
          </w:tcPr>
          <w:p w:rsidR="003E68CE" w:rsidRPr="00406290" w:rsidRDefault="003E68CE" w:rsidP="003E68CE">
            <w:pPr>
              <w:rPr>
                <w:rFonts w:ascii="Arial" w:hAnsi="Arial" w:cs="Arial"/>
                <w:sz w:val="20"/>
                <w:szCs w:val="20"/>
              </w:rPr>
            </w:pPr>
            <w:r w:rsidRPr="00406290">
              <w:rPr>
                <w:rFonts w:ascii="Arial" w:hAnsi="Arial" w:cs="Arial"/>
                <w:sz w:val="20"/>
                <w:szCs w:val="20"/>
              </w:rPr>
              <w:t>Current Shipper Short Code</w:t>
            </w:r>
          </w:p>
        </w:tc>
        <w:tc>
          <w:tcPr>
            <w:tcW w:w="4142" w:type="dxa"/>
            <w:vMerge/>
            <w:vAlign w:val="center"/>
          </w:tcPr>
          <w:p w:rsidR="003E68CE" w:rsidRPr="00406290" w:rsidRDefault="003E68CE" w:rsidP="003E68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BB9" w:rsidRPr="00406290" w:rsidTr="003E68CE">
        <w:trPr>
          <w:jc w:val="center"/>
        </w:trPr>
        <w:tc>
          <w:tcPr>
            <w:tcW w:w="2346" w:type="dxa"/>
            <w:vAlign w:val="center"/>
          </w:tcPr>
          <w:p w:rsidR="00406290" w:rsidRPr="00406290" w:rsidRDefault="003E68CE" w:rsidP="003E68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</w:t>
            </w:r>
          </w:p>
        </w:tc>
        <w:tc>
          <w:tcPr>
            <w:tcW w:w="2976" w:type="dxa"/>
            <w:vAlign w:val="center"/>
          </w:tcPr>
          <w:p w:rsidR="00406290" w:rsidRPr="00406290" w:rsidRDefault="00406290" w:rsidP="003E68CE">
            <w:pPr>
              <w:rPr>
                <w:rFonts w:ascii="Arial" w:hAnsi="Arial" w:cs="Arial"/>
                <w:sz w:val="20"/>
                <w:szCs w:val="20"/>
              </w:rPr>
            </w:pPr>
            <w:r w:rsidRPr="00406290">
              <w:rPr>
                <w:rFonts w:ascii="Arial" w:hAnsi="Arial" w:cs="Arial"/>
                <w:sz w:val="20"/>
                <w:szCs w:val="20"/>
              </w:rPr>
              <w:t>Supply Meter Point Class</w:t>
            </w:r>
          </w:p>
        </w:tc>
        <w:tc>
          <w:tcPr>
            <w:tcW w:w="4142" w:type="dxa"/>
            <w:vAlign w:val="center"/>
          </w:tcPr>
          <w:p w:rsidR="00406290" w:rsidRPr="00406290" w:rsidRDefault="003E68CE" w:rsidP="003E68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Current Class at the Supply Meter Point will assist </w:t>
            </w:r>
            <w:r w:rsidR="001A416A">
              <w:rPr>
                <w:rFonts w:ascii="Arial" w:hAnsi="Arial" w:cs="Arial"/>
                <w:sz w:val="20"/>
                <w:szCs w:val="20"/>
              </w:rPr>
              <w:t>in determining potential Class c</w:t>
            </w:r>
            <w:r>
              <w:rPr>
                <w:rFonts w:ascii="Arial" w:hAnsi="Arial" w:cs="Arial"/>
                <w:sz w:val="20"/>
                <w:szCs w:val="20"/>
              </w:rPr>
              <w:t>hange submissions and guidance on how the current meter read submission rules apply to the Supply Point.  Data item is also</w:t>
            </w:r>
            <w:r w:rsidR="001A416A">
              <w:rPr>
                <w:rFonts w:ascii="Arial" w:hAnsi="Arial" w:cs="Arial"/>
                <w:sz w:val="20"/>
                <w:szCs w:val="20"/>
              </w:rPr>
              <w:t xml:space="preserve"> currently</w:t>
            </w:r>
            <w:r>
              <w:rPr>
                <w:rFonts w:ascii="Arial" w:hAnsi="Arial" w:cs="Arial"/>
                <w:sz w:val="20"/>
                <w:szCs w:val="20"/>
              </w:rPr>
              <w:t xml:space="preserve"> provided to all Shipper users in Confirmation (CFR) &amp; Nomination (NMR) response SPA files</w:t>
            </w:r>
          </w:p>
        </w:tc>
      </w:tr>
      <w:tr w:rsidR="00466BB9" w:rsidRPr="00406290" w:rsidTr="003E68CE">
        <w:trPr>
          <w:jc w:val="center"/>
        </w:trPr>
        <w:tc>
          <w:tcPr>
            <w:tcW w:w="2346" w:type="dxa"/>
            <w:vAlign w:val="center"/>
          </w:tcPr>
          <w:p w:rsidR="00406290" w:rsidRPr="00406290" w:rsidRDefault="003E68CE" w:rsidP="003E68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Network Owner Effective Date</w:t>
            </w:r>
          </w:p>
        </w:tc>
        <w:tc>
          <w:tcPr>
            <w:tcW w:w="2976" w:type="dxa"/>
            <w:vAlign w:val="center"/>
          </w:tcPr>
          <w:p w:rsidR="00406290" w:rsidRPr="00406290" w:rsidRDefault="00406290" w:rsidP="003E68CE">
            <w:pPr>
              <w:rPr>
                <w:rFonts w:ascii="Arial" w:hAnsi="Arial" w:cs="Arial"/>
                <w:sz w:val="20"/>
                <w:szCs w:val="20"/>
              </w:rPr>
            </w:pPr>
            <w:r w:rsidRPr="00406290">
              <w:rPr>
                <w:rFonts w:ascii="Arial" w:hAnsi="Arial" w:cs="Arial"/>
                <w:sz w:val="20"/>
                <w:szCs w:val="20"/>
              </w:rPr>
              <w:t>Network Owner EFD</w:t>
            </w:r>
          </w:p>
        </w:tc>
        <w:tc>
          <w:tcPr>
            <w:tcW w:w="4142" w:type="dxa"/>
            <w:vAlign w:val="center"/>
          </w:tcPr>
          <w:p w:rsidR="00406290" w:rsidRPr="00406290" w:rsidRDefault="00C36CF8" w:rsidP="00C36C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item already available to Shippers in Community &amp; Portfolio view, proposing this is provided to Suppliers as well</w:t>
            </w:r>
            <w:r w:rsidR="001A416A">
              <w:rPr>
                <w:rFonts w:ascii="Arial" w:hAnsi="Arial" w:cs="Arial"/>
                <w:sz w:val="20"/>
                <w:szCs w:val="20"/>
              </w:rPr>
              <w:t xml:space="preserve"> to avoid multiple versions of what is effectively the same API</w:t>
            </w:r>
          </w:p>
        </w:tc>
      </w:tr>
      <w:tr w:rsidR="00466BB9" w:rsidRPr="00406290" w:rsidTr="003E68CE">
        <w:trPr>
          <w:jc w:val="center"/>
        </w:trPr>
        <w:tc>
          <w:tcPr>
            <w:tcW w:w="2346" w:type="dxa"/>
            <w:vAlign w:val="center"/>
          </w:tcPr>
          <w:p w:rsidR="00406290" w:rsidRPr="00406290" w:rsidRDefault="003E68CE" w:rsidP="003E68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EUC Code</w:t>
            </w:r>
          </w:p>
        </w:tc>
        <w:tc>
          <w:tcPr>
            <w:tcW w:w="2976" w:type="dxa"/>
            <w:vAlign w:val="center"/>
          </w:tcPr>
          <w:p w:rsidR="00406290" w:rsidRPr="00406290" w:rsidRDefault="00406290" w:rsidP="003E68CE">
            <w:pPr>
              <w:rPr>
                <w:rFonts w:ascii="Arial" w:hAnsi="Arial" w:cs="Arial"/>
                <w:sz w:val="20"/>
                <w:szCs w:val="20"/>
              </w:rPr>
            </w:pPr>
            <w:r w:rsidRPr="00406290">
              <w:rPr>
                <w:rFonts w:ascii="Arial" w:hAnsi="Arial" w:cs="Arial"/>
                <w:sz w:val="20"/>
                <w:szCs w:val="20"/>
              </w:rPr>
              <w:t>End User Category Code</w:t>
            </w:r>
          </w:p>
        </w:tc>
        <w:tc>
          <w:tcPr>
            <w:tcW w:w="4142" w:type="dxa"/>
            <w:vAlign w:val="center"/>
          </w:tcPr>
          <w:p w:rsidR="00406290" w:rsidRPr="00406290" w:rsidRDefault="00C36CF8" w:rsidP="003E68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Supplier &amp; Shippers currently have access to this data item in Portfolio view, proposing to extend this to Community view in line with Confirmation (CFR) &amp; Nomination (NMR) response SPA files to assist in improving operational efficiencies when using the API.</w:t>
            </w:r>
          </w:p>
        </w:tc>
      </w:tr>
      <w:tr w:rsidR="004C25A4" w:rsidRPr="00406290" w:rsidTr="003E68CE">
        <w:trPr>
          <w:jc w:val="center"/>
        </w:trPr>
        <w:tc>
          <w:tcPr>
            <w:tcW w:w="2346" w:type="dxa"/>
            <w:vAlign w:val="center"/>
          </w:tcPr>
          <w:p w:rsidR="004C25A4" w:rsidRPr="004D0761" w:rsidRDefault="004C25A4" w:rsidP="00466BB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D0761">
              <w:rPr>
                <w:rFonts w:ascii="Arial" w:hAnsi="Arial" w:cs="Arial"/>
                <w:i/>
                <w:sz w:val="20"/>
                <w:szCs w:val="20"/>
              </w:rPr>
              <w:t>IGT Transportation Charge Rate</w:t>
            </w:r>
          </w:p>
        </w:tc>
        <w:tc>
          <w:tcPr>
            <w:tcW w:w="2976" w:type="dxa"/>
            <w:vAlign w:val="center"/>
          </w:tcPr>
          <w:p w:rsidR="004C25A4" w:rsidRPr="004D0761" w:rsidRDefault="004C25A4" w:rsidP="003E68C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D0761">
              <w:rPr>
                <w:rFonts w:ascii="Arial" w:hAnsi="Arial" w:cs="Arial"/>
                <w:i/>
                <w:sz w:val="20"/>
                <w:szCs w:val="20"/>
              </w:rPr>
              <w:t>IGT Transportation Charge Rate</w:t>
            </w:r>
          </w:p>
        </w:tc>
        <w:tc>
          <w:tcPr>
            <w:tcW w:w="4142" w:type="dxa"/>
            <w:vMerge w:val="restart"/>
            <w:vAlign w:val="center"/>
          </w:tcPr>
          <w:p w:rsidR="004C25A4" w:rsidRPr="004D0761" w:rsidRDefault="004C25A4" w:rsidP="001A416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D0761">
              <w:rPr>
                <w:rFonts w:ascii="Arial" w:hAnsi="Arial" w:cs="Arial"/>
                <w:i/>
                <w:sz w:val="20"/>
                <w:szCs w:val="20"/>
              </w:rPr>
              <w:t xml:space="preserve">Access to </w:t>
            </w:r>
            <w:r w:rsidR="001A416A">
              <w:rPr>
                <w:rFonts w:ascii="Arial" w:hAnsi="Arial" w:cs="Arial"/>
                <w:i/>
                <w:sz w:val="20"/>
                <w:szCs w:val="20"/>
              </w:rPr>
              <w:t>these</w:t>
            </w:r>
            <w:r w:rsidRPr="004D0761">
              <w:rPr>
                <w:rFonts w:ascii="Arial" w:hAnsi="Arial" w:cs="Arial"/>
                <w:i/>
                <w:sz w:val="20"/>
                <w:szCs w:val="20"/>
              </w:rPr>
              <w:t xml:space="preserve"> data item</w:t>
            </w:r>
            <w:r w:rsidR="001A416A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4D0761">
              <w:rPr>
                <w:rFonts w:ascii="Arial" w:hAnsi="Arial" w:cs="Arial"/>
                <w:i/>
                <w:sz w:val="20"/>
                <w:szCs w:val="20"/>
              </w:rPr>
              <w:t xml:space="preserve"> will assist in providing more accurate quoting for Supply Points looking to switch Supplier. Data item is also</w:t>
            </w:r>
            <w:r w:rsidR="001A416A">
              <w:rPr>
                <w:rFonts w:ascii="Arial" w:hAnsi="Arial" w:cs="Arial"/>
                <w:i/>
                <w:sz w:val="20"/>
                <w:szCs w:val="20"/>
              </w:rPr>
              <w:t xml:space="preserve"> currently</w:t>
            </w:r>
            <w:r w:rsidRPr="004D0761">
              <w:rPr>
                <w:rFonts w:ascii="Arial" w:hAnsi="Arial" w:cs="Arial"/>
                <w:i/>
                <w:sz w:val="20"/>
                <w:szCs w:val="20"/>
              </w:rPr>
              <w:t xml:space="preserve"> provided to all Shipper users in Confirmation (CFR) &amp; Nomination (NMR) response SPA files.</w:t>
            </w:r>
          </w:p>
        </w:tc>
      </w:tr>
      <w:tr w:rsidR="004C25A4" w:rsidRPr="00406290" w:rsidTr="003E68CE">
        <w:trPr>
          <w:jc w:val="center"/>
        </w:trPr>
        <w:tc>
          <w:tcPr>
            <w:tcW w:w="2346" w:type="dxa"/>
            <w:vAlign w:val="center"/>
          </w:tcPr>
          <w:p w:rsidR="004C25A4" w:rsidRPr="004D0761" w:rsidRDefault="004C25A4" w:rsidP="003E68C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D0761">
              <w:rPr>
                <w:rFonts w:ascii="Arial" w:hAnsi="Arial" w:cs="Arial"/>
                <w:i/>
                <w:sz w:val="20"/>
                <w:szCs w:val="20"/>
              </w:rPr>
              <w:t>IGT Transportation Charge Rate Type</w:t>
            </w:r>
          </w:p>
        </w:tc>
        <w:tc>
          <w:tcPr>
            <w:tcW w:w="2976" w:type="dxa"/>
            <w:vAlign w:val="center"/>
          </w:tcPr>
          <w:p w:rsidR="004C25A4" w:rsidRPr="004D0761" w:rsidRDefault="004C25A4" w:rsidP="003E68C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D0761">
              <w:rPr>
                <w:rFonts w:ascii="Arial" w:hAnsi="Arial" w:cs="Arial"/>
                <w:i/>
                <w:sz w:val="20"/>
                <w:szCs w:val="20"/>
              </w:rPr>
              <w:t>IGT Transportation Charge Rate Type</w:t>
            </w:r>
          </w:p>
        </w:tc>
        <w:tc>
          <w:tcPr>
            <w:tcW w:w="4142" w:type="dxa"/>
            <w:vMerge/>
            <w:vAlign w:val="center"/>
          </w:tcPr>
          <w:p w:rsidR="004C25A4" w:rsidRDefault="004C25A4" w:rsidP="003E68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5A4" w:rsidRPr="00406290" w:rsidTr="003E68CE">
        <w:trPr>
          <w:jc w:val="center"/>
        </w:trPr>
        <w:tc>
          <w:tcPr>
            <w:tcW w:w="2346" w:type="dxa"/>
            <w:vAlign w:val="center"/>
          </w:tcPr>
          <w:p w:rsidR="004C25A4" w:rsidRPr="004D0761" w:rsidRDefault="004C25A4" w:rsidP="00466BB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D0761">
              <w:rPr>
                <w:rFonts w:ascii="Arial" w:hAnsi="Arial" w:cs="Arial"/>
                <w:i/>
                <w:sz w:val="20"/>
                <w:szCs w:val="20"/>
              </w:rPr>
              <w:t>IGT Charging Methodology</w:t>
            </w:r>
          </w:p>
        </w:tc>
        <w:tc>
          <w:tcPr>
            <w:tcW w:w="2976" w:type="dxa"/>
            <w:vAlign w:val="center"/>
          </w:tcPr>
          <w:p w:rsidR="004C25A4" w:rsidRPr="004D0761" w:rsidRDefault="004C25A4" w:rsidP="003E68C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D0761">
              <w:rPr>
                <w:rFonts w:ascii="Arial" w:hAnsi="Arial" w:cs="Arial"/>
                <w:i/>
                <w:sz w:val="20"/>
                <w:szCs w:val="20"/>
              </w:rPr>
              <w:t>IGT Charging Methodology</w:t>
            </w:r>
          </w:p>
        </w:tc>
        <w:tc>
          <w:tcPr>
            <w:tcW w:w="4142" w:type="dxa"/>
            <w:vMerge/>
            <w:vAlign w:val="center"/>
          </w:tcPr>
          <w:p w:rsidR="004C25A4" w:rsidRDefault="004C25A4" w:rsidP="003E68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5A4" w:rsidRPr="00406290" w:rsidTr="001137F1">
        <w:trPr>
          <w:trHeight w:val="434"/>
          <w:jc w:val="center"/>
        </w:trPr>
        <w:tc>
          <w:tcPr>
            <w:tcW w:w="2346" w:type="dxa"/>
            <w:vAlign w:val="center"/>
          </w:tcPr>
          <w:p w:rsidR="004C25A4" w:rsidRPr="004D0761" w:rsidRDefault="004C25A4" w:rsidP="003E68C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D0761">
              <w:rPr>
                <w:rFonts w:ascii="Arial" w:hAnsi="Arial" w:cs="Arial"/>
                <w:i/>
                <w:sz w:val="20"/>
                <w:szCs w:val="20"/>
              </w:rPr>
              <w:t>CSEP Connection Max SOQ</w:t>
            </w:r>
          </w:p>
        </w:tc>
        <w:tc>
          <w:tcPr>
            <w:tcW w:w="2976" w:type="dxa"/>
            <w:vAlign w:val="center"/>
          </w:tcPr>
          <w:p w:rsidR="004C25A4" w:rsidRPr="004D0761" w:rsidRDefault="004C25A4" w:rsidP="003E68C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D0761">
              <w:rPr>
                <w:rFonts w:ascii="Arial" w:hAnsi="Arial" w:cs="Arial"/>
                <w:i/>
                <w:sz w:val="20"/>
                <w:szCs w:val="20"/>
              </w:rPr>
              <w:t>CSEP Connection Max SOQ</w:t>
            </w:r>
          </w:p>
        </w:tc>
        <w:tc>
          <w:tcPr>
            <w:tcW w:w="4142" w:type="dxa"/>
            <w:vMerge/>
            <w:vAlign w:val="center"/>
          </w:tcPr>
          <w:p w:rsidR="004C25A4" w:rsidRDefault="004C25A4" w:rsidP="003E68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C36" w:rsidRPr="00406290" w:rsidTr="001137F1">
        <w:trPr>
          <w:trHeight w:val="434"/>
          <w:jc w:val="center"/>
        </w:trPr>
        <w:tc>
          <w:tcPr>
            <w:tcW w:w="2346" w:type="dxa"/>
            <w:vAlign w:val="center"/>
          </w:tcPr>
          <w:p w:rsidR="00F05C36" w:rsidRPr="00466BB9" w:rsidRDefault="00F05C36" w:rsidP="003E68CE">
            <w:pPr>
              <w:rPr>
                <w:rFonts w:ascii="Arial" w:hAnsi="Arial" w:cs="Arial"/>
                <w:sz w:val="20"/>
                <w:szCs w:val="20"/>
              </w:rPr>
            </w:pPr>
            <w:r w:rsidRPr="00F05C36">
              <w:rPr>
                <w:rFonts w:ascii="Arial" w:hAnsi="Arial" w:cs="Arial"/>
                <w:sz w:val="20"/>
                <w:szCs w:val="20"/>
              </w:rPr>
              <w:t>Meter Serial Number</w:t>
            </w:r>
          </w:p>
        </w:tc>
        <w:tc>
          <w:tcPr>
            <w:tcW w:w="2976" w:type="dxa"/>
            <w:vAlign w:val="center"/>
          </w:tcPr>
          <w:p w:rsidR="00F05C36" w:rsidRPr="00466BB9" w:rsidRDefault="00F05C36" w:rsidP="003E68CE">
            <w:pPr>
              <w:rPr>
                <w:rFonts w:ascii="Arial" w:hAnsi="Arial" w:cs="Arial"/>
                <w:sz w:val="20"/>
                <w:szCs w:val="20"/>
              </w:rPr>
            </w:pPr>
            <w:r w:rsidRPr="00F05C36">
              <w:rPr>
                <w:rFonts w:ascii="Arial" w:hAnsi="Arial" w:cs="Arial"/>
                <w:sz w:val="20"/>
                <w:szCs w:val="20"/>
              </w:rPr>
              <w:t>Meter Serial Number</w:t>
            </w:r>
          </w:p>
        </w:tc>
        <w:tc>
          <w:tcPr>
            <w:tcW w:w="4142" w:type="dxa"/>
            <w:vAlign w:val="center"/>
          </w:tcPr>
          <w:p w:rsidR="00F05C36" w:rsidRDefault="001A416A" w:rsidP="001A41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Rectifying</w:t>
            </w:r>
            <w:r w:rsidR="00F05C36">
              <w:rPr>
                <w:rFonts w:ascii="Arial" w:hAnsi="Arial" w:cs="Arial"/>
                <w:sz w:val="20"/>
                <w:szCs w:val="20"/>
              </w:rPr>
              <w:t xml:space="preserve"> missing permissions when adding in</w:t>
            </w:r>
            <w:r w:rsidR="00902A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5C36">
              <w:rPr>
                <w:rFonts w:ascii="Arial" w:hAnsi="Arial" w:cs="Arial"/>
                <w:sz w:val="20"/>
                <w:szCs w:val="20"/>
              </w:rPr>
              <w:t>Meter Serial Number into the DPM as part of DRR [</w:t>
            </w:r>
            <w:r w:rsidR="00F05C36" w:rsidRPr="00F05C36">
              <w:rPr>
                <w:rFonts w:ascii="Arial" w:hAnsi="Arial" w:cs="Arial"/>
                <w:sz w:val="20"/>
                <w:szCs w:val="20"/>
              </w:rPr>
              <w:t xml:space="preserve">Provision of Data via </w:t>
            </w:r>
            <w:proofErr w:type="spellStart"/>
            <w:r w:rsidR="00F05C36" w:rsidRPr="00F05C36">
              <w:rPr>
                <w:rFonts w:ascii="Arial" w:hAnsi="Arial" w:cs="Arial"/>
                <w:sz w:val="20"/>
                <w:szCs w:val="20"/>
              </w:rPr>
              <w:t>Birst</w:t>
            </w:r>
            <w:proofErr w:type="spellEnd"/>
            <w:r w:rsidR="00F05C36" w:rsidRPr="00F05C36">
              <w:rPr>
                <w:rFonts w:ascii="Arial" w:hAnsi="Arial" w:cs="Arial"/>
                <w:sz w:val="20"/>
                <w:szCs w:val="20"/>
              </w:rPr>
              <w:t xml:space="preserve"> (XRN4833)</w:t>
            </w:r>
            <w:r w:rsidR="00F05C36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 xml:space="preserve"> as DES was only updated and API access was missed so currently the DPM is not accurate to real world access.</w:t>
            </w:r>
          </w:p>
        </w:tc>
      </w:tr>
    </w:tbl>
    <w:p w:rsidR="00CE28B4" w:rsidRPr="00C0568A" w:rsidRDefault="004D0761" w:rsidP="006554CC">
      <w:pPr>
        <w:rPr>
          <w:rFonts w:ascii="Arial" w:hAnsi="Arial" w:cs="Arial"/>
          <w:i/>
          <w:sz w:val="20"/>
          <w:szCs w:val="24"/>
        </w:rPr>
      </w:pPr>
      <w:r w:rsidRPr="00C0568A">
        <w:rPr>
          <w:rFonts w:ascii="Arial" w:hAnsi="Arial" w:cs="Arial"/>
          <w:i/>
          <w:sz w:val="20"/>
          <w:szCs w:val="24"/>
        </w:rPr>
        <w:t>Italics indicates new data item to be added to the DPM</w:t>
      </w:r>
    </w:p>
    <w:p w:rsidR="00C32ED2" w:rsidRDefault="00C32ED2" w:rsidP="006554CC">
      <w:pPr>
        <w:rPr>
          <w:rFonts w:ascii="Arial" w:hAnsi="Arial" w:cs="Arial"/>
          <w:sz w:val="20"/>
          <w:szCs w:val="20"/>
        </w:rPr>
      </w:pPr>
    </w:p>
    <w:p w:rsidR="006554CC" w:rsidRPr="00E37EF7" w:rsidRDefault="006554CC" w:rsidP="006554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37EF7">
        <w:rPr>
          <w:rFonts w:ascii="Arial" w:hAnsi="Arial" w:cs="Arial"/>
          <w:b/>
          <w:sz w:val="20"/>
          <w:szCs w:val="20"/>
        </w:rPr>
        <w:t>Privacy Impact Assessment</w:t>
      </w:r>
    </w:p>
    <w:p w:rsidR="001C0221" w:rsidRPr="001C0221" w:rsidRDefault="001C0221" w:rsidP="001C0221">
      <w:pPr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Where the disclosure of information includes the processing of personal data a Privacy Imp</w:t>
      </w:r>
      <w:r w:rsidR="00A01C4C">
        <w:rPr>
          <w:rFonts w:ascii="Arial" w:hAnsi="Arial" w:cs="Arial"/>
          <w:sz w:val="20"/>
          <w:szCs w:val="20"/>
        </w:rPr>
        <w:t>act Assessment may be required.</w:t>
      </w:r>
    </w:p>
    <w:p w:rsidR="001C0221" w:rsidRPr="001C0221" w:rsidRDefault="001C0221" w:rsidP="001C0221">
      <w:pPr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Xoserve has considered the various tests that may be applied and considers that none of these are met and so a Privacy Impact Assessment is not required.</w:t>
      </w:r>
    </w:p>
    <w:p w:rsidR="001C0221" w:rsidRPr="001C0221" w:rsidRDefault="001C0221" w:rsidP="001C0221">
      <w:pPr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The tests (and answers) applied in determining whether a Privacy Impact Assessment was required were:</w:t>
      </w:r>
      <w:r>
        <w:rPr>
          <w:rFonts w:ascii="Arial" w:hAnsi="Arial" w:cs="Arial"/>
          <w:sz w:val="20"/>
          <w:szCs w:val="20"/>
        </w:rPr>
        <w:t xml:space="preserve"> </w:t>
      </w:r>
    </w:p>
    <w:p w:rsidR="001C0221" w:rsidRPr="001C0221" w:rsidRDefault="001C0221" w:rsidP="001C0221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a)</w:t>
      </w:r>
      <w:r w:rsidRPr="001C0221">
        <w:rPr>
          <w:rFonts w:ascii="Arial" w:hAnsi="Arial" w:cs="Arial"/>
          <w:sz w:val="20"/>
          <w:szCs w:val="20"/>
        </w:rPr>
        <w:tab/>
        <w:t>Will the project involve the collection of new information about individuals?</w:t>
      </w:r>
    </w:p>
    <w:p w:rsidR="001C0221" w:rsidRPr="00A01C4C" w:rsidRDefault="001C0221" w:rsidP="001C0221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</w:p>
    <w:p w:rsidR="001C0221" w:rsidRPr="001C0221" w:rsidRDefault="001C0221" w:rsidP="001C0221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b)</w:t>
      </w:r>
      <w:r w:rsidRPr="001C0221">
        <w:rPr>
          <w:rFonts w:ascii="Arial" w:hAnsi="Arial" w:cs="Arial"/>
          <w:sz w:val="20"/>
          <w:szCs w:val="20"/>
        </w:rPr>
        <w:tab/>
        <w:t>Will the project compel individuals to provide information about themselves?</w:t>
      </w:r>
    </w:p>
    <w:p w:rsidR="001C0221" w:rsidRPr="00A01C4C" w:rsidRDefault="001C0221" w:rsidP="001C0221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</w:p>
    <w:p w:rsidR="001C0221" w:rsidRPr="001C0221" w:rsidRDefault="001C0221" w:rsidP="001C0221">
      <w:pPr>
        <w:spacing w:after="0"/>
        <w:ind w:left="1440" w:hanging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lastRenderedPageBreak/>
        <w:t>c)</w:t>
      </w:r>
      <w:r w:rsidRPr="001C0221">
        <w:rPr>
          <w:rFonts w:ascii="Arial" w:hAnsi="Arial" w:cs="Arial"/>
          <w:sz w:val="20"/>
          <w:szCs w:val="20"/>
        </w:rPr>
        <w:tab/>
        <w:t>Will information about individuals be disclosed to organisations or people who have not previously had routine access to the information?</w:t>
      </w:r>
    </w:p>
    <w:p w:rsidR="001C0221" w:rsidRPr="001C0221" w:rsidRDefault="001C0221" w:rsidP="001C0221">
      <w:pPr>
        <w:spacing w:after="0"/>
        <w:ind w:left="2160"/>
        <w:rPr>
          <w:rFonts w:ascii="Arial" w:hAnsi="Arial" w:cs="Arial"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  <w:r w:rsidRPr="001C0221">
        <w:rPr>
          <w:rFonts w:ascii="Arial" w:hAnsi="Arial" w:cs="Arial"/>
          <w:sz w:val="20"/>
          <w:szCs w:val="20"/>
        </w:rPr>
        <w:t xml:space="preserve">, </w:t>
      </w:r>
      <w:r w:rsidR="006F6323">
        <w:rPr>
          <w:rFonts w:ascii="Arial" w:hAnsi="Arial" w:cs="Arial"/>
          <w:sz w:val="20"/>
          <w:szCs w:val="20"/>
        </w:rPr>
        <w:t>Supplier &amp; Shippers</w:t>
      </w:r>
      <w:r w:rsidRPr="001C0221">
        <w:rPr>
          <w:rFonts w:ascii="Arial" w:hAnsi="Arial" w:cs="Arial"/>
          <w:sz w:val="20"/>
          <w:szCs w:val="20"/>
        </w:rPr>
        <w:t xml:space="preserve"> already have access to a number of supply point information services.</w:t>
      </w:r>
    </w:p>
    <w:p w:rsidR="001C0221" w:rsidRPr="001C0221" w:rsidRDefault="001C0221" w:rsidP="001C0221">
      <w:pPr>
        <w:spacing w:after="0"/>
        <w:ind w:left="1440" w:hanging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d)</w:t>
      </w:r>
      <w:r w:rsidRPr="001C0221">
        <w:rPr>
          <w:rFonts w:ascii="Arial" w:hAnsi="Arial" w:cs="Arial"/>
          <w:sz w:val="20"/>
          <w:szCs w:val="20"/>
        </w:rPr>
        <w:tab/>
        <w:t>Are you using information about individuals for a purpose it is not currently used for, or in a way it is not currently used?</w:t>
      </w:r>
    </w:p>
    <w:p w:rsidR="001C0221" w:rsidRPr="00A01C4C" w:rsidRDefault="001C0221" w:rsidP="001C0221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</w:p>
    <w:p w:rsidR="001C0221" w:rsidRPr="001C0221" w:rsidRDefault="001C0221" w:rsidP="001C0221">
      <w:pPr>
        <w:spacing w:after="0"/>
        <w:ind w:left="1440" w:hanging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e)</w:t>
      </w:r>
      <w:r w:rsidRPr="001C0221">
        <w:rPr>
          <w:rFonts w:ascii="Arial" w:hAnsi="Arial" w:cs="Arial"/>
          <w:sz w:val="20"/>
          <w:szCs w:val="20"/>
        </w:rPr>
        <w:tab/>
        <w:t>Does the project involve you using new technology that might be perceived as being privacy intrusive? For example, the use of biometrics or facial recognition.</w:t>
      </w:r>
    </w:p>
    <w:p w:rsidR="001C0221" w:rsidRPr="00A01C4C" w:rsidRDefault="001C0221" w:rsidP="001C0221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</w:p>
    <w:p w:rsidR="001C0221" w:rsidRPr="001C0221" w:rsidRDefault="001C0221" w:rsidP="001C0221">
      <w:pPr>
        <w:spacing w:after="0"/>
        <w:ind w:left="1440" w:hanging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f)</w:t>
      </w:r>
      <w:r w:rsidRPr="001C0221">
        <w:rPr>
          <w:rFonts w:ascii="Arial" w:hAnsi="Arial" w:cs="Arial"/>
          <w:sz w:val="20"/>
          <w:szCs w:val="20"/>
        </w:rPr>
        <w:tab/>
        <w:t>Will the project result in you making decisions or taking action against individuals in ways that can have a significant impact on them?</w:t>
      </w:r>
    </w:p>
    <w:p w:rsidR="001C0221" w:rsidRPr="00A01C4C" w:rsidRDefault="001C0221" w:rsidP="001C0221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</w:p>
    <w:p w:rsidR="001C0221" w:rsidRPr="001C0221" w:rsidRDefault="001C0221" w:rsidP="001C0221">
      <w:pPr>
        <w:spacing w:after="0"/>
        <w:ind w:left="1440" w:hanging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g)</w:t>
      </w:r>
      <w:r w:rsidRPr="001C0221">
        <w:rPr>
          <w:rFonts w:ascii="Arial" w:hAnsi="Arial" w:cs="Arial"/>
          <w:sz w:val="20"/>
          <w:szCs w:val="20"/>
        </w:rPr>
        <w:tab/>
        <w:t>Is the information about individuals of a kind particularly likely to raise privacy concerns or expectations? For example, health records, criminal records or other information that people would consider to be private.</w:t>
      </w:r>
    </w:p>
    <w:p w:rsidR="001C0221" w:rsidRPr="00A01C4C" w:rsidRDefault="001C0221" w:rsidP="001C0221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</w:p>
    <w:p w:rsidR="001C0221" w:rsidRPr="001C0221" w:rsidRDefault="001C0221" w:rsidP="001C0221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h)</w:t>
      </w:r>
      <w:r w:rsidRPr="001C0221">
        <w:rPr>
          <w:rFonts w:ascii="Arial" w:hAnsi="Arial" w:cs="Arial"/>
          <w:sz w:val="20"/>
          <w:szCs w:val="20"/>
        </w:rPr>
        <w:tab/>
        <w:t>Will the project require you to contact individuals in ways that they may find intrusive?</w:t>
      </w:r>
    </w:p>
    <w:p w:rsidR="001C0221" w:rsidRPr="00A01C4C" w:rsidRDefault="001C0221" w:rsidP="001C0221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</w:p>
    <w:p w:rsidR="001C0221" w:rsidRPr="001C0221" w:rsidRDefault="001C0221" w:rsidP="001C0221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i)</w:t>
      </w:r>
      <w:r w:rsidRPr="001C0221">
        <w:rPr>
          <w:rFonts w:ascii="Arial" w:hAnsi="Arial" w:cs="Arial"/>
          <w:sz w:val="20"/>
          <w:szCs w:val="20"/>
        </w:rPr>
        <w:tab/>
        <w:t>Will the disclosure of information utilise new technology for Xoserve?</w:t>
      </w:r>
    </w:p>
    <w:p w:rsidR="001C0221" w:rsidRPr="00A01C4C" w:rsidRDefault="001C0221" w:rsidP="001C0221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</w:p>
    <w:p w:rsidR="001C0221" w:rsidRPr="001C0221" w:rsidRDefault="001C0221" w:rsidP="001C0221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j)</w:t>
      </w:r>
      <w:r w:rsidRPr="001C0221">
        <w:rPr>
          <w:rFonts w:ascii="Arial" w:hAnsi="Arial" w:cs="Arial"/>
          <w:sz w:val="20"/>
          <w:szCs w:val="20"/>
        </w:rPr>
        <w:tab/>
        <w:t>Will the disclosure include information that identifies a vulnerable customer?</w:t>
      </w:r>
    </w:p>
    <w:p w:rsidR="001C0221" w:rsidRPr="00A01C4C" w:rsidRDefault="001C0221" w:rsidP="001C0221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</w:p>
    <w:p w:rsidR="001C0221" w:rsidRPr="001C0221" w:rsidRDefault="001C0221" w:rsidP="001C0221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k)</w:t>
      </w:r>
      <w:r w:rsidRPr="001C0221">
        <w:rPr>
          <w:rFonts w:ascii="Arial" w:hAnsi="Arial" w:cs="Arial"/>
          <w:sz w:val="20"/>
          <w:szCs w:val="20"/>
        </w:rPr>
        <w:tab/>
        <w:t>Will the disclosure release mass data to a party?</w:t>
      </w:r>
    </w:p>
    <w:p w:rsidR="001C0221" w:rsidRPr="00A01C4C" w:rsidRDefault="001C0221" w:rsidP="001C0221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 xml:space="preserve">No </w:t>
      </w:r>
    </w:p>
    <w:p w:rsidR="001C0221" w:rsidRPr="001C0221" w:rsidRDefault="001C0221" w:rsidP="001C0221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l)</w:t>
      </w:r>
      <w:r w:rsidRPr="001C0221">
        <w:rPr>
          <w:rFonts w:ascii="Arial" w:hAnsi="Arial" w:cs="Arial"/>
          <w:sz w:val="20"/>
          <w:szCs w:val="20"/>
        </w:rPr>
        <w:tab/>
        <w:t>Will the disclosure include information that identifie</w:t>
      </w:r>
      <w:r>
        <w:rPr>
          <w:rFonts w:ascii="Arial" w:hAnsi="Arial" w:cs="Arial"/>
          <w:sz w:val="20"/>
          <w:szCs w:val="20"/>
        </w:rPr>
        <w:t>s an occurrence of theft of gas.</w:t>
      </w:r>
    </w:p>
    <w:p w:rsidR="001C0221" w:rsidRPr="00A01C4C" w:rsidRDefault="001C0221" w:rsidP="001C0221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</w:p>
    <w:p w:rsidR="001C0221" w:rsidRPr="001C0221" w:rsidRDefault="001C0221" w:rsidP="001C0221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m)</w:t>
      </w:r>
      <w:r w:rsidRPr="001C0221">
        <w:rPr>
          <w:rFonts w:ascii="Arial" w:hAnsi="Arial" w:cs="Arial"/>
          <w:sz w:val="20"/>
          <w:szCs w:val="20"/>
        </w:rPr>
        <w:tab/>
        <w:t>Will the disclosure require a fundamental change to Xoserve business</w:t>
      </w:r>
    </w:p>
    <w:p w:rsidR="006554CC" w:rsidRPr="00A01C4C" w:rsidRDefault="001C0221" w:rsidP="001C0221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</w:p>
    <w:p w:rsidR="006554CC" w:rsidRDefault="006554CC" w:rsidP="006554CC">
      <w:pPr>
        <w:rPr>
          <w:rFonts w:ascii="Arial" w:hAnsi="Arial" w:cs="Arial"/>
          <w:sz w:val="20"/>
          <w:szCs w:val="20"/>
        </w:rPr>
      </w:pPr>
    </w:p>
    <w:p w:rsidR="006554CC" w:rsidRPr="00E37EF7" w:rsidRDefault="006554CC" w:rsidP="006554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37EF7">
        <w:rPr>
          <w:rFonts w:ascii="Arial" w:hAnsi="Arial" w:cs="Arial"/>
          <w:b/>
          <w:sz w:val="20"/>
          <w:szCs w:val="20"/>
        </w:rPr>
        <w:t>Commercial model</w:t>
      </w:r>
    </w:p>
    <w:p w:rsidR="001C0221" w:rsidRDefault="0082333C" w:rsidP="001C02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API service </w:t>
      </w:r>
      <w:r w:rsidR="002C3740">
        <w:rPr>
          <w:rFonts w:ascii="Arial" w:hAnsi="Arial" w:cs="Arial"/>
          <w:sz w:val="20"/>
          <w:szCs w:val="20"/>
        </w:rPr>
        <w:t>is present on</w:t>
      </w:r>
      <w:r>
        <w:rPr>
          <w:rFonts w:ascii="Arial" w:hAnsi="Arial" w:cs="Arial"/>
          <w:sz w:val="20"/>
          <w:szCs w:val="20"/>
        </w:rPr>
        <w:t xml:space="preserve"> the Data Services Contract, Service Description Table, </w:t>
      </w:r>
      <w:proofErr w:type="gramStart"/>
      <w:r>
        <w:rPr>
          <w:rFonts w:ascii="Arial" w:hAnsi="Arial" w:cs="Arial"/>
          <w:sz w:val="20"/>
          <w:szCs w:val="20"/>
        </w:rPr>
        <w:t>Service</w:t>
      </w:r>
      <w:proofErr w:type="gramEnd"/>
      <w:r>
        <w:rPr>
          <w:rFonts w:ascii="Arial" w:hAnsi="Arial" w:cs="Arial"/>
          <w:sz w:val="20"/>
          <w:szCs w:val="20"/>
        </w:rPr>
        <w:t xml:space="preserve"> Lines. This service </w:t>
      </w:r>
      <w:r w:rsidR="002C3740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 xml:space="preserve"> a Specific</w:t>
      </w:r>
      <w:r w:rsidR="004D31D6">
        <w:rPr>
          <w:rFonts w:ascii="Arial" w:hAnsi="Arial" w:cs="Arial"/>
          <w:sz w:val="20"/>
          <w:szCs w:val="20"/>
        </w:rPr>
        <w:t xml:space="preserve"> Service (Service Area 22) with charges set out in the Annual Charging Statement.</w:t>
      </w:r>
      <w:r w:rsidR="001659B5">
        <w:rPr>
          <w:rFonts w:ascii="Arial" w:hAnsi="Arial" w:cs="Arial"/>
          <w:sz w:val="20"/>
          <w:szCs w:val="20"/>
        </w:rPr>
        <w:t xml:space="preserve"> </w:t>
      </w:r>
    </w:p>
    <w:p w:rsidR="001659B5" w:rsidRDefault="001659B5" w:rsidP="001C02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Within the Service Line, the “</w:t>
      </w:r>
      <w:r w:rsidRPr="001659B5">
        <w:rPr>
          <w:rFonts w:ascii="Arial" w:hAnsi="Arial" w:cs="Arial"/>
          <w:sz w:val="20"/>
          <w:szCs w:val="20"/>
        </w:rPr>
        <w:t>Corresponding obligation needed for delivery (Customer Responsibilities)</w:t>
      </w:r>
      <w:r>
        <w:rPr>
          <w:rFonts w:ascii="Arial" w:hAnsi="Arial" w:cs="Arial"/>
          <w:sz w:val="20"/>
          <w:szCs w:val="20"/>
        </w:rPr>
        <w:t>” column will include words to the effect:</w:t>
      </w:r>
    </w:p>
    <w:p w:rsidR="001659B5" w:rsidRDefault="001659B5" w:rsidP="001659B5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659B5">
        <w:rPr>
          <w:rFonts w:ascii="Arial" w:hAnsi="Arial" w:cs="Arial"/>
          <w:sz w:val="20"/>
          <w:szCs w:val="20"/>
        </w:rPr>
        <w:t>Where the API call is made by a Proposing User, the Proposing User warrants that it has obtained the consumer</w:t>
      </w:r>
      <w:r>
        <w:rPr>
          <w:rFonts w:ascii="Arial" w:hAnsi="Arial" w:cs="Arial"/>
          <w:sz w:val="20"/>
          <w:szCs w:val="20"/>
        </w:rPr>
        <w:t>’</w:t>
      </w:r>
      <w:r w:rsidRPr="001659B5">
        <w:rPr>
          <w:rFonts w:ascii="Arial" w:hAnsi="Arial" w:cs="Arial"/>
          <w:sz w:val="20"/>
          <w:szCs w:val="20"/>
        </w:rPr>
        <w:t xml:space="preserve">s consent to access this data. The Proposing User also acknowledges that the CDSP may audit the Proposing Users use of the API </w:t>
      </w:r>
      <w:r w:rsidR="0009106A">
        <w:rPr>
          <w:rFonts w:ascii="Arial" w:hAnsi="Arial" w:cs="Arial"/>
          <w:sz w:val="20"/>
          <w:szCs w:val="20"/>
        </w:rPr>
        <w:t>Supplier</w:t>
      </w:r>
      <w:r w:rsidRPr="001659B5">
        <w:rPr>
          <w:rFonts w:ascii="Arial" w:hAnsi="Arial" w:cs="Arial"/>
          <w:sz w:val="20"/>
          <w:szCs w:val="20"/>
        </w:rPr>
        <w:t xml:space="preserve"> Service.</w:t>
      </w:r>
    </w:p>
    <w:p w:rsidR="00175CBE" w:rsidRDefault="00175CBE" w:rsidP="00175CBE">
      <w:pPr>
        <w:pStyle w:val="ListParagraph"/>
        <w:rPr>
          <w:rFonts w:ascii="Arial" w:hAnsi="Arial" w:cs="Arial"/>
          <w:sz w:val="20"/>
          <w:szCs w:val="20"/>
        </w:rPr>
      </w:pPr>
    </w:p>
    <w:p w:rsidR="001659B5" w:rsidRPr="001659B5" w:rsidRDefault="001659B5" w:rsidP="001659B5">
      <w:pPr>
        <w:pStyle w:val="ListParagraph"/>
        <w:rPr>
          <w:rFonts w:ascii="Arial" w:hAnsi="Arial" w:cs="Arial"/>
          <w:sz w:val="20"/>
          <w:szCs w:val="20"/>
        </w:rPr>
      </w:pPr>
    </w:p>
    <w:p w:rsidR="006554CC" w:rsidRPr="00E37EF7" w:rsidRDefault="006554CC" w:rsidP="006554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37EF7">
        <w:rPr>
          <w:rFonts w:ascii="Arial" w:hAnsi="Arial" w:cs="Arial"/>
          <w:b/>
          <w:sz w:val="20"/>
          <w:szCs w:val="20"/>
        </w:rPr>
        <w:t>Method of access to the dataset</w:t>
      </w:r>
    </w:p>
    <w:p w:rsidR="0022736C" w:rsidRPr="0022736C" w:rsidRDefault="004D31D6" w:rsidP="002273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Access to the dataset will be</w:t>
      </w:r>
      <w:r w:rsidR="00287C7F">
        <w:rPr>
          <w:rFonts w:ascii="Arial" w:hAnsi="Arial" w:cs="Arial"/>
          <w:sz w:val="20"/>
          <w:szCs w:val="20"/>
        </w:rPr>
        <w:t xml:space="preserve"> provided</w:t>
      </w:r>
      <w:r>
        <w:rPr>
          <w:rFonts w:ascii="Arial" w:hAnsi="Arial" w:cs="Arial"/>
          <w:sz w:val="20"/>
          <w:szCs w:val="20"/>
        </w:rPr>
        <w:t xml:space="preserve"> via </w:t>
      </w:r>
      <w:r w:rsidR="00287C7F">
        <w:rPr>
          <w:rFonts w:ascii="Arial" w:hAnsi="Arial" w:cs="Arial"/>
          <w:sz w:val="20"/>
          <w:szCs w:val="20"/>
        </w:rPr>
        <w:t xml:space="preserve">amendment to an existing </w:t>
      </w:r>
      <w:r>
        <w:rPr>
          <w:rFonts w:ascii="Arial" w:hAnsi="Arial" w:cs="Arial"/>
          <w:sz w:val="20"/>
          <w:szCs w:val="20"/>
        </w:rPr>
        <w:t xml:space="preserve">API. </w:t>
      </w:r>
      <w:r w:rsidR="0022736C" w:rsidRPr="0022736C">
        <w:rPr>
          <w:rFonts w:ascii="Arial" w:hAnsi="Arial" w:cs="Arial"/>
          <w:sz w:val="20"/>
          <w:szCs w:val="20"/>
        </w:rPr>
        <w:t>The API capability enables Xoserve</w:t>
      </w:r>
      <w:r w:rsidR="0022565D">
        <w:rPr>
          <w:rFonts w:ascii="Arial" w:hAnsi="Arial" w:cs="Arial"/>
          <w:sz w:val="20"/>
          <w:szCs w:val="20"/>
        </w:rPr>
        <w:t xml:space="preserve"> to</w:t>
      </w:r>
      <w:r w:rsidR="0022736C" w:rsidRPr="0022736C">
        <w:rPr>
          <w:rFonts w:ascii="Arial" w:hAnsi="Arial" w:cs="Arial"/>
          <w:sz w:val="20"/>
          <w:szCs w:val="20"/>
        </w:rPr>
        <w:t xml:space="preserve"> record each supply meter point accessed by each </w:t>
      </w:r>
      <w:r w:rsidR="00AA3616">
        <w:rPr>
          <w:rFonts w:ascii="Arial" w:hAnsi="Arial" w:cs="Arial"/>
          <w:sz w:val="20"/>
          <w:szCs w:val="20"/>
        </w:rPr>
        <w:t>API user</w:t>
      </w:r>
      <w:r w:rsidR="0022736C" w:rsidRPr="0022736C">
        <w:rPr>
          <w:rFonts w:ascii="Arial" w:hAnsi="Arial" w:cs="Arial"/>
          <w:sz w:val="20"/>
          <w:szCs w:val="20"/>
        </w:rPr>
        <w:t xml:space="preserve"> and to use this data to </w:t>
      </w:r>
      <w:r w:rsidR="00AA3616">
        <w:rPr>
          <w:rFonts w:ascii="Arial" w:hAnsi="Arial" w:cs="Arial"/>
          <w:sz w:val="20"/>
          <w:szCs w:val="20"/>
        </w:rPr>
        <w:t xml:space="preserve">undertake audits </w:t>
      </w:r>
      <w:r>
        <w:rPr>
          <w:rFonts w:ascii="Arial" w:hAnsi="Arial" w:cs="Arial"/>
          <w:sz w:val="20"/>
          <w:szCs w:val="20"/>
        </w:rPr>
        <w:t>where required to</w:t>
      </w:r>
      <w:r w:rsidR="0022736C" w:rsidRPr="00130A24">
        <w:rPr>
          <w:rFonts w:ascii="Arial" w:hAnsi="Arial" w:cs="Arial"/>
          <w:sz w:val="20"/>
          <w:szCs w:val="20"/>
        </w:rPr>
        <w:t xml:space="preserve"> demonstrate consumer consent.</w:t>
      </w:r>
    </w:p>
    <w:p w:rsidR="00CE28B4" w:rsidRDefault="0022736C" w:rsidP="0022736C">
      <w:pPr>
        <w:rPr>
          <w:rFonts w:ascii="Arial" w:hAnsi="Arial" w:cs="Arial"/>
          <w:sz w:val="20"/>
          <w:szCs w:val="20"/>
        </w:rPr>
      </w:pPr>
      <w:r w:rsidRPr="0022736C">
        <w:rPr>
          <w:rFonts w:ascii="Arial" w:hAnsi="Arial" w:cs="Arial"/>
          <w:sz w:val="20"/>
          <w:szCs w:val="20"/>
        </w:rPr>
        <w:t>For the avoidance of doubt</w:t>
      </w:r>
      <w:r w:rsidR="0009106A">
        <w:rPr>
          <w:rFonts w:ascii="Arial" w:hAnsi="Arial" w:cs="Arial"/>
          <w:sz w:val="20"/>
          <w:szCs w:val="20"/>
        </w:rPr>
        <w:t>,</w:t>
      </w:r>
      <w:r w:rsidRPr="0022736C">
        <w:rPr>
          <w:rFonts w:ascii="Arial" w:hAnsi="Arial" w:cs="Arial"/>
          <w:sz w:val="20"/>
          <w:szCs w:val="20"/>
        </w:rPr>
        <w:t xml:space="preserve"> Xoserve will not provide access to the new data items (those in section 2) available to </w:t>
      </w:r>
      <w:r w:rsidR="00287C7F">
        <w:rPr>
          <w:rFonts w:ascii="Arial" w:hAnsi="Arial" w:cs="Arial"/>
          <w:sz w:val="20"/>
          <w:szCs w:val="20"/>
        </w:rPr>
        <w:t>Suppliers</w:t>
      </w:r>
      <w:r w:rsidR="002C3740">
        <w:rPr>
          <w:rFonts w:ascii="Arial" w:hAnsi="Arial" w:cs="Arial"/>
          <w:sz w:val="20"/>
          <w:szCs w:val="20"/>
        </w:rPr>
        <w:t xml:space="preserve"> and Shippers</w:t>
      </w:r>
      <w:r w:rsidR="00AA3616">
        <w:rPr>
          <w:rFonts w:ascii="Arial" w:hAnsi="Arial" w:cs="Arial"/>
          <w:sz w:val="20"/>
          <w:szCs w:val="20"/>
        </w:rPr>
        <w:t xml:space="preserve"> </w:t>
      </w:r>
      <w:r w:rsidRPr="0022736C">
        <w:rPr>
          <w:rFonts w:ascii="Arial" w:hAnsi="Arial" w:cs="Arial"/>
          <w:sz w:val="20"/>
          <w:szCs w:val="20"/>
        </w:rPr>
        <w:t xml:space="preserve">by any other means e.g. </w:t>
      </w:r>
      <w:r w:rsidR="00287C7F">
        <w:rPr>
          <w:rFonts w:ascii="Arial" w:hAnsi="Arial" w:cs="Arial"/>
          <w:sz w:val="20"/>
          <w:szCs w:val="20"/>
        </w:rPr>
        <w:t>T</w:t>
      </w:r>
      <w:r w:rsidRPr="0022736C">
        <w:rPr>
          <w:rFonts w:ascii="Arial" w:hAnsi="Arial" w:cs="Arial"/>
          <w:sz w:val="20"/>
          <w:szCs w:val="20"/>
        </w:rPr>
        <w:t>elephone services etc.</w:t>
      </w:r>
    </w:p>
    <w:p w:rsidR="00CE28B4" w:rsidRDefault="00CE28B4" w:rsidP="0022736C">
      <w:pPr>
        <w:rPr>
          <w:rFonts w:ascii="Arial" w:hAnsi="Arial" w:cs="Arial"/>
          <w:sz w:val="20"/>
          <w:szCs w:val="20"/>
        </w:rPr>
      </w:pPr>
    </w:p>
    <w:p w:rsidR="006554CC" w:rsidRPr="00E37EF7" w:rsidRDefault="006554CC" w:rsidP="006554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37EF7">
        <w:rPr>
          <w:rFonts w:ascii="Arial" w:hAnsi="Arial" w:cs="Arial"/>
          <w:b/>
          <w:sz w:val="20"/>
          <w:szCs w:val="20"/>
        </w:rPr>
        <w:t>CoMC determinations</w:t>
      </w:r>
    </w:p>
    <w:p w:rsidR="006554CC" w:rsidRDefault="001C0221" w:rsidP="006554CC">
      <w:pPr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CoMC is requested to approve this Disclosure Request Report.</w:t>
      </w:r>
    </w:p>
    <w:p w:rsidR="006554CC" w:rsidRDefault="006554CC" w:rsidP="006554CC">
      <w:pPr>
        <w:rPr>
          <w:rFonts w:ascii="Arial" w:hAnsi="Arial" w:cs="Arial"/>
          <w:sz w:val="20"/>
          <w:szCs w:val="20"/>
        </w:rPr>
      </w:pPr>
    </w:p>
    <w:p w:rsidR="008602E6" w:rsidRPr="00E37EF7" w:rsidRDefault="008602E6" w:rsidP="006554CC">
      <w:pPr>
        <w:rPr>
          <w:rFonts w:ascii="Arial" w:hAnsi="Arial" w:cs="Arial"/>
          <w:sz w:val="20"/>
          <w:szCs w:val="20"/>
        </w:rPr>
      </w:pPr>
    </w:p>
    <w:p w:rsidR="001C0221" w:rsidRDefault="001C02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554CC" w:rsidRDefault="00DE7769" w:rsidP="00CE15C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Appendix 1</w:t>
      </w:r>
      <w:r w:rsidR="006554CC" w:rsidRPr="00CE15C5">
        <w:rPr>
          <w:rFonts w:ascii="Arial" w:hAnsi="Arial" w:cs="Arial"/>
          <w:b/>
          <w:sz w:val="20"/>
          <w:szCs w:val="20"/>
        </w:rPr>
        <w:t>:  Current Data Permissions Matrix with proposed changes as per this Disclosure Request Report</w:t>
      </w:r>
    </w:p>
    <w:p w:rsidR="0047521F" w:rsidRPr="0047521F" w:rsidRDefault="00287C7F" w:rsidP="0047521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Supplier</w:t>
      </w:r>
      <w:r w:rsidR="00C0568A">
        <w:rPr>
          <w:rFonts w:ascii="Arial" w:hAnsi="Arial" w:cs="Arial"/>
          <w:sz w:val="20"/>
          <w:szCs w:val="20"/>
          <w:u w:val="single"/>
        </w:rPr>
        <w:t>/Shipper</w:t>
      </w:r>
    </w:p>
    <w:tbl>
      <w:tblPr>
        <w:tblpPr w:leftFromText="180" w:rightFromText="180" w:vertAnchor="text" w:horzAnchor="margin" w:tblpXSpec="center" w:tblpY="236"/>
        <w:tblW w:w="9039" w:type="dxa"/>
        <w:tblLook w:val="04A0" w:firstRow="1" w:lastRow="0" w:firstColumn="1" w:lastColumn="0" w:noHBand="0" w:noVBand="1"/>
      </w:tblPr>
      <w:tblGrid>
        <w:gridCol w:w="2377"/>
        <w:gridCol w:w="2409"/>
        <w:gridCol w:w="1104"/>
        <w:gridCol w:w="979"/>
        <w:gridCol w:w="1177"/>
        <w:gridCol w:w="993"/>
      </w:tblGrid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n-GB"/>
              </w:rPr>
              <w:t>API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699FF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n-GB"/>
              </w:rPr>
              <w:t>Supplier*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6699FF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n-GB"/>
              </w:rPr>
              <w:t>Shipper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n-GB"/>
              </w:rPr>
              <w:t>DATA TYPE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n-GB"/>
              </w:rPr>
              <w:t>DATA ITEM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n-GB"/>
              </w:rPr>
              <w:t>COMMUNITY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n-GB"/>
              </w:rPr>
              <w:t>PORTFOLIO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n-GB"/>
              </w:rPr>
              <w:t>COMMUNITY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n-GB"/>
              </w:rPr>
              <w:t>PORTFOLIO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Supply Meter Point Information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Meter Point Reference Number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Supply Meter Point Information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LSP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Supply Meter Point Information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Address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Supply Meter Point Information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Postcode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Supply Meter Point Information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Network Name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Supply Meter Point Information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Network Short Code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Supply Meter Point Information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SMP Status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Supply Meter Point Information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Current Shipper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strike/>
                <w:sz w:val="16"/>
                <w:szCs w:val="20"/>
                <w:highlight w:val="lightGray"/>
                <w:lang w:eastAsia="en-GB"/>
              </w:rPr>
              <w:t>No</w:t>
            </w:r>
            <w:r w:rsidRPr="00C0568A">
              <w:rPr>
                <w:rFonts w:ascii="Calibri" w:eastAsia="Times New Roman" w:hAnsi="Calibri" w:cs="Times New Roman"/>
                <w:sz w:val="16"/>
                <w:szCs w:val="20"/>
                <w:highlight w:val="lightGray"/>
                <w:lang w:eastAsia="en-GB"/>
              </w:rPr>
              <w:t xml:space="preserve">      YES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strike/>
                <w:sz w:val="16"/>
                <w:szCs w:val="20"/>
                <w:highlight w:val="lightGray"/>
                <w:lang w:eastAsia="en-GB"/>
              </w:rPr>
              <w:t>No</w:t>
            </w:r>
            <w:r w:rsidRPr="00C0568A">
              <w:rPr>
                <w:rFonts w:ascii="Calibri" w:eastAsia="Times New Roman" w:hAnsi="Calibri" w:cs="Times New Roman"/>
                <w:sz w:val="16"/>
                <w:szCs w:val="20"/>
                <w:highlight w:val="lightGray"/>
                <w:lang w:eastAsia="en-GB"/>
              </w:rPr>
              <w:t xml:space="preserve">      YES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strike/>
                <w:sz w:val="16"/>
                <w:szCs w:val="20"/>
                <w:highlight w:val="lightGray"/>
                <w:lang w:eastAsia="en-GB"/>
              </w:rPr>
              <w:t>No</w:t>
            </w:r>
            <w:r w:rsidRPr="00C0568A">
              <w:rPr>
                <w:rFonts w:ascii="Calibri" w:eastAsia="Times New Roman" w:hAnsi="Calibri" w:cs="Times New Roman"/>
                <w:sz w:val="16"/>
                <w:szCs w:val="20"/>
                <w:highlight w:val="lightGray"/>
                <w:lang w:eastAsia="en-GB"/>
              </w:rPr>
              <w:t xml:space="preserve">      YES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strike/>
                <w:sz w:val="16"/>
                <w:szCs w:val="20"/>
                <w:highlight w:val="lightGray"/>
                <w:lang w:eastAsia="en-GB"/>
              </w:rPr>
              <w:t>No</w:t>
            </w:r>
            <w:r w:rsidRPr="00C0568A">
              <w:rPr>
                <w:rFonts w:ascii="Calibri" w:eastAsia="Times New Roman" w:hAnsi="Calibri" w:cs="Times New Roman"/>
                <w:sz w:val="16"/>
                <w:szCs w:val="20"/>
                <w:highlight w:val="lightGray"/>
                <w:lang w:eastAsia="en-GB"/>
              </w:rPr>
              <w:t xml:space="preserve">      YES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Supply Meter Point Information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Current Shipper Short Code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strike/>
                <w:sz w:val="16"/>
                <w:szCs w:val="20"/>
                <w:highlight w:val="lightGray"/>
                <w:lang w:eastAsia="en-GB"/>
              </w:rPr>
              <w:t>No</w:t>
            </w:r>
            <w:r w:rsidRPr="00C0568A">
              <w:rPr>
                <w:rFonts w:ascii="Calibri" w:eastAsia="Times New Roman" w:hAnsi="Calibri" w:cs="Times New Roman"/>
                <w:sz w:val="16"/>
                <w:szCs w:val="20"/>
                <w:highlight w:val="lightGray"/>
                <w:lang w:eastAsia="en-GB"/>
              </w:rPr>
              <w:t xml:space="preserve">      YES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strike/>
                <w:sz w:val="16"/>
                <w:szCs w:val="20"/>
                <w:highlight w:val="lightGray"/>
                <w:lang w:eastAsia="en-GB"/>
              </w:rPr>
              <w:t>No</w:t>
            </w:r>
            <w:r w:rsidRPr="00C0568A">
              <w:rPr>
                <w:rFonts w:ascii="Calibri" w:eastAsia="Times New Roman" w:hAnsi="Calibri" w:cs="Times New Roman"/>
                <w:sz w:val="16"/>
                <w:szCs w:val="20"/>
                <w:highlight w:val="lightGray"/>
                <w:lang w:eastAsia="en-GB"/>
              </w:rPr>
              <w:t xml:space="preserve">      YES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strike/>
                <w:sz w:val="16"/>
                <w:szCs w:val="20"/>
                <w:highlight w:val="lightGray"/>
                <w:lang w:eastAsia="en-GB"/>
              </w:rPr>
              <w:t>No</w:t>
            </w:r>
            <w:r w:rsidRPr="00C0568A">
              <w:rPr>
                <w:rFonts w:ascii="Calibri" w:eastAsia="Times New Roman" w:hAnsi="Calibri" w:cs="Times New Roman"/>
                <w:sz w:val="16"/>
                <w:szCs w:val="20"/>
                <w:highlight w:val="lightGray"/>
                <w:lang w:eastAsia="en-GB"/>
              </w:rPr>
              <w:t xml:space="preserve">      YES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strike/>
                <w:sz w:val="16"/>
                <w:szCs w:val="20"/>
                <w:highlight w:val="lightGray"/>
                <w:lang w:eastAsia="en-GB"/>
              </w:rPr>
              <w:t>No</w:t>
            </w:r>
            <w:r w:rsidRPr="00C0568A">
              <w:rPr>
                <w:rFonts w:ascii="Calibri" w:eastAsia="Times New Roman" w:hAnsi="Calibri" w:cs="Times New Roman"/>
                <w:sz w:val="16"/>
                <w:szCs w:val="20"/>
                <w:highlight w:val="lightGray"/>
                <w:lang w:eastAsia="en-GB"/>
              </w:rPr>
              <w:t xml:space="preserve">      YES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Supply Meter Point Information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Current Supplier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Supply Meter Point Information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Current Supplier Short Code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Supply Meter Point Information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Previous Shipper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Supply Meter Point Information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Previous Shipper Short Code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Supply Meter Point Information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Incoming Shipper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Supply Meter Point Information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Incoming Shipper Short Code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Supply Meter Point Information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Incoming Supplier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Supply Meter Point Information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Incoming Supplier Short Code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Supply Meter Point Information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Previous Supplier Short Code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Supply Meter Point Information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Previous Supplier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Supply Meter Point Information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Logical Meter Number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Supply Meter Point Information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Confirmation Reference Number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Supply Meter Point Information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Confirmation Effective Date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Supply Meter Point Information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Withdrawal Status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Supply Meter Point Information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Withdrawal End Date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Supply Meter Point Information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Market Sector Code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Supply Meter Point Information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Meter Link Code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Supply Meter Point Information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Supply Meter Point Class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strike/>
                <w:sz w:val="16"/>
                <w:szCs w:val="20"/>
                <w:highlight w:val="lightGray"/>
                <w:lang w:eastAsia="en-GB"/>
              </w:rPr>
              <w:t>No</w:t>
            </w:r>
            <w:r w:rsidRPr="00C0568A">
              <w:rPr>
                <w:rFonts w:ascii="Calibri" w:eastAsia="Times New Roman" w:hAnsi="Calibri" w:cs="Times New Roman"/>
                <w:sz w:val="16"/>
                <w:szCs w:val="20"/>
                <w:highlight w:val="lightGray"/>
                <w:lang w:eastAsia="en-GB"/>
              </w:rPr>
              <w:t xml:space="preserve">      YES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strike/>
                <w:sz w:val="16"/>
                <w:szCs w:val="20"/>
                <w:highlight w:val="lightGray"/>
                <w:lang w:eastAsia="en-GB"/>
              </w:rPr>
              <w:t>No</w:t>
            </w:r>
            <w:r w:rsidRPr="00C0568A">
              <w:rPr>
                <w:rFonts w:ascii="Calibri" w:eastAsia="Times New Roman" w:hAnsi="Calibri" w:cs="Times New Roman"/>
                <w:sz w:val="16"/>
                <w:szCs w:val="20"/>
                <w:highlight w:val="lightGray"/>
                <w:lang w:eastAsia="en-GB"/>
              </w:rPr>
              <w:t xml:space="preserve">      YES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Supply Meter Point Information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Interruption Contract Exists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Supply Meter Point Information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LDZ ID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Supply Meter Point Information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Exit Zone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Supply Meter Point Information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Network Owner EFD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strike/>
                <w:sz w:val="16"/>
                <w:szCs w:val="20"/>
                <w:highlight w:val="lightGray"/>
                <w:lang w:eastAsia="en-GB"/>
              </w:rPr>
              <w:t>No</w:t>
            </w:r>
            <w:r w:rsidRPr="00C0568A">
              <w:rPr>
                <w:rFonts w:ascii="Calibri" w:eastAsia="Times New Roman" w:hAnsi="Calibri" w:cs="Times New Roman"/>
                <w:sz w:val="16"/>
                <w:szCs w:val="20"/>
                <w:highlight w:val="lightGray"/>
                <w:lang w:eastAsia="en-GB"/>
              </w:rPr>
              <w:t xml:space="preserve">      YES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strike/>
                <w:sz w:val="16"/>
                <w:szCs w:val="20"/>
                <w:highlight w:val="lightGray"/>
                <w:lang w:eastAsia="en-GB"/>
              </w:rPr>
              <w:t>No</w:t>
            </w:r>
            <w:r w:rsidRPr="00C0568A">
              <w:rPr>
                <w:rFonts w:ascii="Calibri" w:eastAsia="Times New Roman" w:hAnsi="Calibri" w:cs="Times New Roman"/>
                <w:sz w:val="16"/>
                <w:szCs w:val="20"/>
                <w:highlight w:val="lightGray"/>
                <w:lang w:eastAsia="en-GB"/>
              </w:rPr>
              <w:t xml:space="preserve">      YES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Supply Meter Point Information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Network Exit Agreement Indicator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Supply Meter Point Information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Priority Consumers Indicator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Supply Meter Point Information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Meter Read Batch Frequency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Supply Meter Point Information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Bypass Fitted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Supply Meter Point Information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Seasonal Large Supply Point Indicator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lastRenderedPageBreak/>
              <w:t>Supply Meter Point Information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Twin Stream Site Indicator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Supply Meter Point Information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UPRN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Supply Meter Point Information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CSEP ID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Supply Meter Point Information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Shared SMP Indicator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Supply Meter Point Information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74470F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Transitional</w:t>
            </w:r>
            <w:r w:rsidR="00C0568A"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 xml:space="preserve"> Meter Point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Supply Meter Point Information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Last Inspection Date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Supply Meter Point Information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Special Needs Notes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Supply Meter Point Information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DM/NDM Indicator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Supply Meter Point Information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Confirmation Rejection Information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Supply Meter Point Information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Confirmation Objection Information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Supply Meter Point Quantities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Supply Meter Point AQ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Supply Meter Point Quantities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Formula Year SMP AQ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Supply Meter Point Quantities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CSEP Max AQ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Supply Meter Point Quantities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Original SMP AQ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Supply Meter Point Quantities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Current Year Minimum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Supply Meter Point Quantities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SMP SOQ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Supply Meter Point Quantities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Formula Year SMP SOQ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Supply Meter Point Quantities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CSEP SOQ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Supply Meter Point Information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MNEPOR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Supply Meter Point Quantities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SMP SHQ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Supply Meter Point Information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Related Meter Point Reference Number(s)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Related Meter Points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MSN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Emergency Contact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Title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Emergency Contact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Forename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Emergency Contact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Surname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Emergency Contact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Job Title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Emergency Contact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Contact Number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Emergency Contact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Type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Supply Meter Point History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Formula Year SMP AQ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Supply Meter Point History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Effective Date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Supply Meter Point History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SMP SHQ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Supply Meter Point History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Formula Year SMP SOQ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Supply Meter Point History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End User Category Code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strike/>
                <w:sz w:val="16"/>
                <w:szCs w:val="20"/>
                <w:highlight w:val="lightGray"/>
                <w:lang w:eastAsia="en-GB"/>
              </w:rPr>
              <w:t>No</w:t>
            </w:r>
            <w:r w:rsidRPr="00C0568A">
              <w:rPr>
                <w:rFonts w:ascii="Calibri" w:eastAsia="Times New Roman" w:hAnsi="Calibri" w:cs="Times New Roman"/>
                <w:sz w:val="16"/>
                <w:szCs w:val="20"/>
                <w:highlight w:val="lightGray"/>
                <w:lang w:eastAsia="en-GB"/>
              </w:rPr>
              <w:t xml:space="preserve">      YES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strike/>
                <w:sz w:val="16"/>
                <w:szCs w:val="20"/>
                <w:highlight w:val="lightGray"/>
                <w:lang w:eastAsia="en-GB"/>
              </w:rPr>
              <w:t>No</w:t>
            </w:r>
            <w:r w:rsidRPr="00C0568A">
              <w:rPr>
                <w:rFonts w:ascii="Calibri" w:eastAsia="Times New Roman" w:hAnsi="Calibri" w:cs="Times New Roman"/>
                <w:sz w:val="16"/>
                <w:szCs w:val="20"/>
                <w:highlight w:val="lightGray"/>
                <w:lang w:eastAsia="en-GB"/>
              </w:rPr>
              <w:t xml:space="preserve">      YES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Supply Meter Point History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EUC Effective Date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Interruption Results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Interruption Bid Number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Interruption Results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Contract Start Date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Interruption Results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Contract End Date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Interruption Results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Tranche Number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Interruption Results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Interruptible Capacity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Interruption Results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Interruptible Days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Interruption Results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Interruption Option Price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Interruption Results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Interruption Exercise Price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Interruption Results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Shipper Bid Reference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Interruption Results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Location ID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lastRenderedPageBreak/>
              <w:t>Meter Asset Data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Manufacturer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Meter Asset Data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Model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Meter Asset Data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Meter Type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Meter Asset Data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Year of Manufacture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Meter Asset Data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Installation Date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Meter Asset Data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Device Status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Meter Asset Data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Number of Dials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Meter Asset Data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Units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Meter Asset Data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Imperial Indicator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Meter Asset Data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Meter Mechanism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Meter Asset Data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Meter Capacity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Meter Asset Data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Location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Meter Asset Data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Correction Factor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Meter Asset Data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Gas Act Owner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Meter Asset Data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MAM Short Code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Meter Asset Data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MAM EFD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Meter Asset Data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SMSO ID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Meter Asset Data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SMS Operating Entity EFD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Meter Asset Data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DCC Service Flag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Meter Asset Data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DCC Service Flag EFD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Meter Asset Data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Installing Supplier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Meter Asset Data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Installing Supplier Short Code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Meter Asset Data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First SMETS Installation Date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Meter Asset Data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IHD Install Status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Meter Asset History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Meter Serial Number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Meter Asset History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Reason Code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Meter Asset History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Effective Date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Meter Asset History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Meter Type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Meter Asset History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Manufacturer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Meter Asset History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Model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Meter Asset History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Year of Manufacture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Meter Asset History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Number of Dials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Meter Asset History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Meter Capacity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Meter Asset History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Correction Factor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Meter Asset History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Meter Mechanism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Meter Asset History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Imperial Indicator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Meter Asset History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Units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Meter Asset History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Location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Meter Asset History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Opening Read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Meter Asset History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Opening Read Uncorrected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Meter Asset History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Opening Read Corrected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Meter Asset History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Opening Read Date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Meter Asset History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Closing Read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Meter Asset History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Closing Read Uncorrected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Meter Asset History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Closing Read Corrected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lastRenderedPageBreak/>
              <w:t>Meter Asset History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Closing Read Date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Meter Read History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Meter Read Date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Meter Read History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Meter Read Type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Meter Read History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Meter Read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Meter Read History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Meter Round the Clock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Meter Read History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Convertor Read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Meter Read History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Convertor Round the Clock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Daily Read Equipment Data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DRE Number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Daily Read Equipment Data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Installation Date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Daily Read Equipment Data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Device Status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Daily Read Equipment Data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Model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Daily Read Equipment Data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Manufacturer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Daily Read Equipment Data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Telemetered Site Indicator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Daily Read Equipment Data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AMR Indicator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Daily Read Equipment Data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AMR Effective Date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Convertor Asset Data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Correction Factor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Convertor Asset Data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Effective Date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Convertor Asset Data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Serial Number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Convertor Asset Data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Dials Corrected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Convertor Asset Data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Manufacturer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Convertor Asset Data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Year of Manufacture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Convertor Asset Data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Model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Convertor Asset Data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Device Status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Supply Meter Point Information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Isolation Status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Supply Meter Point Information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AMR Service Provider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Meter Read History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Latest Meter Read Date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Meter Read History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Latest Meter Read Type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Meter Read History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Latest Meter Read Value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Supply Meter Point Quantities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Prospective SMP SOQ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Supply Meter Point Quantities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Prospective Formula Year SMP AQ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Supply Meter Point Quantities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Prospective Formula Year Effective Date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n-GB"/>
              </w:rPr>
              <w:t>Yes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sz w:val="16"/>
                <w:szCs w:val="20"/>
                <w:lang w:eastAsia="en-GB"/>
              </w:rPr>
              <w:t>Meter Asset Data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sz w:val="16"/>
                <w:szCs w:val="20"/>
                <w:lang w:eastAsia="en-GB"/>
              </w:rPr>
              <w:t>Meter Serial Number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strike/>
                <w:sz w:val="16"/>
                <w:szCs w:val="20"/>
                <w:highlight w:val="lightGray"/>
                <w:lang w:eastAsia="en-GB"/>
              </w:rPr>
              <w:t>No</w:t>
            </w:r>
            <w:r w:rsidRPr="00C0568A">
              <w:rPr>
                <w:rFonts w:ascii="Calibri" w:eastAsia="Times New Roman" w:hAnsi="Calibri" w:cs="Times New Roman"/>
                <w:sz w:val="16"/>
                <w:szCs w:val="20"/>
                <w:highlight w:val="lightGray"/>
                <w:lang w:eastAsia="en-GB"/>
              </w:rPr>
              <w:t xml:space="preserve">      YES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strike/>
                <w:sz w:val="16"/>
                <w:szCs w:val="20"/>
                <w:highlight w:val="lightGray"/>
                <w:lang w:eastAsia="en-GB"/>
              </w:rPr>
              <w:t>No</w:t>
            </w:r>
            <w:r w:rsidRPr="00C0568A">
              <w:rPr>
                <w:rFonts w:ascii="Calibri" w:eastAsia="Times New Roman" w:hAnsi="Calibri" w:cs="Times New Roman"/>
                <w:sz w:val="16"/>
                <w:szCs w:val="20"/>
                <w:highlight w:val="lightGray"/>
                <w:lang w:eastAsia="en-GB"/>
              </w:rPr>
              <w:t xml:space="preserve">      YES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strike/>
                <w:sz w:val="16"/>
                <w:szCs w:val="20"/>
                <w:highlight w:val="lightGray"/>
                <w:lang w:eastAsia="en-GB"/>
              </w:rPr>
              <w:t>No</w:t>
            </w:r>
            <w:r w:rsidRPr="00C0568A">
              <w:rPr>
                <w:rFonts w:ascii="Calibri" w:eastAsia="Times New Roman" w:hAnsi="Calibri" w:cs="Times New Roman"/>
                <w:sz w:val="16"/>
                <w:szCs w:val="20"/>
                <w:highlight w:val="lightGray"/>
                <w:lang w:eastAsia="en-GB"/>
              </w:rPr>
              <w:t xml:space="preserve">      YES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strike/>
                <w:sz w:val="16"/>
                <w:szCs w:val="20"/>
                <w:highlight w:val="lightGray"/>
                <w:lang w:eastAsia="en-GB"/>
              </w:rPr>
              <w:t>No</w:t>
            </w:r>
            <w:r w:rsidRPr="00C0568A">
              <w:rPr>
                <w:rFonts w:ascii="Calibri" w:eastAsia="Times New Roman" w:hAnsi="Calibri" w:cs="Times New Roman"/>
                <w:sz w:val="16"/>
                <w:szCs w:val="20"/>
                <w:highlight w:val="lightGray"/>
                <w:lang w:eastAsia="en-GB"/>
              </w:rPr>
              <w:t xml:space="preserve">      YES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sz w:val="16"/>
                <w:szCs w:val="20"/>
                <w:lang w:eastAsia="en-GB"/>
              </w:rPr>
              <w:t>Meter Read History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sz w:val="16"/>
                <w:szCs w:val="20"/>
                <w:lang w:eastAsia="en-GB"/>
              </w:rPr>
              <w:t>Meter Read Status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sz w:val="16"/>
                <w:szCs w:val="20"/>
                <w:lang w:eastAsia="en-GB"/>
              </w:rPr>
              <w:t>No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sz w:val="16"/>
                <w:szCs w:val="20"/>
                <w:lang w:eastAsia="en-GB"/>
              </w:rPr>
              <w:t>Meter Read History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sz w:val="16"/>
                <w:szCs w:val="20"/>
                <w:lang w:eastAsia="en-GB"/>
              </w:rPr>
              <w:t>Meter Read Creation Date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sz w:val="16"/>
                <w:szCs w:val="20"/>
                <w:lang w:eastAsia="en-GB"/>
              </w:rPr>
              <w:t>No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i/>
                <w:iCs/>
                <w:sz w:val="16"/>
                <w:szCs w:val="20"/>
                <w:lang w:eastAsia="en-GB"/>
              </w:rPr>
              <w:t>Supply Meter Point Information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i/>
                <w:iCs/>
                <w:sz w:val="16"/>
                <w:szCs w:val="20"/>
                <w:lang w:eastAsia="en-GB"/>
              </w:rPr>
              <w:t>IGT Transportation Charge Rate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i/>
                <w:iCs/>
                <w:strike/>
                <w:sz w:val="16"/>
                <w:szCs w:val="20"/>
                <w:lang w:eastAsia="en-GB"/>
              </w:rPr>
              <w:t xml:space="preserve">     </w:t>
            </w:r>
            <w:r w:rsidRPr="00C0568A">
              <w:rPr>
                <w:rFonts w:ascii="Calibri" w:eastAsia="Times New Roman" w:hAnsi="Calibri" w:cs="Times New Roman"/>
                <w:i/>
                <w:iCs/>
                <w:sz w:val="16"/>
                <w:szCs w:val="20"/>
                <w:lang w:eastAsia="en-GB"/>
              </w:rPr>
              <w:t xml:space="preserve">     </w:t>
            </w:r>
            <w:r w:rsidRPr="00C0568A">
              <w:rPr>
                <w:rFonts w:ascii="Calibri" w:eastAsia="Times New Roman" w:hAnsi="Calibri" w:cs="Times New Roman"/>
                <w:i/>
                <w:iCs/>
                <w:sz w:val="16"/>
                <w:szCs w:val="20"/>
                <w:highlight w:val="lightGray"/>
                <w:lang w:eastAsia="en-GB"/>
              </w:rPr>
              <w:t>YES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i/>
                <w:iCs/>
                <w:strike/>
                <w:sz w:val="16"/>
                <w:szCs w:val="20"/>
                <w:lang w:eastAsia="en-GB"/>
              </w:rPr>
              <w:t xml:space="preserve">     </w:t>
            </w:r>
            <w:r w:rsidRPr="00C0568A">
              <w:rPr>
                <w:rFonts w:ascii="Calibri" w:eastAsia="Times New Roman" w:hAnsi="Calibri" w:cs="Times New Roman"/>
                <w:i/>
                <w:iCs/>
                <w:sz w:val="16"/>
                <w:szCs w:val="20"/>
                <w:lang w:eastAsia="en-GB"/>
              </w:rPr>
              <w:t xml:space="preserve">     </w:t>
            </w:r>
            <w:r w:rsidRPr="00C0568A">
              <w:rPr>
                <w:rFonts w:ascii="Calibri" w:eastAsia="Times New Roman" w:hAnsi="Calibri" w:cs="Times New Roman"/>
                <w:i/>
                <w:iCs/>
                <w:sz w:val="16"/>
                <w:szCs w:val="20"/>
                <w:highlight w:val="lightGray"/>
                <w:lang w:eastAsia="en-GB"/>
              </w:rPr>
              <w:t>YES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i/>
                <w:iCs/>
                <w:strike/>
                <w:sz w:val="16"/>
                <w:szCs w:val="20"/>
                <w:lang w:eastAsia="en-GB"/>
              </w:rPr>
              <w:t xml:space="preserve">     </w:t>
            </w:r>
            <w:r w:rsidRPr="00C0568A">
              <w:rPr>
                <w:rFonts w:ascii="Calibri" w:eastAsia="Times New Roman" w:hAnsi="Calibri" w:cs="Times New Roman"/>
                <w:i/>
                <w:iCs/>
                <w:sz w:val="16"/>
                <w:szCs w:val="20"/>
                <w:lang w:eastAsia="en-GB"/>
              </w:rPr>
              <w:t xml:space="preserve">     </w:t>
            </w:r>
            <w:r w:rsidRPr="00C0568A">
              <w:rPr>
                <w:rFonts w:ascii="Calibri" w:eastAsia="Times New Roman" w:hAnsi="Calibri" w:cs="Times New Roman"/>
                <w:i/>
                <w:iCs/>
                <w:sz w:val="16"/>
                <w:szCs w:val="20"/>
                <w:highlight w:val="lightGray"/>
                <w:lang w:eastAsia="en-GB"/>
              </w:rPr>
              <w:t>YES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i/>
                <w:iCs/>
                <w:strike/>
                <w:sz w:val="16"/>
                <w:szCs w:val="20"/>
                <w:lang w:eastAsia="en-GB"/>
              </w:rPr>
              <w:t xml:space="preserve">     </w:t>
            </w:r>
            <w:r w:rsidRPr="00C0568A">
              <w:rPr>
                <w:rFonts w:ascii="Calibri" w:eastAsia="Times New Roman" w:hAnsi="Calibri" w:cs="Times New Roman"/>
                <w:i/>
                <w:iCs/>
                <w:sz w:val="16"/>
                <w:szCs w:val="20"/>
                <w:lang w:eastAsia="en-GB"/>
              </w:rPr>
              <w:t xml:space="preserve">     </w:t>
            </w:r>
            <w:r w:rsidRPr="00C0568A">
              <w:rPr>
                <w:rFonts w:ascii="Calibri" w:eastAsia="Times New Roman" w:hAnsi="Calibri" w:cs="Times New Roman"/>
                <w:i/>
                <w:iCs/>
                <w:sz w:val="16"/>
                <w:szCs w:val="20"/>
                <w:highlight w:val="lightGray"/>
                <w:lang w:eastAsia="en-GB"/>
              </w:rPr>
              <w:t>YES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i/>
                <w:iCs/>
                <w:sz w:val="16"/>
                <w:szCs w:val="20"/>
                <w:lang w:eastAsia="en-GB"/>
              </w:rPr>
              <w:t>Supply Meter Point Information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i/>
                <w:iCs/>
                <w:sz w:val="16"/>
                <w:szCs w:val="20"/>
                <w:lang w:eastAsia="en-GB"/>
              </w:rPr>
              <w:t>IGT Transportation Charge Rate Type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i/>
                <w:iCs/>
                <w:strike/>
                <w:sz w:val="16"/>
                <w:szCs w:val="20"/>
                <w:lang w:eastAsia="en-GB"/>
              </w:rPr>
              <w:t xml:space="preserve">     </w:t>
            </w:r>
            <w:r w:rsidRPr="00C0568A">
              <w:rPr>
                <w:rFonts w:ascii="Calibri" w:eastAsia="Times New Roman" w:hAnsi="Calibri" w:cs="Times New Roman"/>
                <w:i/>
                <w:iCs/>
                <w:sz w:val="16"/>
                <w:szCs w:val="20"/>
                <w:lang w:eastAsia="en-GB"/>
              </w:rPr>
              <w:t xml:space="preserve">     </w:t>
            </w:r>
            <w:r w:rsidRPr="00C0568A">
              <w:rPr>
                <w:rFonts w:ascii="Calibri" w:eastAsia="Times New Roman" w:hAnsi="Calibri" w:cs="Times New Roman"/>
                <w:i/>
                <w:iCs/>
                <w:sz w:val="16"/>
                <w:szCs w:val="20"/>
                <w:highlight w:val="lightGray"/>
                <w:lang w:eastAsia="en-GB"/>
              </w:rPr>
              <w:t>YES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i/>
                <w:iCs/>
                <w:strike/>
                <w:sz w:val="16"/>
                <w:szCs w:val="20"/>
                <w:lang w:eastAsia="en-GB"/>
              </w:rPr>
              <w:t xml:space="preserve">     </w:t>
            </w:r>
            <w:r w:rsidRPr="00C0568A">
              <w:rPr>
                <w:rFonts w:ascii="Calibri" w:eastAsia="Times New Roman" w:hAnsi="Calibri" w:cs="Times New Roman"/>
                <w:i/>
                <w:iCs/>
                <w:sz w:val="16"/>
                <w:szCs w:val="20"/>
                <w:lang w:eastAsia="en-GB"/>
              </w:rPr>
              <w:t xml:space="preserve">     </w:t>
            </w:r>
            <w:r w:rsidRPr="00C0568A">
              <w:rPr>
                <w:rFonts w:ascii="Calibri" w:eastAsia="Times New Roman" w:hAnsi="Calibri" w:cs="Times New Roman"/>
                <w:i/>
                <w:iCs/>
                <w:sz w:val="16"/>
                <w:szCs w:val="20"/>
                <w:highlight w:val="lightGray"/>
                <w:lang w:eastAsia="en-GB"/>
              </w:rPr>
              <w:t>YES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i/>
                <w:iCs/>
                <w:strike/>
                <w:sz w:val="16"/>
                <w:szCs w:val="20"/>
                <w:lang w:eastAsia="en-GB"/>
              </w:rPr>
              <w:t xml:space="preserve">     </w:t>
            </w:r>
            <w:r w:rsidRPr="00C0568A">
              <w:rPr>
                <w:rFonts w:ascii="Calibri" w:eastAsia="Times New Roman" w:hAnsi="Calibri" w:cs="Times New Roman"/>
                <w:i/>
                <w:iCs/>
                <w:sz w:val="16"/>
                <w:szCs w:val="20"/>
                <w:lang w:eastAsia="en-GB"/>
              </w:rPr>
              <w:t xml:space="preserve">     </w:t>
            </w:r>
            <w:r w:rsidRPr="00C0568A">
              <w:rPr>
                <w:rFonts w:ascii="Calibri" w:eastAsia="Times New Roman" w:hAnsi="Calibri" w:cs="Times New Roman"/>
                <w:i/>
                <w:iCs/>
                <w:sz w:val="16"/>
                <w:szCs w:val="20"/>
                <w:highlight w:val="lightGray"/>
                <w:lang w:eastAsia="en-GB"/>
              </w:rPr>
              <w:t>YES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i/>
                <w:iCs/>
                <w:strike/>
                <w:sz w:val="16"/>
                <w:szCs w:val="20"/>
                <w:lang w:eastAsia="en-GB"/>
              </w:rPr>
              <w:t xml:space="preserve">     </w:t>
            </w:r>
            <w:r w:rsidRPr="00C0568A">
              <w:rPr>
                <w:rFonts w:ascii="Calibri" w:eastAsia="Times New Roman" w:hAnsi="Calibri" w:cs="Times New Roman"/>
                <w:i/>
                <w:iCs/>
                <w:sz w:val="16"/>
                <w:szCs w:val="20"/>
                <w:lang w:eastAsia="en-GB"/>
              </w:rPr>
              <w:t xml:space="preserve">     </w:t>
            </w:r>
            <w:r w:rsidRPr="00C0568A">
              <w:rPr>
                <w:rFonts w:ascii="Calibri" w:eastAsia="Times New Roman" w:hAnsi="Calibri" w:cs="Times New Roman"/>
                <w:i/>
                <w:iCs/>
                <w:sz w:val="16"/>
                <w:szCs w:val="20"/>
                <w:highlight w:val="lightGray"/>
                <w:lang w:eastAsia="en-GB"/>
              </w:rPr>
              <w:t>YES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i/>
                <w:iCs/>
                <w:sz w:val="16"/>
                <w:szCs w:val="20"/>
                <w:lang w:eastAsia="en-GB"/>
              </w:rPr>
              <w:t>Supply Meter Point Information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i/>
                <w:iCs/>
                <w:sz w:val="16"/>
                <w:szCs w:val="20"/>
                <w:lang w:eastAsia="en-GB"/>
              </w:rPr>
              <w:t>IGT Charging Methodology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i/>
                <w:iCs/>
                <w:strike/>
                <w:sz w:val="16"/>
                <w:szCs w:val="20"/>
                <w:lang w:eastAsia="en-GB"/>
              </w:rPr>
              <w:t xml:space="preserve">     </w:t>
            </w:r>
            <w:r w:rsidRPr="00C0568A">
              <w:rPr>
                <w:rFonts w:ascii="Calibri" w:eastAsia="Times New Roman" w:hAnsi="Calibri" w:cs="Times New Roman"/>
                <w:i/>
                <w:iCs/>
                <w:sz w:val="16"/>
                <w:szCs w:val="20"/>
                <w:lang w:eastAsia="en-GB"/>
              </w:rPr>
              <w:t xml:space="preserve">     </w:t>
            </w:r>
            <w:r w:rsidRPr="00C0568A">
              <w:rPr>
                <w:rFonts w:ascii="Calibri" w:eastAsia="Times New Roman" w:hAnsi="Calibri" w:cs="Times New Roman"/>
                <w:i/>
                <w:iCs/>
                <w:sz w:val="16"/>
                <w:szCs w:val="20"/>
                <w:highlight w:val="lightGray"/>
                <w:lang w:eastAsia="en-GB"/>
              </w:rPr>
              <w:t>YES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i/>
                <w:iCs/>
                <w:strike/>
                <w:sz w:val="16"/>
                <w:szCs w:val="20"/>
                <w:lang w:eastAsia="en-GB"/>
              </w:rPr>
              <w:t xml:space="preserve">     </w:t>
            </w:r>
            <w:r w:rsidRPr="00C0568A">
              <w:rPr>
                <w:rFonts w:ascii="Calibri" w:eastAsia="Times New Roman" w:hAnsi="Calibri" w:cs="Times New Roman"/>
                <w:i/>
                <w:iCs/>
                <w:sz w:val="16"/>
                <w:szCs w:val="20"/>
                <w:lang w:eastAsia="en-GB"/>
              </w:rPr>
              <w:t xml:space="preserve">     </w:t>
            </w:r>
            <w:r w:rsidRPr="00C0568A">
              <w:rPr>
                <w:rFonts w:ascii="Calibri" w:eastAsia="Times New Roman" w:hAnsi="Calibri" w:cs="Times New Roman"/>
                <w:i/>
                <w:iCs/>
                <w:sz w:val="16"/>
                <w:szCs w:val="20"/>
                <w:highlight w:val="lightGray"/>
                <w:lang w:eastAsia="en-GB"/>
              </w:rPr>
              <w:t>YES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i/>
                <w:iCs/>
                <w:strike/>
                <w:sz w:val="16"/>
                <w:szCs w:val="20"/>
                <w:lang w:eastAsia="en-GB"/>
              </w:rPr>
              <w:t xml:space="preserve">     </w:t>
            </w:r>
            <w:r w:rsidRPr="00C0568A">
              <w:rPr>
                <w:rFonts w:ascii="Calibri" w:eastAsia="Times New Roman" w:hAnsi="Calibri" w:cs="Times New Roman"/>
                <w:i/>
                <w:iCs/>
                <w:sz w:val="16"/>
                <w:szCs w:val="20"/>
                <w:lang w:eastAsia="en-GB"/>
              </w:rPr>
              <w:t xml:space="preserve">     </w:t>
            </w:r>
            <w:r w:rsidRPr="00C0568A">
              <w:rPr>
                <w:rFonts w:ascii="Calibri" w:eastAsia="Times New Roman" w:hAnsi="Calibri" w:cs="Times New Roman"/>
                <w:i/>
                <w:iCs/>
                <w:sz w:val="16"/>
                <w:szCs w:val="20"/>
                <w:highlight w:val="lightGray"/>
                <w:lang w:eastAsia="en-GB"/>
              </w:rPr>
              <w:t>YES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i/>
                <w:iCs/>
                <w:strike/>
                <w:sz w:val="16"/>
                <w:szCs w:val="20"/>
                <w:lang w:eastAsia="en-GB"/>
              </w:rPr>
              <w:t xml:space="preserve">     </w:t>
            </w:r>
            <w:r w:rsidRPr="00C0568A">
              <w:rPr>
                <w:rFonts w:ascii="Calibri" w:eastAsia="Times New Roman" w:hAnsi="Calibri" w:cs="Times New Roman"/>
                <w:i/>
                <w:iCs/>
                <w:sz w:val="16"/>
                <w:szCs w:val="20"/>
                <w:lang w:eastAsia="en-GB"/>
              </w:rPr>
              <w:t xml:space="preserve">     </w:t>
            </w:r>
            <w:r w:rsidRPr="00C0568A">
              <w:rPr>
                <w:rFonts w:ascii="Calibri" w:eastAsia="Times New Roman" w:hAnsi="Calibri" w:cs="Times New Roman"/>
                <w:i/>
                <w:iCs/>
                <w:sz w:val="16"/>
                <w:szCs w:val="20"/>
                <w:highlight w:val="lightGray"/>
                <w:lang w:eastAsia="en-GB"/>
              </w:rPr>
              <w:t>YES</w:t>
            </w:r>
          </w:p>
        </w:tc>
      </w:tr>
      <w:tr w:rsidR="00C0568A" w:rsidRPr="00C0568A" w:rsidTr="00C0568A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i/>
                <w:iCs/>
                <w:sz w:val="16"/>
                <w:szCs w:val="20"/>
                <w:lang w:eastAsia="en-GB"/>
              </w:rPr>
              <w:t>Supply Meter Point Quantities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i/>
                <w:iCs/>
                <w:sz w:val="16"/>
                <w:szCs w:val="20"/>
                <w:lang w:eastAsia="en-GB"/>
              </w:rPr>
              <w:t>CSEP Connection Max SOQ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i/>
                <w:iCs/>
                <w:strike/>
                <w:sz w:val="16"/>
                <w:szCs w:val="20"/>
                <w:lang w:eastAsia="en-GB"/>
              </w:rPr>
              <w:t xml:space="preserve">     </w:t>
            </w:r>
            <w:r w:rsidRPr="00C0568A">
              <w:rPr>
                <w:rFonts w:ascii="Calibri" w:eastAsia="Times New Roman" w:hAnsi="Calibri" w:cs="Times New Roman"/>
                <w:i/>
                <w:iCs/>
                <w:sz w:val="16"/>
                <w:szCs w:val="20"/>
                <w:lang w:eastAsia="en-GB"/>
              </w:rPr>
              <w:t xml:space="preserve">     </w:t>
            </w:r>
            <w:r w:rsidRPr="00C0568A">
              <w:rPr>
                <w:rFonts w:ascii="Calibri" w:eastAsia="Times New Roman" w:hAnsi="Calibri" w:cs="Times New Roman"/>
                <w:i/>
                <w:iCs/>
                <w:sz w:val="16"/>
                <w:szCs w:val="20"/>
                <w:highlight w:val="lightGray"/>
                <w:lang w:eastAsia="en-GB"/>
              </w:rPr>
              <w:t>YES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i/>
                <w:iCs/>
                <w:strike/>
                <w:sz w:val="16"/>
                <w:szCs w:val="20"/>
                <w:lang w:eastAsia="en-GB"/>
              </w:rPr>
              <w:t xml:space="preserve">     </w:t>
            </w:r>
            <w:r w:rsidRPr="00C0568A">
              <w:rPr>
                <w:rFonts w:ascii="Calibri" w:eastAsia="Times New Roman" w:hAnsi="Calibri" w:cs="Times New Roman"/>
                <w:i/>
                <w:iCs/>
                <w:sz w:val="16"/>
                <w:szCs w:val="20"/>
                <w:lang w:eastAsia="en-GB"/>
              </w:rPr>
              <w:t xml:space="preserve">     </w:t>
            </w:r>
            <w:r w:rsidRPr="00C0568A">
              <w:rPr>
                <w:rFonts w:ascii="Calibri" w:eastAsia="Times New Roman" w:hAnsi="Calibri" w:cs="Times New Roman"/>
                <w:i/>
                <w:iCs/>
                <w:sz w:val="16"/>
                <w:szCs w:val="20"/>
                <w:highlight w:val="lightGray"/>
                <w:lang w:eastAsia="en-GB"/>
              </w:rPr>
              <w:t>YES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i/>
                <w:iCs/>
                <w:strike/>
                <w:sz w:val="16"/>
                <w:szCs w:val="20"/>
                <w:lang w:eastAsia="en-GB"/>
              </w:rPr>
              <w:t xml:space="preserve">     </w:t>
            </w:r>
            <w:r w:rsidRPr="00C0568A">
              <w:rPr>
                <w:rFonts w:ascii="Calibri" w:eastAsia="Times New Roman" w:hAnsi="Calibri" w:cs="Times New Roman"/>
                <w:i/>
                <w:iCs/>
                <w:sz w:val="16"/>
                <w:szCs w:val="20"/>
                <w:lang w:eastAsia="en-GB"/>
              </w:rPr>
              <w:t xml:space="preserve">     </w:t>
            </w:r>
            <w:r w:rsidRPr="00C0568A">
              <w:rPr>
                <w:rFonts w:ascii="Calibri" w:eastAsia="Times New Roman" w:hAnsi="Calibri" w:cs="Times New Roman"/>
                <w:i/>
                <w:iCs/>
                <w:sz w:val="16"/>
                <w:szCs w:val="20"/>
                <w:highlight w:val="lightGray"/>
                <w:lang w:eastAsia="en-GB"/>
              </w:rPr>
              <w:t>YES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A" w:rsidRPr="00C0568A" w:rsidRDefault="00C0568A" w:rsidP="00C0568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16"/>
                <w:szCs w:val="20"/>
                <w:lang w:eastAsia="en-GB"/>
              </w:rPr>
            </w:pPr>
            <w:r w:rsidRPr="00C0568A">
              <w:rPr>
                <w:rFonts w:ascii="Calibri" w:eastAsia="Times New Roman" w:hAnsi="Calibri" w:cs="Times New Roman"/>
                <w:i/>
                <w:iCs/>
                <w:strike/>
                <w:sz w:val="16"/>
                <w:szCs w:val="20"/>
                <w:lang w:eastAsia="en-GB"/>
              </w:rPr>
              <w:t xml:space="preserve">     </w:t>
            </w:r>
            <w:r w:rsidRPr="00C0568A">
              <w:rPr>
                <w:rFonts w:ascii="Calibri" w:eastAsia="Times New Roman" w:hAnsi="Calibri" w:cs="Times New Roman"/>
                <w:i/>
                <w:iCs/>
                <w:sz w:val="16"/>
                <w:szCs w:val="20"/>
                <w:lang w:eastAsia="en-GB"/>
              </w:rPr>
              <w:t xml:space="preserve">     </w:t>
            </w:r>
            <w:r w:rsidRPr="00C0568A">
              <w:rPr>
                <w:rFonts w:ascii="Calibri" w:eastAsia="Times New Roman" w:hAnsi="Calibri" w:cs="Times New Roman"/>
                <w:i/>
                <w:iCs/>
                <w:sz w:val="16"/>
                <w:szCs w:val="20"/>
                <w:highlight w:val="lightGray"/>
                <w:lang w:eastAsia="en-GB"/>
              </w:rPr>
              <w:t>YES</w:t>
            </w:r>
          </w:p>
        </w:tc>
      </w:tr>
    </w:tbl>
    <w:p w:rsidR="004D0761" w:rsidRDefault="004D0761" w:rsidP="006554CC">
      <w:pPr>
        <w:rPr>
          <w:rFonts w:ascii="Arial" w:hAnsi="Arial" w:cs="Arial"/>
          <w:sz w:val="20"/>
          <w:szCs w:val="20"/>
        </w:rPr>
      </w:pPr>
    </w:p>
    <w:p w:rsidR="0074470F" w:rsidRDefault="0074470F" w:rsidP="006554CC">
      <w:pPr>
        <w:rPr>
          <w:rFonts w:ascii="Arial" w:hAnsi="Arial" w:cs="Arial"/>
          <w:sz w:val="20"/>
          <w:szCs w:val="20"/>
        </w:rPr>
      </w:pPr>
    </w:p>
    <w:p w:rsidR="0074470F" w:rsidRDefault="0074470F" w:rsidP="006554CC">
      <w:pPr>
        <w:rPr>
          <w:rFonts w:ascii="Arial" w:hAnsi="Arial" w:cs="Arial"/>
          <w:sz w:val="20"/>
          <w:szCs w:val="20"/>
        </w:rPr>
      </w:pPr>
    </w:p>
    <w:p w:rsidR="0074470F" w:rsidRDefault="0074470F" w:rsidP="006554CC">
      <w:pPr>
        <w:rPr>
          <w:rFonts w:ascii="Arial" w:hAnsi="Arial" w:cs="Arial"/>
          <w:sz w:val="20"/>
          <w:szCs w:val="20"/>
        </w:rPr>
      </w:pPr>
    </w:p>
    <w:p w:rsidR="00F05C36" w:rsidRPr="0047521F" w:rsidRDefault="00F05C36" w:rsidP="00F05C36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Meter Serial Number</w:t>
      </w: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1399"/>
        <w:gridCol w:w="1685"/>
        <w:gridCol w:w="1104"/>
        <w:gridCol w:w="1104"/>
        <w:gridCol w:w="1104"/>
        <w:gridCol w:w="979"/>
        <w:gridCol w:w="1104"/>
        <w:gridCol w:w="979"/>
      </w:tblGrid>
      <w:tr w:rsidR="0074470F" w:rsidRPr="0074470F" w:rsidTr="0074470F">
        <w:trPr>
          <w:trHeight w:val="300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0F" w:rsidRPr="0074470F" w:rsidRDefault="0074470F" w:rsidP="007447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0F" w:rsidRPr="0074470F" w:rsidRDefault="0074470F" w:rsidP="007447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</w:p>
        </w:tc>
        <w:tc>
          <w:tcPr>
            <w:tcW w:w="6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699FF"/>
            <w:noWrap/>
            <w:vAlign w:val="center"/>
            <w:hideMark/>
          </w:tcPr>
          <w:p w:rsidR="0074470F" w:rsidRPr="0074470F" w:rsidRDefault="0074470F" w:rsidP="007447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n-GB"/>
              </w:rPr>
            </w:pPr>
            <w:r w:rsidRPr="0074470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n-GB"/>
              </w:rPr>
              <w:t>API</w:t>
            </w:r>
          </w:p>
        </w:tc>
      </w:tr>
      <w:tr w:rsidR="0074470F" w:rsidRPr="0074470F" w:rsidTr="0074470F">
        <w:trPr>
          <w:trHeight w:val="300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0F" w:rsidRPr="0074470F" w:rsidRDefault="0074470F" w:rsidP="007447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70F" w:rsidRPr="0074470F" w:rsidRDefault="0074470F" w:rsidP="007447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n-GB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74470F" w:rsidRPr="0074470F" w:rsidRDefault="0074470F" w:rsidP="007447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n-GB"/>
              </w:rPr>
            </w:pPr>
            <w:r w:rsidRPr="0074470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n-GB"/>
              </w:rPr>
              <w:t>PCW*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74470F" w:rsidRPr="0074470F" w:rsidRDefault="0074470F" w:rsidP="007447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n-GB"/>
              </w:rPr>
            </w:pPr>
            <w:r w:rsidRPr="0074470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n-GB"/>
              </w:rPr>
              <w:t>TPI*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74470F" w:rsidRPr="0074470F" w:rsidRDefault="0074470F" w:rsidP="007447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n-GB"/>
              </w:rPr>
            </w:pPr>
            <w:r w:rsidRPr="0074470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n-GB"/>
              </w:rPr>
              <w:t>Supplier*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74470F" w:rsidRPr="0074470F" w:rsidRDefault="0074470F" w:rsidP="007447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n-GB"/>
              </w:rPr>
            </w:pPr>
            <w:r w:rsidRPr="0074470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n-GB"/>
              </w:rPr>
              <w:t>Shipper</w:t>
            </w:r>
          </w:p>
        </w:tc>
      </w:tr>
      <w:tr w:rsidR="0074470F" w:rsidRPr="0074470F" w:rsidTr="0074470F">
        <w:trPr>
          <w:trHeight w:val="30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4470F" w:rsidRPr="0074470F" w:rsidRDefault="0074470F" w:rsidP="007447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n-GB"/>
              </w:rPr>
            </w:pPr>
            <w:r w:rsidRPr="0074470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n-GB"/>
              </w:rPr>
              <w:t>DATA TYPE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4470F" w:rsidRPr="0074470F" w:rsidRDefault="0074470F" w:rsidP="007447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n-GB"/>
              </w:rPr>
            </w:pPr>
            <w:r w:rsidRPr="0074470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n-GB"/>
              </w:rPr>
              <w:t>DATA ITEM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74470F" w:rsidRPr="0074470F" w:rsidRDefault="0074470F" w:rsidP="007447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n-GB"/>
              </w:rPr>
            </w:pPr>
            <w:r w:rsidRPr="0074470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n-GB"/>
              </w:rPr>
              <w:t>COMMUNITY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74470F" w:rsidRPr="0074470F" w:rsidRDefault="0074470F" w:rsidP="007447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n-GB"/>
              </w:rPr>
            </w:pPr>
            <w:r w:rsidRPr="0074470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n-GB"/>
              </w:rPr>
              <w:t>COMMUNITY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74470F" w:rsidRPr="0074470F" w:rsidRDefault="0074470F" w:rsidP="007447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n-GB"/>
              </w:rPr>
            </w:pPr>
            <w:r w:rsidRPr="0074470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n-GB"/>
              </w:rPr>
              <w:t>COMMUNITY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74470F" w:rsidRPr="0074470F" w:rsidRDefault="0074470F" w:rsidP="007447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n-GB"/>
              </w:rPr>
            </w:pPr>
            <w:r w:rsidRPr="0074470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n-GB"/>
              </w:rPr>
              <w:t>PORTFOLIO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74470F" w:rsidRPr="0074470F" w:rsidRDefault="0074470F" w:rsidP="007447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n-GB"/>
              </w:rPr>
            </w:pPr>
            <w:r w:rsidRPr="0074470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n-GB"/>
              </w:rPr>
              <w:t>COMMUNITY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74470F" w:rsidRPr="0074470F" w:rsidRDefault="0074470F" w:rsidP="007447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n-GB"/>
              </w:rPr>
            </w:pPr>
            <w:r w:rsidRPr="0074470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n-GB"/>
              </w:rPr>
              <w:t>PORTFOLIO</w:t>
            </w:r>
          </w:p>
        </w:tc>
      </w:tr>
      <w:tr w:rsidR="0074470F" w:rsidRPr="0074470F" w:rsidTr="0074470F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0F" w:rsidRPr="0074470F" w:rsidRDefault="0074470F" w:rsidP="0074470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en-GB"/>
              </w:rPr>
            </w:pPr>
            <w:r w:rsidRPr="0074470F">
              <w:rPr>
                <w:rFonts w:ascii="Calibri" w:eastAsia="Times New Roman" w:hAnsi="Calibri" w:cs="Times New Roman"/>
                <w:sz w:val="16"/>
                <w:szCs w:val="20"/>
                <w:lang w:eastAsia="en-GB"/>
              </w:rPr>
              <w:t>Meter Asset Data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470F" w:rsidRPr="0074470F" w:rsidRDefault="0074470F" w:rsidP="0074470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en-GB"/>
              </w:rPr>
            </w:pPr>
            <w:r w:rsidRPr="0074470F">
              <w:rPr>
                <w:rFonts w:ascii="Calibri" w:eastAsia="Times New Roman" w:hAnsi="Calibri" w:cs="Times New Roman"/>
                <w:sz w:val="16"/>
                <w:szCs w:val="20"/>
                <w:lang w:eastAsia="en-GB"/>
              </w:rPr>
              <w:t>Meter Serial Number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0F" w:rsidRPr="0074470F" w:rsidRDefault="0074470F" w:rsidP="0074470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20"/>
                <w:lang w:eastAsia="en-GB"/>
              </w:rPr>
            </w:pPr>
            <w:r w:rsidRPr="0074470F">
              <w:rPr>
                <w:rFonts w:ascii="Calibri" w:eastAsia="Times New Roman" w:hAnsi="Calibri" w:cs="Times New Roman"/>
                <w:strike/>
                <w:sz w:val="16"/>
                <w:szCs w:val="20"/>
                <w:highlight w:val="lightGray"/>
                <w:lang w:eastAsia="en-GB"/>
              </w:rPr>
              <w:t>No</w:t>
            </w:r>
            <w:r w:rsidRPr="0074470F">
              <w:rPr>
                <w:rFonts w:ascii="Calibri" w:eastAsia="Times New Roman" w:hAnsi="Calibri" w:cs="Times New Roman"/>
                <w:sz w:val="16"/>
                <w:szCs w:val="20"/>
                <w:highlight w:val="lightGray"/>
                <w:lang w:eastAsia="en-GB"/>
              </w:rPr>
              <w:t xml:space="preserve">      YES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0F" w:rsidRPr="0074470F" w:rsidRDefault="0074470F" w:rsidP="0074470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20"/>
                <w:lang w:eastAsia="en-GB"/>
              </w:rPr>
            </w:pPr>
            <w:r w:rsidRPr="0074470F">
              <w:rPr>
                <w:rFonts w:ascii="Calibri" w:eastAsia="Times New Roman" w:hAnsi="Calibri" w:cs="Times New Roman"/>
                <w:strike/>
                <w:sz w:val="16"/>
                <w:szCs w:val="20"/>
                <w:highlight w:val="lightGray"/>
                <w:lang w:eastAsia="en-GB"/>
              </w:rPr>
              <w:t>No</w:t>
            </w:r>
            <w:r w:rsidRPr="0074470F">
              <w:rPr>
                <w:rFonts w:ascii="Calibri" w:eastAsia="Times New Roman" w:hAnsi="Calibri" w:cs="Times New Roman"/>
                <w:sz w:val="16"/>
                <w:szCs w:val="20"/>
                <w:highlight w:val="lightGray"/>
                <w:lang w:eastAsia="en-GB"/>
              </w:rPr>
              <w:t xml:space="preserve">      YES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0F" w:rsidRPr="0074470F" w:rsidRDefault="0074470F" w:rsidP="0074470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20"/>
                <w:lang w:eastAsia="en-GB"/>
              </w:rPr>
            </w:pPr>
            <w:r w:rsidRPr="0074470F">
              <w:rPr>
                <w:rFonts w:ascii="Calibri" w:eastAsia="Times New Roman" w:hAnsi="Calibri" w:cs="Times New Roman"/>
                <w:strike/>
                <w:sz w:val="16"/>
                <w:szCs w:val="20"/>
                <w:highlight w:val="lightGray"/>
                <w:lang w:eastAsia="en-GB"/>
              </w:rPr>
              <w:t>No</w:t>
            </w:r>
            <w:r w:rsidRPr="0074470F">
              <w:rPr>
                <w:rFonts w:ascii="Calibri" w:eastAsia="Times New Roman" w:hAnsi="Calibri" w:cs="Times New Roman"/>
                <w:sz w:val="16"/>
                <w:szCs w:val="20"/>
                <w:highlight w:val="lightGray"/>
                <w:lang w:eastAsia="en-GB"/>
              </w:rPr>
              <w:t xml:space="preserve">      YES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0F" w:rsidRPr="0074470F" w:rsidRDefault="0074470F" w:rsidP="0074470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20"/>
                <w:lang w:eastAsia="en-GB"/>
              </w:rPr>
            </w:pPr>
            <w:r w:rsidRPr="0074470F">
              <w:rPr>
                <w:rFonts w:ascii="Calibri" w:eastAsia="Times New Roman" w:hAnsi="Calibri" w:cs="Times New Roman"/>
                <w:strike/>
                <w:sz w:val="16"/>
                <w:szCs w:val="20"/>
                <w:highlight w:val="lightGray"/>
                <w:lang w:eastAsia="en-GB"/>
              </w:rPr>
              <w:t>No</w:t>
            </w:r>
            <w:r w:rsidRPr="0074470F">
              <w:rPr>
                <w:rFonts w:ascii="Calibri" w:eastAsia="Times New Roman" w:hAnsi="Calibri" w:cs="Times New Roman"/>
                <w:sz w:val="16"/>
                <w:szCs w:val="20"/>
                <w:highlight w:val="lightGray"/>
                <w:lang w:eastAsia="en-GB"/>
              </w:rPr>
              <w:t xml:space="preserve">      YES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0F" w:rsidRPr="0074470F" w:rsidRDefault="0074470F" w:rsidP="0074470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20"/>
                <w:lang w:eastAsia="en-GB"/>
              </w:rPr>
            </w:pPr>
            <w:r w:rsidRPr="0074470F">
              <w:rPr>
                <w:rFonts w:ascii="Calibri" w:eastAsia="Times New Roman" w:hAnsi="Calibri" w:cs="Times New Roman"/>
                <w:strike/>
                <w:sz w:val="16"/>
                <w:szCs w:val="20"/>
                <w:highlight w:val="lightGray"/>
                <w:lang w:eastAsia="en-GB"/>
              </w:rPr>
              <w:t>No</w:t>
            </w:r>
            <w:r w:rsidRPr="0074470F">
              <w:rPr>
                <w:rFonts w:ascii="Calibri" w:eastAsia="Times New Roman" w:hAnsi="Calibri" w:cs="Times New Roman"/>
                <w:sz w:val="16"/>
                <w:szCs w:val="20"/>
                <w:highlight w:val="lightGray"/>
                <w:lang w:eastAsia="en-GB"/>
              </w:rPr>
              <w:t xml:space="preserve">      YES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0F" w:rsidRPr="0074470F" w:rsidRDefault="0074470F" w:rsidP="0074470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20"/>
                <w:lang w:eastAsia="en-GB"/>
              </w:rPr>
            </w:pPr>
            <w:r w:rsidRPr="0074470F">
              <w:rPr>
                <w:rFonts w:ascii="Calibri" w:eastAsia="Times New Roman" w:hAnsi="Calibri" w:cs="Times New Roman"/>
                <w:strike/>
                <w:sz w:val="16"/>
                <w:szCs w:val="20"/>
                <w:highlight w:val="lightGray"/>
                <w:lang w:eastAsia="en-GB"/>
              </w:rPr>
              <w:t>No</w:t>
            </w:r>
            <w:r w:rsidRPr="0074470F">
              <w:rPr>
                <w:rFonts w:ascii="Calibri" w:eastAsia="Times New Roman" w:hAnsi="Calibri" w:cs="Times New Roman"/>
                <w:sz w:val="16"/>
                <w:szCs w:val="20"/>
                <w:highlight w:val="lightGray"/>
                <w:lang w:eastAsia="en-GB"/>
              </w:rPr>
              <w:t xml:space="preserve">      YES</w:t>
            </w:r>
          </w:p>
        </w:tc>
      </w:tr>
    </w:tbl>
    <w:p w:rsidR="00F05C36" w:rsidRDefault="00F05C36" w:rsidP="006554CC">
      <w:pPr>
        <w:rPr>
          <w:rFonts w:ascii="Arial" w:hAnsi="Arial" w:cs="Arial"/>
          <w:sz w:val="20"/>
          <w:szCs w:val="20"/>
        </w:rPr>
      </w:pPr>
    </w:p>
    <w:p w:rsidR="004D0761" w:rsidRDefault="004D0761" w:rsidP="006554CC">
      <w:pPr>
        <w:rPr>
          <w:rFonts w:ascii="Arial" w:hAnsi="Arial" w:cs="Arial"/>
          <w:sz w:val="20"/>
          <w:szCs w:val="20"/>
        </w:rPr>
      </w:pPr>
    </w:p>
    <w:p w:rsidR="00D75F9F" w:rsidRDefault="00D75F9F" w:rsidP="006554CC">
      <w:pPr>
        <w:rPr>
          <w:rFonts w:ascii="Arial" w:hAnsi="Arial" w:cs="Arial"/>
          <w:sz w:val="20"/>
          <w:szCs w:val="20"/>
        </w:rPr>
      </w:pPr>
    </w:p>
    <w:sectPr w:rsidR="00D75F9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5AB" w:rsidRDefault="003615AB" w:rsidP="006554CC">
      <w:pPr>
        <w:spacing w:after="0" w:line="240" w:lineRule="auto"/>
      </w:pPr>
      <w:r>
        <w:separator/>
      </w:r>
    </w:p>
  </w:endnote>
  <w:endnote w:type="continuationSeparator" w:id="0">
    <w:p w:rsidR="003615AB" w:rsidRDefault="003615AB" w:rsidP="00655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5758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568A" w:rsidRDefault="00C056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66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568A" w:rsidRDefault="00C056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5AB" w:rsidRDefault="003615AB" w:rsidP="006554CC">
      <w:pPr>
        <w:spacing w:after="0" w:line="240" w:lineRule="auto"/>
      </w:pPr>
      <w:r>
        <w:separator/>
      </w:r>
    </w:p>
  </w:footnote>
  <w:footnote w:type="continuationSeparator" w:id="0">
    <w:p w:rsidR="003615AB" w:rsidRDefault="003615AB" w:rsidP="00655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726"/>
    <w:multiLevelType w:val="hybridMultilevel"/>
    <w:tmpl w:val="09A66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14C94"/>
    <w:multiLevelType w:val="hybridMultilevel"/>
    <w:tmpl w:val="59B87FC4"/>
    <w:lvl w:ilvl="0" w:tplc="FD3EF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0E5B41"/>
    <w:multiLevelType w:val="hybridMultilevel"/>
    <w:tmpl w:val="CCBCBE52"/>
    <w:lvl w:ilvl="0" w:tplc="FD3EF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730B4B"/>
    <w:multiLevelType w:val="hybridMultilevel"/>
    <w:tmpl w:val="F2F41566"/>
    <w:lvl w:ilvl="0" w:tplc="FD3EF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B43195"/>
    <w:multiLevelType w:val="hybridMultilevel"/>
    <w:tmpl w:val="1A5A42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4500A"/>
    <w:multiLevelType w:val="hybridMultilevel"/>
    <w:tmpl w:val="901E3E6E"/>
    <w:lvl w:ilvl="0" w:tplc="FD3EF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F567CB"/>
    <w:multiLevelType w:val="hybridMultilevel"/>
    <w:tmpl w:val="7D1041FA"/>
    <w:lvl w:ilvl="0" w:tplc="FD3EF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8225E2"/>
    <w:multiLevelType w:val="hybridMultilevel"/>
    <w:tmpl w:val="0FC089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C2E75"/>
    <w:multiLevelType w:val="hybridMultilevel"/>
    <w:tmpl w:val="EC005746"/>
    <w:lvl w:ilvl="0" w:tplc="6FC41D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F296C"/>
    <w:multiLevelType w:val="hybridMultilevel"/>
    <w:tmpl w:val="EF8A34DC"/>
    <w:lvl w:ilvl="0" w:tplc="FD3EF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CC"/>
    <w:rsid w:val="0009106A"/>
    <w:rsid w:val="00095AB3"/>
    <w:rsid w:val="000B06B3"/>
    <w:rsid w:val="000F2250"/>
    <w:rsid w:val="001137F1"/>
    <w:rsid w:val="00125934"/>
    <w:rsid w:val="00130A24"/>
    <w:rsid w:val="001656CF"/>
    <w:rsid w:val="001659B5"/>
    <w:rsid w:val="00175CBE"/>
    <w:rsid w:val="001A416A"/>
    <w:rsid w:val="001C0221"/>
    <w:rsid w:val="0022565D"/>
    <w:rsid w:val="0022736C"/>
    <w:rsid w:val="00287C7F"/>
    <w:rsid w:val="002C3740"/>
    <w:rsid w:val="002F2999"/>
    <w:rsid w:val="00303366"/>
    <w:rsid w:val="003615AB"/>
    <w:rsid w:val="00386F49"/>
    <w:rsid w:val="003C2063"/>
    <w:rsid w:val="003E68CE"/>
    <w:rsid w:val="00406290"/>
    <w:rsid w:val="004122AA"/>
    <w:rsid w:val="004150BC"/>
    <w:rsid w:val="00424491"/>
    <w:rsid w:val="00461456"/>
    <w:rsid w:val="00466BB9"/>
    <w:rsid w:val="0047521F"/>
    <w:rsid w:val="004C25A4"/>
    <w:rsid w:val="004D0761"/>
    <w:rsid w:val="004D31D6"/>
    <w:rsid w:val="004D38B9"/>
    <w:rsid w:val="004E4672"/>
    <w:rsid w:val="004F5F0C"/>
    <w:rsid w:val="00506775"/>
    <w:rsid w:val="00520DA5"/>
    <w:rsid w:val="00535E11"/>
    <w:rsid w:val="00544404"/>
    <w:rsid w:val="005577B7"/>
    <w:rsid w:val="0065179C"/>
    <w:rsid w:val="006554CC"/>
    <w:rsid w:val="00681DAD"/>
    <w:rsid w:val="00684578"/>
    <w:rsid w:val="00692E15"/>
    <w:rsid w:val="00695D26"/>
    <w:rsid w:val="006B7586"/>
    <w:rsid w:val="006F6323"/>
    <w:rsid w:val="00742F66"/>
    <w:rsid w:val="0074470F"/>
    <w:rsid w:val="007507FF"/>
    <w:rsid w:val="0079479C"/>
    <w:rsid w:val="007C226F"/>
    <w:rsid w:val="007D12E0"/>
    <w:rsid w:val="007E248B"/>
    <w:rsid w:val="00803646"/>
    <w:rsid w:val="0082333C"/>
    <w:rsid w:val="00824FC1"/>
    <w:rsid w:val="008602E6"/>
    <w:rsid w:val="00867EC5"/>
    <w:rsid w:val="00881E29"/>
    <w:rsid w:val="00882BB9"/>
    <w:rsid w:val="008D2676"/>
    <w:rsid w:val="00902AD9"/>
    <w:rsid w:val="00927680"/>
    <w:rsid w:val="00942F49"/>
    <w:rsid w:val="00967BD4"/>
    <w:rsid w:val="00967F62"/>
    <w:rsid w:val="009866E5"/>
    <w:rsid w:val="009A2891"/>
    <w:rsid w:val="00A01C4C"/>
    <w:rsid w:val="00A16634"/>
    <w:rsid w:val="00A3616E"/>
    <w:rsid w:val="00AA3616"/>
    <w:rsid w:val="00AC1DC8"/>
    <w:rsid w:val="00AC5B33"/>
    <w:rsid w:val="00AF45C0"/>
    <w:rsid w:val="00AF6AA3"/>
    <w:rsid w:val="00B17177"/>
    <w:rsid w:val="00B20451"/>
    <w:rsid w:val="00B66AEC"/>
    <w:rsid w:val="00BA05CD"/>
    <w:rsid w:val="00BE13AA"/>
    <w:rsid w:val="00C0568A"/>
    <w:rsid w:val="00C32ED2"/>
    <w:rsid w:val="00C36CF8"/>
    <w:rsid w:val="00C566B8"/>
    <w:rsid w:val="00CA1FD2"/>
    <w:rsid w:val="00CE15C5"/>
    <w:rsid w:val="00CE28B4"/>
    <w:rsid w:val="00CF7C18"/>
    <w:rsid w:val="00D226C8"/>
    <w:rsid w:val="00D43297"/>
    <w:rsid w:val="00D75F9F"/>
    <w:rsid w:val="00D93278"/>
    <w:rsid w:val="00DE7769"/>
    <w:rsid w:val="00E37EF7"/>
    <w:rsid w:val="00EC6A36"/>
    <w:rsid w:val="00F05C36"/>
    <w:rsid w:val="00F21540"/>
    <w:rsid w:val="00F57027"/>
    <w:rsid w:val="00FB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4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5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4CC"/>
  </w:style>
  <w:style w:type="paragraph" w:styleId="Footer">
    <w:name w:val="footer"/>
    <w:basedOn w:val="Normal"/>
    <w:link w:val="FooterChar"/>
    <w:uiPriority w:val="99"/>
    <w:unhideWhenUsed/>
    <w:rsid w:val="00655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4CC"/>
  </w:style>
  <w:style w:type="paragraph" w:styleId="BalloonText">
    <w:name w:val="Balloon Text"/>
    <w:basedOn w:val="Normal"/>
    <w:link w:val="BalloonTextChar"/>
    <w:uiPriority w:val="99"/>
    <w:semiHidden/>
    <w:unhideWhenUsed/>
    <w:rsid w:val="000B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6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66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4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5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4CC"/>
  </w:style>
  <w:style w:type="paragraph" w:styleId="Footer">
    <w:name w:val="footer"/>
    <w:basedOn w:val="Normal"/>
    <w:link w:val="FooterChar"/>
    <w:uiPriority w:val="99"/>
    <w:unhideWhenUsed/>
    <w:rsid w:val="00655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4CC"/>
  </w:style>
  <w:style w:type="paragraph" w:styleId="BalloonText">
    <w:name w:val="Balloon Text"/>
    <w:basedOn w:val="Normal"/>
    <w:link w:val="BalloonTextChar"/>
    <w:uiPriority w:val="99"/>
    <w:semiHidden/>
    <w:unhideWhenUsed/>
    <w:rsid w:val="000B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6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66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2221</TotalTime>
  <Pages>9</Pages>
  <Words>2691</Words>
  <Characters>15345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18001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Harris</dc:creator>
  <cp:lastModifiedBy>Simon Harris</cp:lastModifiedBy>
  <cp:revision>22</cp:revision>
  <cp:lastPrinted>2019-01-09T09:22:00Z</cp:lastPrinted>
  <dcterms:created xsi:type="dcterms:W3CDTF">2019-01-29T10:21:00Z</dcterms:created>
  <dcterms:modified xsi:type="dcterms:W3CDTF">2019-05-20T09:04:00Z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2016711690</vt:i4>
  </property>
  <property fmtid="{D5CDD505-2E9C-101B-9397-08002B2CF9AE}" pid="3" name="_NewReviewCycle">
    <vt:lpwstr/>
  </property>
  <property fmtid="{D5CDD505-2E9C-101B-9397-08002B2CF9AE}" pid="4" name="_EmailSubject">
    <vt:lpwstr>DRR for CoMC - URGENT ACTION</vt:lpwstr>
  </property>
  <property fmtid="{D5CDD505-2E9C-101B-9397-08002B2CF9AE}" pid="5" name="_AuthorEmail">
    <vt:lpwstr>Simon.Harris@xoserve.com</vt:lpwstr>
  </property>
  <property fmtid="{D5CDD505-2E9C-101B-9397-08002B2CF9AE}" pid="6" name="_AuthorEmailDisplayName">
    <vt:lpwstr>Harris, Simon</vt:lpwstr>
  </property>
</Properties>
</file>