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CC" w:rsidRPr="00130A24" w:rsidRDefault="006554CC" w:rsidP="006554CC">
      <w:pPr>
        <w:jc w:val="center"/>
        <w:rPr>
          <w:rFonts w:ascii="Arial" w:hAnsi="Arial" w:cs="Arial"/>
          <w:b/>
          <w:sz w:val="32"/>
          <w:szCs w:val="20"/>
        </w:rPr>
      </w:pPr>
      <w:r w:rsidRPr="00130A24">
        <w:rPr>
          <w:rFonts w:ascii="Arial" w:hAnsi="Arial" w:cs="Arial"/>
          <w:b/>
          <w:sz w:val="32"/>
          <w:szCs w:val="20"/>
        </w:rPr>
        <w:t>Disclosure Request Report</w:t>
      </w:r>
    </w:p>
    <w:p w:rsidR="00FB5B6D" w:rsidRPr="00CF7C18" w:rsidRDefault="000B06B3" w:rsidP="006554CC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Extending API services to Shippers </w:t>
      </w:r>
      <w:r w:rsidR="00A16634">
        <w:rPr>
          <w:rFonts w:ascii="Arial" w:hAnsi="Arial" w:cs="Arial"/>
          <w:b/>
          <w:sz w:val="24"/>
          <w:szCs w:val="20"/>
        </w:rPr>
        <w:t>(incumbent and pr</w:t>
      </w:r>
      <w:r w:rsidR="00DE7769">
        <w:rPr>
          <w:rFonts w:ascii="Arial" w:hAnsi="Arial" w:cs="Arial"/>
          <w:b/>
          <w:sz w:val="24"/>
          <w:szCs w:val="20"/>
        </w:rPr>
        <w:t>oposing</w:t>
      </w:r>
      <w:r w:rsidR="00A16634">
        <w:rPr>
          <w:rFonts w:ascii="Arial" w:hAnsi="Arial" w:cs="Arial"/>
          <w:b/>
          <w:sz w:val="24"/>
          <w:szCs w:val="20"/>
        </w:rPr>
        <w:t>)</w:t>
      </w:r>
    </w:p>
    <w:p w:rsidR="006554CC" w:rsidRPr="00E37EF7" w:rsidRDefault="006554CC" w:rsidP="006554C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1940"/>
        <w:gridCol w:w="6095"/>
      </w:tblGrid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6554CC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>Simon Harris</w:t>
            </w:r>
            <w:r w:rsidR="00A16634">
              <w:rPr>
                <w:rFonts w:ascii="Arial" w:hAnsi="Arial" w:cs="Arial"/>
                <w:sz w:val="20"/>
                <w:szCs w:val="20"/>
              </w:rPr>
              <w:t xml:space="preserve"> on behalf of XRN 3667a raised by Npower</w:t>
            </w: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Submitted for: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6554CC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Decision details: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79479C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 xml:space="preserve">CoMC is requested approve this request to </w:t>
            </w:r>
            <w:r w:rsidR="0079479C">
              <w:rPr>
                <w:rFonts w:ascii="Arial" w:hAnsi="Arial" w:cs="Arial"/>
                <w:sz w:val="20"/>
                <w:szCs w:val="20"/>
              </w:rPr>
              <w:t xml:space="preserve">add three new data items to the Data Permission Matrix and permit Shipper API access to </w:t>
            </w:r>
            <w:bookmarkStart w:id="0" w:name="_GoBack"/>
            <w:bookmarkEnd w:id="0"/>
            <w:r w:rsidR="0079479C">
              <w:rPr>
                <w:rFonts w:ascii="Arial" w:hAnsi="Arial" w:cs="Arial"/>
                <w:sz w:val="20"/>
                <w:szCs w:val="20"/>
              </w:rPr>
              <w:t>data.</w:t>
            </w: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095" w:type="dxa"/>
            <w:vAlign w:val="center"/>
          </w:tcPr>
          <w:p w:rsidR="006554CC" w:rsidRPr="00E37EF7" w:rsidRDefault="00CE15C5" w:rsidP="0065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E15C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2019</w:t>
            </w:r>
          </w:p>
        </w:tc>
      </w:tr>
    </w:tbl>
    <w:p w:rsidR="00E37EF7" w:rsidRPr="00E37EF7" w:rsidRDefault="00E37EF7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Introduction and background</w:t>
      </w:r>
    </w:p>
    <w:p w:rsidR="00A16634" w:rsidRDefault="00A16634" w:rsidP="006554CC">
      <w:pPr>
        <w:rPr>
          <w:rFonts w:ascii="Arial" w:hAnsi="Arial" w:cs="Arial"/>
          <w:sz w:val="20"/>
          <w:szCs w:val="20"/>
        </w:rPr>
      </w:pPr>
      <w:r w:rsidRPr="00A16634">
        <w:rPr>
          <w:rFonts w:ascii="Arial" w:hAnsi="Arial" w:cs="Arial"/>
          <w:sz w:val="20"/>
          <w:szCs w:val="20"/>
        </w:rPr>
        <w:t xml:space="preserve">XRN 3667a </w:t>
      </w:r>
      <w:r w:rsidRPr="00A16634">
        <w:rPr>
          <w:rFonts w:ascii="Arial" w:hAnsi="Arial" w:cs="Arial"/>
          <w:sz w:val="20"/>
          <w:szCs w:val="20"/>
        </w:rPr>
        <w:t>Provision of Formula Year AQ/SOQ to Proposing Users</w:t>
      </w:r>
      <w:r w:rsidRPr="00A166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raised by Npower, </w:t>
      </w:r>
      <w:hyperlink r:id="rId8" w:history="1">
        <w:r w:rsidRPr="009C6D54">
          <w:rPr>
            <w:rStyle w:val="Hyperlink"/>
            <w:rFonts w:ascii="Arial" w:hAnsi="Arial" w:cs="Arial"/>
            <w:sz w:val="20"/>
            <w:szCs w:val="20"/>
          </w:rPr>
          <w:t>https://gasgov-mst-files.s3.eu-west-1.amazonaws.com/s3fs-public/ggf/book/2018-12/V6%20XRN3667a%20Provision%20of%20Formula%20Year%20AQ%20SOQ%20to%20Proposing%20Users_0.docx</w:t>
        </w:r>
      </w:hyperlink>
      <w:r>
        <w:rPr>
          <w:rFonts w:ascii="Arial" w:hAnsi="Arial" w:cs="Arial"/>
          <w:sz w:val="20"/>
          <w:szCs w:val="20"/>
        </w:rPr>
        <w:t xml:space="preserve"> sets out a requirement:</w:t>
      </w:r>
    </w:p>
    <w:p w:rsidR="00A16634" w:rsidRPr="00683A0C" w:rsidRDefault="00A16634" w:rsidP="00A16634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16"/>
        </w:rPr>
        <w:t>To make the prospective Formula Year AQ/SOQ information available to a Proposing User.  At present the value is set based on the Rolling AQ/SOQ value as at 1</w:t>
      </w:r>
      <w:r w:rsidRPr="00847B9F">
        <w:rPr>
          <w:rFonts w:ascii="Arial" w:hAnsi="Arial" w:cs="Arial"/>
          <w:sz w:val="20"/>
          <w:szCs w:val="16"/>
          <w:vertAlign w:val="superscript"/>
        </w:rPr>
        <w:t>st</w:t>
      </w:r>
      <w:r>
        <w:rPr>
          <w:rFonts w:ascii="Arial" w:hAnsi="Arial" w:cs="Arial"/>
          <w:sz w:val="20"/>
          <w:szCs w:val="16"/>
        </w:rPr>
        <w:t xml:space="preserve"> December each year and becomes effective on the 1</w:t>
      </w:r>
      <w:r w:rsidRPr="00847B9F">
        <w:rPr>
          <w:rFonts w:ascii="Arial" w:hAnsi="Arial" w:cs="Arial"/>
          <w:sz w:val="20"/>
          <w:szCs w:val="16"/>
          <w:vertAlign w:val="superscript"/>
        </w:rPr>
        <w:t>st</w:t>
      </w:r>
      <w:r>
        <w:rPr>
          <w:rFonts w:ascii="Arial" w:hAnsi="Arial" w:cs="Arial"/>
          <w:sz w:val="20"/>
          <w:szCs w:val="16"/>
        </w:rPr>
        <w:t xml:space="preserve"> April each year. At present, unless you are the Registered User on 1</w:t>
      </w:r>
      <w:r w:rsidRPr="00847B9F">
        <w:rPr>
          <w:rFonts w:ascii="Arial" w:hAnsi="Arial" w:cs="Arial"/>
          <w:sz w:val="20"/>
          <w:szCs w:val="16"/>
          <w:vertAlign w:val="superscript"/>
        </w:rPr>
        <w:t>st</w:t>
      </w:r>
      <w:r>
        <w:rPr>
          <w:rFonts w:ascii="Arial" w:hAnsi="Arial" w:cs="Arial"/>
          <w:sz w:val="20"/>
          <w:szCs w:val="16"/>
        </w:rPr>
        <w:t xml:space="preserve"> December or during December you will not know what the prospective formula year values will be.  The information is required to quote customers.</w:t>
      </w:r>
      <w:r>
        <w:rPr>
          <w:rFonts w:ascii="Arial" w:hAnsi="Arial" w:cs="Arial"/>
          <w:sz w:val="20"/>
          <w:szCs w:val="16"/>
        </w:rPr>
        <w:t>”</w:t>
      </w:r>
    </w:p>
    <w:p w:rsidR="00A16634" w:rsidRDefault="00A16634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development and consultation of XRN 3667a the industry has concluded: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6440"/>
      </w:tblGrid>
      <w:tr w:rsidR="00A16634" w:rsidRPr="00683A0C" w:rsidTr="0081511C">
        <w:tc>
          <w:tcPr>
            <w:tcW w:w="1516" w:type="pct"/>
            <w:tcBorders>
              <w:bottom w:val="single" w:sz="4" w:space="0" w:color="auto"/>
            </w:tcBorders>
          </w:tcPr>
          <w:p w:rsidR="00A16634" w:rsidRPr="00683A0C" w:rsidRDefault="00A16634" w:rsidP="0081511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DSG Recommended Release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A16634" w:rsidRDefault="00A16634" w:rsidP="0081511C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Adhoc </w:t>
            </w:r>
            <w:r>
              <w:rPr>
                <w:rFonts w:ascii="Arial" w:hAnsi="Arial" w:cs="Arial"/>
                <w:sz w:val="20"/>
                <w:szCs w:val="16"/>
              </w:rPr>
              <w:t>Nov 2018</w:t>
            </w:r>
          </w:p>
          <w:p w:rsidR="00A16634" w:rsidRPr="00683A0C" w:rsidRDefault="00A16634" w:rsidP="0081511C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If an API solution could be considered for a release outside of a major release as ideally required for December 2018 – consideration to a workaround for December 2018 to April 2019 if required to delivered in a major release</w:t>
            </w:r>
          </w:p>
        </w:tc>
      </w:tr>
    </w:tbl>
    <w:p w:rsidR="00A16634" w:rsidRDefault="00A16634" w:rsidP="006554CC">
      <w:pPr>
        <w:rPr>
          <w:rFonts w:ascii="Arial" w:hAnsi="Arial" w:cs="Arial"/>
          <w:sz w:val="20"/>
          <w:szCs w:val="20"/>
        </w:rPr>
      </w:pPr>
    </w:p>
    <w:p w:rsidR="00A16634" w:rsidRDefault="00A16634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XRN 3667a </w:t>
      </w:r>
      <w:r w:rsidR="0082333C">
        <w:rPr>
          <w:rFonts w:ascii="Arial" w:hAnsi="Arial" w:cs="Arial"/>
          <w:sz w:val="20"/>
          <w:szCs w:val="20"/>
        </w:rPr>
        <w:t xml:space="preserve">requires </w:t>
      </w:r>
      <w:r>
        <w:rPr>
          <w:rFonts w:ascii="Arial" w:hAnsi="Arial" w:cs="Arial"/>
          <w:sz w:val="20"/>
          <w:szCs w:val="20"/>
        </w:rPr>
        <w:t>three data items to be added to the Data Permission Matrix, these are:</w:t>
      </w:r>
    </w:p>
    <w:p w:rsidR="00A16634" w:rsidRDefault="009A2891" w:rsidP="009A289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</w:t>
      </w:r>
      <w:r w:rsidRPr="009A2891">
        <w:rPr>
          <w:rFonts w:ascii="Arial" w:hAnsi="Arial" w:cs="Arial"/>
          <w:sz w:val="20"/>
          <w:szCs w:val="20"/>
        </w:rPr>
        <w:t>spective Formula Year AQ  Value</w:t>
      </w:r>
    </w:p>
    <w:p w:rsidR="009A2891" w:rsidRDefault="009A2891" w:rsidP="009A289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Prospective Formula Year SO</w:t>
      </w:r>
      <w:r w:rsidRPr="00E37EF7">
        <w:rPr>
          <w:rFonts w:ascii="Arial" w:hAnsi="Arial" w:cs="Arial"/>
          <w:sz w:val="20"/>
          <w:szCs w:val="20"/>
        </w:rPr>
        <w:t>Q  Value</w:t>
      </w:r>
    </w:p>
    <w:p w:rsidR="009A2891" w:rsidRDefault="009A2891" w:rsidP="009A289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</w:t>
      </w:r>
      <w:r w:rsidRPr="00E37EF7">
        <w:rPr>
          <w:rFonts w:ascii="Arial" w:hAnsi="Arial" w:cs="Arial"/>
          <w:sz w:val="20"/>
          <w:szCs w:val="20"/>
        </w:rPr>
        <w:t>spective Formula Year Effective Date</w:t>
      </w:r>
    </w:p>
    <w:p w:rsidR="006554CC" w:rsidRDefault="009A2891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development of </w:t>
      </w:r>
      <w:r w:rsidR="00C566B8">
        <w:rPr>
          <w:rFonts w:ascii="Arial" w:hAnsi="Arial" w:cs="Arial"/>
          <w:sz w:val="20"/>
          <w:szCs w:val="20"/>
        </w:rPr>
        <w:t xml:space="preserve">XRN3667a </w:t>
      </w:r>
      <w:r w:rsidR="00303366">
        <w:rPr>
          <w:rFonts w:ascii="Arial" w:hAnsi="Arial" w:cs="Arial"/>
          <w:sz w:val="20"/>
          <w:szCs w:val="20"/>
        </w:rPr>
        <w:t xml:space="preserve">Shippers </w:t>
      </w:r>
      <w:r>
        <w:rPr>
          <w:rFonts w:ascii="Arial" w:hAnsi="Arial" w:cs="Arial"/>
          <w:sz w:val="20"/>
          <w:szCs w:val="20"/>
        </w:rPr>
        <w:t xml:space="preserve">consider the provision of these data items will make </w:t>
      </w:r>
      <w:r w:rsidR="00AA3616" w:rsidRPr="00AA3616">
        <w:rPr>
          <w:rFonts w:ascii="Arial" w:hAnsi="Arial" w:cs="Arial"/>
          <w:sz w:val="20"/>
          <w:szCs w:val="20"/>
        </w:rPr>
        <w:t>the switching process faster and more reliable</w:t>
      </w:r>
      <w:r>
        <w:rPr>
          <w:rFonts w:ascii="Arial" w:hAnsi="Arial" w:cs="Arial"/>
          <w:sz w:val="20"/>
          <w:szCs w:val="20"/>
        </w:rPr>
        <w:t xml:space="preserve"> during this period when these data items are not visible to </w:t>
      </w:r>
      <w:r w:rsidR="00DE7769">
        <w:rPr>
          <w:rFonts w:ascii="Arial" w:hAnsi="Arial" w:cs="Arial"/>
          <w:sz w:val="20"/>
          <w:szCs w:val="20"/>
        </w:rPr>
        <w:t>Proposing</w:t>
      </w:r>
      <w:r>
        <w:rPr>
          <w:rFonts w:ascii="Arial" w:hAnsi="Arial" w:cs="Arial"/>
          <w:sz w:val="20"/>
          <w:szCs w:val="20"/>
        </w:rPr>
        <w:t xml:space="preserve"> Shippers</w:t>
      </w:r>
      <w:r w:rsidR="00AA3616">
        <w:rPr>
          <w:rFonts w:ascii="Arial" w:hAnsi="Arial" w:cs="Arial"/>
          <w:sz w:val="20"/>
          <w:szCs w:val="20"/>
        </w:rPr>
        <w:t>.</w:t>
      </w:r>
    </w:p>
    <w:p w:rsidR="009A2891" w:rsidRDefault="009A2891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development of the </w:t>
      </w:r>
      <w:r w:rsidR="004D31D6" w:rsidRPr="0022736C">
        <w:rPr>
          <w:rFonts w:ascii="Arial" w:hAnsi="Arial" w:cs="Arial"/>
          <w:sz w:val="20"/>
          <w:szCs w:val="20"/>
        </w:rPr>
        <w:t>Applica</w:t>
      </w:r>
      <w:r w:rsidR="004D31D6">
        <w:rPr>
          <w:rFonts w:ascii="Arial" w:hAnsi="Arial" w:cs="Arial"/>
          <w:sz w:val="20"/>
          <w:szCs w:val="20"/>
        </w:rPr>
        <w:t>tion Programme Interface (API)</w:t>
      </w:r>
      <w:r>
        <w:rPr>
          <w:rFonts w:ascii="Arial" w:hAnsi="Arial" w:cs="Arial"/>
          <w:sz w:val="20"/>
          <w:szCs w:val="20"/>
        </w:rPr>
        <w:t xml:space="preserve"> service to provide the three values required creates an opportunity to make further data items available to Shippers (incumbent and </w:t>
      </w:r>
      <w:r w:rsidR="00DE7769">
        <w:rPr>
          <w:rFonts w:ascii="Arial" w:hAnsi="Arial" w:cs="Arial"/>
          <w:sz w:val="20"/>
          <w:szCs w:val="20"/>
        </w:rPr>
        <w:t>proposing</w:t>
      </w:r>
      <w:r>
        <w:rPr>
          <w:rFonts w:ascii="Arial" w:hAnsi="Arial" w:cs="Arial"/>
          <w:sz w:val="20"/>
          <w:szCs w:val="20"/>
        </w:rPr>
        <w:t xml:space="preserve">) via API at </w:t>
      </w:r>
      <w:r w:rsidR="004D31D6">
        <w:rPr>
          <w:rFonts w:ascii="Arial" w:hAnsi="Arial" w:cs="Arial"/>
          <w:sz w:val="20"/>
          <w:szCs w:val="20"/>
        </w:rPr>
        <w:t>marginal</w:t>
      </w:r>
      <w:r>
        <w:rPr>
          <w:rFonts w:ascii="Arial" w:hAnsi="Arial" w:cs="Arial"/>
          <w:sz w:val="20"/>
          <w:szCs w:val="20"/>
        </w:rPr>
        <w:t xml:space="preserve"> cost</w:t>
      </w:r>
      <w:r w:rsidR="0082333C">
        <w:rPr>
          <w:rFonts w:ascii="Arial" w:hAnsi="Arial" w:cs="Arial"/>
          <w:sz w:val="20"/>
          <w:szCs w:val="20"/>
        </w:rPr>
        <w:t>. The API services are being developed under XRN 3667a</w:t>
      </w:r>
      <w:r>
        <w:rPr>
          <w:rFonts w:ascii="Arial" w:hAnsi="Arial" w:cs="Arial"/>
          <w:sz w:val="20"/>
          <w:szCs w:val="20"/>
        </w:rPr>
        <w:t>.</w:t>
      </w:r>
    </w:p>
    <w:p w:rsidR="009A2891" w:rsidRDefault="009A2891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amendments to the Data Permission Matrix are therefore:</w:t>
      </w:r>
    </w:p>
    <w:p w:rsidR="009A2891" w:rsidRDefault="009A2891" w:rsidP="009A28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addition of three data items to be accessible by incumbent and </w:t>
      </w:r>
      <w:r w:rsidR="00DE7769">
        <w:rPr>
          <w:rFonts w:ascii="Arial" w:hAnsi="Arial" w:cs="Arial"/>
          <w:sz w:val="20"/>
          <w:szCs w:val="20"/>
        </w:rPr>
        <w:t xml:space="preserve">proposing </w:t>
      </w:r>
      <w:r>
        <w:rPr>
          <w:rFonts w:ascii="Arial" w:hAnsi="Arial" w:cs="Arial"/>
          <w:sz w:val="20"/>
          <w:szCs w:val="20"/>
        </w:rPr>
        <w:t>Shippers</w:t>
      </w:r>
    </w:p>
    <w:p w:rsidR="009A2891" w:rsidRDefault="0082333C" w:rsidP="009A28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permission to provide DES view (portfolio and community) data items via API services.</w:t>
      </w:r>
    </w:p>
    <w:p w:rsidR="00DE7769" w:rsidRDefault="00DE7769" w:rsidP="00DE7769">
      <w:pPr>
        <w:pStyle w:val="ListParagraph"/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Data items</w:t>
      </w:r>
    </w:p>
    <w:p w:rsidR="0082333C" w:rsidRDefault="00CA1FD2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Shippers already have access to data via DES both in a Community and Portfolio view</w:t>
      </w:r>
      <w:r w:rsidR="00AC5B33">
        <w:rPr>
          <w:rFonts w:ascii="Arial" w:hAnsi="Arial" w:cs="Arial"/>
          <w:sz w:val="20"/>
          <w:szCs w:val="20"/>
        </w:rPr>
        <w:t xml:space="preserve"> for </w:t>
      </w:r>
      <w:r w:rsidR="0082333C">
        <w:rPr>
          <w:rFonts w:ascii="Arial" w:hAnsi="Arial" w:cs="Arial"/>
          <w:sz w:val="20"/>
          <w:szCs w:val="20"/>
        </w:rPr>
        <w:t>a range of data items</w:t>
      </w:r>
      <w:r>
        <w:rPr>
          <w:rFonts w:ascii="Arial" w:hAnsi="Arial" w:cs="Arial"/>
          <w:sz w:val="20"/>
          <w:szCs w:val="20"/>
        </w:rPr>
        <w:t xml:space="preserve">.  This DRR is </w:t>
      </w:r>
      <w:r w:rsidR="0082333C">
        <w:rPr>
          <w:rFonts w:ascii="Arial" w:hAnsi="Arial" w:cs="Arial"/>
          <w:sz w:val="20"/>
          <w:szCs w:val="20"/>
        </w:rPr>
        <w:t>proposing</w:t>
      </w:r>
      <w:r>
        <w:rPr>
          <w:rFonts w:ascii="Arial" w:hAnsi="Arial" w:cs="Arial"/>
          <w:sz w:val="20"/>
          <w:szCs w:val="20"/>
        </w:rPr>
        <w:t xml:space="preserve"> to</w:t>
      </w:r>
      <w:r w:rsidR="0082333C">
        <w:rPr>
          <w:rFonts w:ascii="Arial" w:hAnsi="Arial" w:cs="Arial"/>
          <w:sz w:val="20"/>
          <w:szCs w:val="20"/>
        </w:rPr>
        <w:t>:</w:t>
      </w:r>
    </w:p>
    <w:p w:rsidR="0082333C" w:rsidRDefault="00CA1FD2" w:rsidP="008233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82333C">
        <w:rPr>
          <w:rFonts w:ascii="Arial" w:hAnsi="Arial" w:cs="Arial"/>
          <w:sz w:val="20"/>
          <w:szCs w:val="20"/>
        </w:rPr>
        <w:t>I</w:t>
      </w:r>
      <w:r w:rsidR="0082333C">
        <w:rPr>
          <w:rFonts w:ascii="Arial" w:hAnsi="Arial" w:cs="Arial"/>
          <w:sz w:val="20"/>
          <w:szCs w:val="20"/>
        </w:rPr>
        <w:t xml:space="preserve">ntroduce 3 new data items </w:t>
      </w:r>
      <w:r w:rsidR="0082333C">
        <w:rPr>
          <w:rFonts w:ascii="Arial" w:hAnsi="Arial" w:cs="Arial"/>
          <w:sz w:val="20"/>
          <w:szCs w:val="20"/>
        </w:rPr>
        <w:t>to the Data Permissions Matrix (see table below)</w:t>
      </w:r>
    </w:p>
    <w:p w:rsidR="0082333C" w:rsidRDefault="00CA1FD2" w:rsidP="008233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82333C">
        <w:rPr>
          <w:rFonts w:ascii="Arial" w:hAnsi="Arial" w:cs="Arial"/>
          <w:sz w:val="20"/>
          <w:szCs w:val="20"/>
        </w:rPr>
        <w:t>E</w:t>
      </w:r>
      <w:r w:rsidR="0082333C">
        <w:rPr>
          <w:rFonts w:ascii="Arial" w:hAnsi="Arial" w:cs="Arial"/>
          <w:sz w:val="20"/>
          <w:szCs w:val="20"/>
        </w:rPr>
        <w:t>xtend existing</w:t>
      </w:r>
      <w:r w:rsidR="0082333C">
        <w:rPr>
          <w:rFonts w:ascii="Arial" w:hAnsi="Arial" w:cs="Arial"/>
          <w:sz w:val="20"/>
          <w:szCs w:val="20"/>
        </w:rPr>
        <w:t xml:space="preserve"> DES</w:t>
      </w:r>
      <w:r w:rsidR="0082333C">
        <w:rPr>
          <w:rFonts w:ascii="Arial" w:hAnsi="Arial" w:cs="Arial"/>
          <w:sz w:val="20"/>
          <w:szCs w:val="20"/>
        </w:rPr>
        <w:t xml:space="preserve"> data items to be </w:t>
      </w:r>
      <w:r w:rsidR="0082333C">
        <w:rPr>
          <w:rFonts w:ascii="Arial" w:hAnsi="Arial" w:cs="Arial"/>
          <w:sz w:val="20"/>
          <w:szCs w:val="20"/>
        </w:rPr>
        <w:t>provided</w:t>
      </w:r>
      <w:r w:rsidR="0082333C">
        <w:rPr>
          <w:rFonts w:ascii="Arial" w:hAnsi="Arial" w:cs="Arial"/>
          <w:sz w:val="20"/>
          <w:szCs w:val="20"/>
        </w:rPr>
        <w:t xml:space="preserve"> via API for Shippers</w:t>
      </w:r>
      <w:r w:rsidR="0082333C">
        <w:rPr>
          <w:rFonts w:ascii="Arial" w:hAnsi="Arial" w:cs="Arial"/>
          <w:sz w:val="20"/>
          <w:szCs w:val="20"/>
        </w:rPr>
        <w:t xml:space="preserve"> (see Appendix 1)</w:t>
      </w:r>
      <w:r w:rsidR="0082333C">
        <w:rPr>
          <w:rFonts w:ascii="Arial" w:hAnsi="Arial" w:cs="Arial"/>
          <w:sz w:val="20"/>
          <w:szCs w:val="20"/>
        </w:rPr>
        <w:t xml:space="preserve"> </w:t>
      </w:r>
    </w:p>
    <w:p w:rsidR="0082333C" w:rsidRPr="00E37EF7" w:rsidRDefault="0082333C" w:rsidP="006554C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2518"/>
        <w:gridCol w:w="2268"/>
        <w:gridCol w:w="4678"/>
      </w:tblGrid>
      <w:tr w:rsidR="002F2999" w:rsidRPr="00E37EF7" w:rsidTr="00DE7769">
        <w:trPr>
          <w:tblHeader/>
          <w:jc w:val="center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:rsidR="002F2999" w:rsidRPr="00E37EF7" w:rsidRDefault="002F2999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API Data Item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:rsidR="002F2999" w:rsidRPr="00E37EF7" w:rsidRDefault="002F2999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DPM Data Item</w:t>
            </w:r>
          </w:p>
        </w:tc>
        <w:tc>
          <w:tcPr>
            <w:tcW w:w="4678" w:type="dxa"/>
            <w:shd w:val="clear" w:color="auto" w:fill="95B3D7" w:themeFill="accent1" w:themeFillTint="99"/>
            <w:vAlign w:val="center"/>
          </w:tcPr>
          <w:p w:rsidR="002F2999" w:rsidRPr="00E37EF7" w:rsidRDefault="002F2999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</w:tr>
      <w:tr w:rsidR="004E4672" w:rsidRPr="00E37EF7" w:rsidTr="00DE7769">
        <w:trPr>
          <w:jc w:val="center"/>
        </w:trPr>
        <w:tc>
          <w:tcPr>
            <w:tcW w:w="2518" w:type="dxa"/>
            <w:vAlign w:val="center"/>
          </w:tcPr>
          <w:p w:rsidR="004E4672" w:rsidRPr="00E37EF7" w:rsidRDefault="0082333C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4E4672" w:rsidRPr="00E37EF7">
              <w:rPr>
                <w:rFonts w:ascii="Arial" w:hAnsi="Arial" w:cs="Arial"/>
                <w:sz w:val="20"/>
                <w:szCs w:val="20"/>
              </w:rPr>
              <w:t>spective Formula Year AQ  Value</w:t>
            </w:r>
          </w:p>
        </w:tc>
        <w:tc>
          <w:tcPr>
            <w:tcW w:w="2268" w:type="dxa"/>
            <w:vAlign w:val="center"/>
          </w:tcPr>
          <w:p w:rsidR="004E4672" w:rsidRPr="00E37EF7" w:rsidRDefault="0082333C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4E4672">
              <w:rPr>
                <w:rFonts w:ascii="Arial" w:hAnsi="Arial" w:cs="Arial"/>
                <w:sz w:val="20"/>
                <w:szCs w:val="20"/>
              </w:rPr>
              <w:t xml:space="preserve">spective </w:t>
            </w:r>
            <w:r w:rsidR="004E4672" w:rsidRPr="00E37EF7">
              <w:rPr>
                <w:rFonts w:ascii="Arial" w:hAnsi="Arial" w:cs="Arial"/>
                <w:sz w:val="20"/>
                <w:szCs w:val="20"/>
              </w:rPr>
              <w:t>SMP SOQ</w:t>
            </w:r>
          </w:p>
        </w:tc>
        <w:tc>
          <w:tcPr>
            <w:tcW w:w="4678" w:type="dxa"/>
            <w:vAlign w:val="center"/>
          </w:tcPr>
          <w:p w:rsidR="004E4672" w:rsidRPr="00E37EF7" w:rsidRDefault="00AA3616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CF7C18">
              <w:rPr>
                <w:rFonts w:ascii="Arial" w:hAnsi="Arial" w:cs="Arial"/>
                <w:sz w:val="20"/>
                <w:szCs w:val="20"/>
              </w:rPr>
              <w:t>Required to pr</w:t>
            </w:r>
            <w:r>
              <w:rPr>
                <w:rFonts w:ascii="Arial" w:hAnsi="Arial" w:cs="Arial"/>
                <w:sz w:val="20"/>
                <w:szCs w:val="20"/>
              </w:rPr>
              <w:t>ovide quotation services as the</w:t>
            </w:r>
            <w:r w:rsidRPr="00CF7C18">
              <w:rPr>
                <w:rFonts w:ascii="Arial" w:hAnsi="Arial" w:cs="Arial"/>
                <w:sz w:val="20"/>
                <w:szCs w:val="20"/>
              </w:rPr>
              <w:t xml:space="preserve"> Shipper will be charged </w:t>
            </w:r>
            <w:r>
              <w:rPr>
                <w:rFonts w:ascii="Arial" w:hAnsi="Arial" w:cs="Arial"/>
                <w:sz w:val="20"/>
                <w:szCs w:val="20"/>
              </w:rPr>
              <w:t xml:space="preserve">based </w:t>
            </w:r>
            <w:r w:rsidRPr="00CF7C18">
              <w:rPr>
                <w:rFonts w:ascii="Arial" w:hAnsi="Arial" w:cs="Arial"/>
                <w:sz w:val="20"/>
                <w:szCs w:val="20"/>
              </w:rPr>
              <w:t xml:space="preserve">on this data item, so ensures </w:t>
            </w:r>
            <w:r>
              <w:rPr>
                <w:rFonts w:ascii="Arial" w:hAnsi="Arial" w:cs="Arial"/>
                <w:sz w:val="20"/>
                <w:szCs w:val="20"/>
              </w:rPr>
              <w:t>Shippers/Suppliers can</w:t>
            </w:r>
            <w:r w:rsidRPr="00CF7C18">
              <w:rPr>
                <w:rFonts w:ascii="Arial" w:hAnsi="Arial" w:cs="Arial"/>
                <w:sz w:val="20"/>
                <w:szCs w:val="20"/>
              </w:rPr>
              <w:t xml:space="preserve"> quote consumer</w:t>
            </w:r>
            <w:r>
              <w:rPr>
                <w:rFonts w:ascii="Arial" w:hAnsi="Arial" w:cs="Arial"/>
                <w:sz w:val="20"/>
                <w:szCs w:val="20"/>
              </w:rPr>
              <w:t>s more accurately and project the</w:t>
            </w:r>
            <w:r w:rsidRPr="00CF7C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expected transportation charges.</w:t>
            </w:r>
          </w:p>
        </w:tc>
      </w:tr>
      <w:tr w:rsidR="004E4672" w:rsidRPr="00E37EF7" w:rsidTr="00DE7769">
        <w:trPr>
          <w:jc w:val="center"/>
        </w:trPr>
        <w:tc>
          <w:tcPr>
            <w:tcW w:w="2518" w:type="dxa"/>
            <w:vAlign w:val="center"/>
          </w:tcPr>
          <w:p w:rsidR="004E4672" w:rsidRPr="00E37EF7" w:rsidRDefault="0082333C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4E4672" w:rsidRPr="00E37EF7">
              <w:rPr>
                <w:rFonts w:ascii="Arial" w:hAnsi="Arial" w:cs="Arial"/>
                <w:sz w:val="20"/>
                <w:szCs w:val="20"/>
              </w:rPr>
              <w:t>spective Formula Year SOQ Value</w:t>
            </w:r>
          </w:p>
        </w:tc>
        <w:tc>
          <w:tcPr>
            <w:tcW w:w="2268" w:type="dxa"/>
            <w:vAlign w:val="center"/>
          </w:tcPr>
          <w:p w:rsidR="004E4672" w:rsidRPr="00E37EF7" w:rsidRDefault="0082333C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4E4672">
              <w:rPr>
                <w:rFonts w:ascii="Arial" w:hAnsi="Arial" w:cs="Arial"/>
                <w:sz w:val="20"/>
                <w:szCs w:val="20"/>
              </w:rPr>
              <w:t>spective</w:t>
            </w:r>
            <w:r w:rsidR="004E4672" w:rsidRPr="00E37EF7">
              <w:rPr>
                <w:rFonts w:ascii="Arial" w:hAnsi="Arial" w:cs="Arial"/>
                <w:sz w:val="20"/>
                <w:szCs w:val="20"/>
              </w:rPr>
              <w:t xml:space="preserve"> Formula Year SMP AQ</w:t>
            </w:r>
          </w:p>
        </w:tc>
        <w:tc>
          <w:tcPr>
            <w:tcW w:w="4678" w:type="dxa"/>
            <w:vAlign w:val="center"/>
          </w:tcPr>
          <w:p w:rsidR="004E4672" w:rsidRPr="00E37EF7" w:rsidRDefault="00AA3616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CF7C18">
              <w:rPr>
                <w:rFonts w:ascii="Arial" w:hAnsi="Arial" w:cs="Arial"/>
                <w:sz w:val="20"/>
                <w:szCs w:val="20"/>
              </w:rPr>
              <w:t>Required to pr</w:t>
            </w:r>
            <w:r>
              <w:rPr>
                <w:rFonts w:ascii="Arial" w:hAnsi="Arial" w:cs="Arial"/>
                <w:sz w:val="20"/>
                <w:szCs w:val="20"/>
              </w:rPr>
              <w:t>ovide quotation services as the</w:t>
            </w:r>
            <w:r w:rsidRPr="00CF7C18">
              <w:rPr>
                <w:rFonts w:ascii="Arial" w:hAnsi="Arial" w:cs="Arial"/>
                <w:sz w:val="20"/>
                <w:szCs w:val="20"/>
              </w:rPr>
              <w:t xml:space="preserve"> Shipper will be charged </w:t>
            </w:r>
            <w:r>
              <w:rPr>
                <w:rFonts w:ascii="Arial" w:hAnsi="Arial" w:cs="Arial"/>
                <w:sz w:val="20"/>
                <w:szCs w:val="20"/>
              </w:rPr>
              <w:t xml:space="preserve">based </w:t>
            </w:r>
            <w:r w:rsidRPr="00CF7C18">
              <w:rPr>
                <w:rFonts w:ascii="Arial" w:hAnsi="Arial" w:cs="Arial"/>
                <w:sz w:val="20"/>
                <w:szCs w:val="20"/>
              </w:rPr>
              <w:t xml:space="preserve">on this data item, so ensures </w:t>
            </w:r>
            <w:r>
              <w:rPr>
                <w:rFonts w:ascii="Arial" w:hAnsi="Arial" w:cs="Arial"/>
                <w:sz w:val="20"/>
                <w:szCs w:val="20"/>
              </w:rPr>
              <w:t>Shippers/Suppliers can</w:t>
            </w:r>
            <w:r w:rsidRPr="00CF7C18">
              <w:rPr>
                <w:rFonts w:ascii="Arial" w:hAnsi="Arial" w:cs="Arial"/>
                <w:sz w:val="20"/>
                <w:szCs w:val="20"/>
              </w:rPr>
              <w:t xml:space="preserve"> quote consumer</w:t>
            </w:r>
            <w:r>
              <w:rPr>
                <w:rFonts w:ascii="Arial" w:hAnsi="Arial" w:cs="Arial"/>
                <w:sz w:val="20"/>
                <w:szCs w:val="20"/>
              </w:rPr>
              <w:t>s more accurately and project the</w:t>
            </w:r>
            <w:r w:rsidRPr="00CF7C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expected transportation charges.</w:t>
            </w:r>
          </w:p>
        </w:tc>
      </w:tr>
      <w:tr w:rsidR="004E4672" w:rsidRPr="00E37EF7" w:rsidTr="00DE7769">
        <w:trPr>
          <w:jc w:val="center"/>
        </w:trPr>
        <w:tc>
          <w:tcPr>
            <w:tcW w:w="2518" w:type="dxa"/>
            <w:vAlign w:val="center"/>
          </w:tcPr>
          <w:p w:rsidR="004E4672" w:rsidRPr="00E37EF7" w:rsidRDefault="0082333C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4E4672" w:rsidRPr="00E37EF7">
              <w:rPr>
                <w:rFonts w:ascii="Arial" w:hAnsi="Arial" w:cs="Arial"/>
                <w:sz w:val="20"/>
                <w:szCs w:val="20"/>
              </w:rPr>
              <w:t>spective Formula Year Effective Date</w:t>
            </w:r>
          </w:p>
        </w:tc>
        <w:tc>
          <w:tcPr>
            <w:tcW w:w="2268" w:type="dxa"/>
            <w:vAlign w:val="center"/>
          </w:tcPr>
          <w:p w:rsidR="004E4672" w:rsidRPr="00E37EF7" w:rsidRDefault="0082333C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4E4672">
              <w:rPr>
                <w:rFonts w:ascii="Arial" w:hAnsi="Arial" w:cs="Arial"/>
                <w:sz w:val="20"/>
                <w:szCs w:val="20"/>
              </w:rPr>
              <w:t>spective</w:t>
            </w:r>
            <w:r w:rsidR="004E4672" w:rsidRPr="00E37EF7">
              <w:rPr>
                <w:rFonts w:ascii="Arial" w:hAnsi="Arial" w:cs="Arial"/>
                <w:sz w:val="20"/>
                <w:szCs w:val="20"/>
              </w:rPr>
              <w:t xml:space="preserve"> Formula Year </w:t>
            </w:r>
            <w:r w:rsidR="004E4672">
              <w:rPr>
                <w:rFonts w:ascii="Arial" w:hAnsi="Arial" w:cs="Arial"/>
                <w:sz w:val="20"/>
                <w:szCs w:val="20"/>
              </w:rPr>
              <w:t>Effective Date</w:t>
            </w:r>
          </w:p>
        </w:tc>
        <w:tc>
          <w:tcPr>
            <w:tcW w:w="4678" w:type="dxa"/>
            <w:vAlign w:val="center"/>
          </w:tcPr>
          <w:p w:rsidR="004E4672" w:rsidRPr="00E37EF7" w:rsidRDefault="008D2676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to inform the </w:t>
            </w:r>
            <w:r w:rsidR="00AA3616">
              <w:rPr>
                <w:rFonts w:ascii="Arial" w:hAnsi="Arial" w:cs="Arial"/>
                <w:sz w:val="20"/>
                <w:szCs w:val="20"/>
              </w:rPr>
              <w:t>Shipper/Supplier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when the Perspective Formula Year quantity values take effect. </w:t>
            </w:r>
          </w:p>
        </w:tc>
      </w:tr>
    </w:tbl>
    <w:p w:rsidR="00535E11" w:rsidRDefault="00535E11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Privacy Impact Assessment</w:t>
      </w:r>
    </w:p>
    <w:p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Where the disclosure of information includes the processing of personal data a Privacy Imp</w:t>
      </w:r>
      <w:r w:rsidR="00A01C4C">
        <w:rPr>
          <w:rFonts w:ascii="Arial" w:hAnsi="Arial" w:cs="Arial"/>
          <w:sz w:val="20"/>
          <w:szCs w:val="20"/>
        </w:rPr>
        <w:t>act Assessment may be required.</w:t>
      </w:r>
    </w:p>
    <w:p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Xoserve has considered the various tests that may be applied and considers that none of these are met and so a Privacy Impact Assessment is not required.</w:t>
      </w:r>
    </w:p>
    <w:p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The tests (and answers) applied in determining whether a Privacy Impact Assessment was required were: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a)</w:t>
      </w:r>
      <w:r w:rsidRPr="001C0221">
        <w:rPr>
          <w:rFonts w:ascii="Arial" w:hAnsi="Arial" w:cs="Arial"/>
          <w:sz w:val="20"/>
          <w:szCs w:val="20"/>
        </w:rPr>
        <w:tab/>
        <w:t>Will the project involve the collection of new information about individuals?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b)</w:t>
      </w:r>
      <w:r w:rsidRPr="001C0221">
        <w:rPr>
          <w:rFonts w:ascii="Arial" w:hAnsi="Arial" w:cs="Arial"/>
          <w:sz w:val="20"/>
          <w:szCs w:val="20"/>
        </w:rPr>
        <w:tab/>
        <w:t>Will the project compel individuals to provide information about themselves?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c)</w:t>
      </w:r>
      <w:r w:rsidRPr="001C0221">
        <w:rPr>
          <w:rFonts w:ascii="Arial" w:hAnsi="Arial" w:cs="Arial"/>
          <w:sz w:val="20"/>
          <w:szCs w:val="20"/>
        </w:rPr>
        <w:tab/>
        <w:t>Will information about individuals be disclosed to organisations or people who have not previously had routine access to the information?</w:t>
      </w:r>
    </w:p>
    <w:p w:rsidR="001C0221" w:rsidRPr="001C0221" w:rsidRDefault="001C0221" w:rsidP="001C0221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Pr="001C022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Shippers</w:t>
      </w:r>
      <w:r w:rsidR="00AA3616">
        <w:rPr>
          <w:rFonts w:ascii="Arial" w:hAnsi="Arial" w:cs="Arial"/>
          <w:sz w:val="20"/>
          <w:szCs w:val="20"/>
        </w:rPr>
        <w:t>/Suppliers</w:t>
      </w:r>
      <w:r w:rsidRPr="001C0221">
        <w:rPr>
          <w:rFonts w:ascii="Arial" w:hAnsi="Arial" w:cs="Arial"/>
          <w:sz w:val="20"/>
          <w:szCs w:val="20"/>
        </w:rPr>
        <w:t xml:space="preserve"> already have access to a number of supply point information services.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d)</w:t>
      </w:r>
      <w:r w:rsidRPr="001C0221">
        <w:rPr>
          <w:rFonts w:ascii="Arial" w:hAnsi="Arial" w:cs="Arial"/>
          <w:sz w:val="20"/>
          <w:szCs w:val="20"/>
        </w:rPr>
        <w:tab/>
        <w:t>Are you using information about individuals for a purpose it is not currently used for, or in a way it is not currently used?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e)</w:t>
      </w:r>
      <w:r w:rsidRPr="001C0221">
        <w:rPr>
          <w:rFonts w:ascii="Arial" w:hAnsi="Arial" w:cs="Arial"/>
          <w:sz w:val="20"/>
          <w:szCs w:val="20"/>
        </w:rPr>
        <w:tab/>
        <w:t>Does the project involve you using new technology that might be perceived as being privacy intrusive? For example, the use of biometrics or facial recognition.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f)</w:t>
      </w:r>
      <w:r w:rsidRPr="001C0221">
        <w:rPr>
          <w:rFonts w:ascii="Arial" w:hAnsi="Arial" w:cs="Arial"/>
          <w:sz w:val="20"/>
          <w:szCs w:val="20"/>
        </w:rPr>
        <w:tab/>
        <w:t>Will the project result in you making decisions or taking action against individuals in ways that can have a significant impact on them?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g)</w:t>
      </w:r>
      <w:r w:rsidRPr="001C0221">
        <w:rPr>
          <w:rFonts w:ascii="Arial" w:hAnsi="Arial" w:cs="Arial"/>
          <w:sz w:val="20"/>
          <w:szCs w:val="20"/>
        </w:rPr>
        <w:tab/>
        <w:t>Is the information about individuals of a kind particularly likely to raise privacy concerns or expectations? For example, health records, criminal records or other information that people would consider to be private.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lastRenderedPageBreak/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h)</w:t>
      </w:r>
      <w:r w:rsidRPr="001C0221">
        <w:rPr>
          <w:rFonts w:ascii="Arial" w:hAnsi="Arial" w:cs="Arial"/>
          <w:sz w:val="20"/>
          <w:szCs w:val="20"/>
        </w:rPr>
        <w:tab/>
        <w:t>Will the project require you to contact individuals in ways that they may find intrusive?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i)</w:t>
      </w:r>
      <w:r w:rsidRPr="001C0221">
        <w:rPr>
          <w:rFonts w:ascii="Arial" w:hAnsi="Arial" w:cs="Arial"/>
          <w:sz w:val="20"/>
          <w:szCs w:val="20"/>
        </w:rPr>
        <w:tab/>
        <w:t>Will the disclosure of information utilise new technology for Xoserve?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j)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identifies a vulnerable customer?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k)</w:t>
      </w:r>
      <w:r w:rsidRPr="001C0221">
        <w:rPr>
          <w:rFonts w:ascii="Arial" w:hAnsi="Arial" w:cs="Arial"/>
          <w:sz w:val="20"/>
          <w:szCs w:val="20"/>
        </w:rPr>
        <w:tab/>
        <w:t>Will the disclosure release mass data to a party?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 xml:space="preserve">No 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l)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</w:t>
      </w:r>
      <w:r>
        <w:rPr>
          <w:rFonts w:ascii="Arial" w:hAnsi="Arial" w:cs="Arial"/>
          <w:sz w:val="20"/>
          <w:szCs w:val="20"/>
        </w:rPr>
        <w:t>s an occurrence of theft of gas.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m)</w:t>
      </w:r>
      <w:r w:rsidRPr="001C0221">
        <w:rPr>
          <w:rFonts w:ascii="Arial" w:hAnsi="Arial" w:cs="Arial"/>
          <w:sz w:val="20"/>
          <w:szCs w:val="20"/>
        </w:rPr>
        <w:tab/>
        <w:t>Will the disclosure require a fundamental change to Xoserve business</w:t>
      </w:r>
    </w:p>
    <w:p w:rsidR="006554CC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6554CC" w:rsidRDefault="006554CC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Commercial model</w:t>
      </w:r>
    </w:p>
    <w:p w:rsidR="001C0221" w:rsidRDefault="0082333C" w:rsidP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API service will be added to the Data Services Contract, Service Description Table, Service Lines. This service will be a Specific</w:t>
      </w:r>
      <w:r w:rsidR="004D31D6">
        <w:rPr>
          <w:rFonts w:ascii="Arial" w:hAnsi="Arial" w:cs="Arial"/>
          <w:sz w:val="20"/>
          <w:szCs w:val="20"/>
        </w:rPr>
        <w:t xml:space="preserve"> Service (Service Area 22) with charges set out in the Annual Charging Statement.</w:t>
      </w:r>
      <w:r w:rsidR="001659B5">
        <w:rPr>
          <w:rFonts w:ascii="Arial" w:hAnsi="Arial" w:cs="Arial"/>
          <w:sz w:val="20"/>
          <w:szCs w:val="20"/>
        </w:rPr>
        <w:t xml:space="preserve"> </w:t>
      </w:r>
    </w:p>
    <w:p w:rsidR="001659B5" w:rsidRDefault="001659B5" w:rsidP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Within the Service Line, the “</w:t>
      </w:r>
      <w:r w:rsidRPr="001659B5">
        <w:rPr>
          <w:rFonts w:ascii="Arial" w:hAnsi="Arial" w:cs="Arial"/>
          <w:sz w:val="20"/>
          <w:szCs w:val="20"/>
        </w:rPr>
        <w:t>Corresponding obligation needed for delivery (Customer Responsibilities)</w:t>
      </w:r>
      <w:r>
        <w:rPr>
          <w:rFonts w:ascii="Arial" w:hAnsi="Arial" w:cs="Arial"/>
          <w:sz w:val="20"/>
          <w:szCs w:val="20"/>
        </w:rPr>
        <w:t>” column will include words to the effect:</w:t>
      </w:r>
    </w:p>
    <w:p w:rsidR="001659B5" w:rsidRDefault="001659B5" w:rsidP="001659B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659B5">
        <w:rPr>
          <w:rFonts w:ascii="Arial" w:hAnsi="Arial" w:cs="Arial"/>
          <w:sz w:val="20"/>
          <w:szCs w:val="20"/>
        </w:rPr>
        <w:t>Where the API call is made by a Proposing User, the Proposing User warrants that it has obtained the consumer</w:t>
      </w:r>
      <w:r>
        <w:rPr>
          <w:rFonts w:ascii="Arial" w:hAnsi="Arial" w:cs="Arial"/>
          <w:sz w:val="20"/>
          <w:szCs w:val="20"/>
        </w:rPr>
        <w:t>’</w:t>
      </w:r>
      <w:r w:rsidRPr="001659B5">
        <w:rPr>
          <w:rFonts w:ascii="Arial" w:hAnsi="Arial" w:cs="Arial"/>
          <w:sz w:val="20"/>
          <w:szCs w:val="20"/>
        </w:rPr>
        <w:t>s consent to access this data. The Proposing User also acknowledges that the CDSP may audit the Proposing Users use of the API Shipper Service.</w:t>
      </w:r>
    </w:p>
    <w:p w:rsidR="001659B5" w:rsidRPr="001659B5" w:rsidRDefault="001659B5" w:rsidP="001659B5">
      <w:pPr>
        <w:pStyle w:val="ListParagraph"/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Method of access to the dataset</w:t>
      </w:r>
    </w:p>
    <w:p w:rsidR="0022736C" w:rsidRPr="0022736C" w:rsidRDefault="004D31D6" w:rsidP="002273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to the dataset will be via API. </w:t>
      </w:r>
      <w:r w:rsidR="0022736C" w:rsidRPr="0022736C">
        <w:rPr>
          <w:rFonts w:ascii="Arial" w:hAnsi="Arial" w:cs="Arial"/>
          <w:sz w:val="20"/>
          <w:szCs w:val="20"/>
        </w:rPr>
        <w:t>The API capability enables Xoserve</w:t>
      </w:r>
      <w:r w:rsidR="0022565D">
        <w:rPr>
          <w:rFonts w:ascii="Arial" w:hAnsi="Arial" w:cs="Arial"/>
          <w:sz w:val="20"/>
          <w:szCs w:val="20"/>
        </w:rPr>
        <w:t xml:space="preserve"> to</w:t>
      </w:r>
      <w:r w:rsidR="0022736C" w:rsidRPr="0022736C">
        <w:rPr>
          <w:rFonts w:ascii="Arial" w:hAnsi="Arial" w:cs="Arial"/>
          <w:sz w:val="20"/>
          <w:szCs w:val="20"/>
        </w:rPr>
        <w:t xml:space="preserve"> record each supply meter point accessed by each </w:t>
      </w:r>
      <w:r w:rsidR="00AA3616">
        <w:rPr>
          <w:rFonts w:ascii="Arial" w:hAnsi="Arial" w:cs="Arial"/>
          <w:sz w:val="20"/>
          <w:szCs w:val="20"/>
        </w:rPr>
        <w:t>API user</w:t>
      </w:r>
      <w:r w:rsidR="0022736C" w:rsidRPr="0022736C">
        <w:rPr>
          <w:rFonts w:ascii="Arial" w:hAnsi="Arial" w:cs="Arial"/>
          <w:sz w:val="20"/>
          <w:szCs w:val="20"/>
        </w:rPr>
        <w:t xml:space="preserve"> and to use this data to </w:t>
      </w:r>
      <w:r w:rsidR="00AA3616">
        <w:rPr>
          <w:rFonts w:ascii="Arial" w:hAnsi="Arial" w:cs="Arial"/>
          <w:sz w:val="20"/>
          <w:szCs w:val="20"/>
        </w:rPr>
        <w:t xml:space="preserve">undertake audits </w:t>
      </w:r>
      <w:r>
        <w:rPr>
          <w:rFonts w:ascii="Arial" w:hAnsi="Arial" w:cs="Arial"/>
          <w:sz w:val="20"/>
          <w:szCs w:val="20"/>
        </w:rPr>
        <w:t>where required to</w:t>
      </w:r>
      <w:r w:rsidR="0022736C" w:rsidRPr="00130A24">
        <w:rPr>
          <w:rFonts w:ascii="Arial" w:hAnsi="Arial" w:cs="Arial"/>
          <w:sz w:val="20"/>
          <w:szCs w:val="20"/>
        </w:rPr>
        <w:t xml:space="preserve"> demonstrate consumer consent.</w:t>
      </w:r>
    </w:p>
    <w:p w:rsidR="006554CC" w:rsidRDefault="0022736C" w:rsidP="0022736C">
      <w:pPr>
        <w:rPr>
          <w:rFonts w:ascii="Arial" w:hAnsi="Arial" w:cs="Arial"/>
          <w:sz w:val="20"/>
          <w:szCs w:val="20"/>
        </w:rPr>
      </w:pPr>
      <w:r w:rsidRPr="0022736C">
        <w:rPr>
          <w:rFonts w:ascii="Arial" w:hAnsi="Arial" w:cs="Arial"/>
          <w:sz w:val="20"/>
          <w:szCs w:val="20"/>
        </w:rPr>
        <w:t xml:space="preserve">For the avoidance of doubt Xoserve will not provide access to the new data items (those in section 2) available to </w:t>
      </w:r>
      <w:r>
        <w:rPr>
          <w:rFonts w:ascii="Arial" w:hAnsi="Arial" w:cs="Arial"/>
          <w:sz w:val="20"/>
          <w:szCs w:val="20"/>
        </w:rPr>
        <w:t>Shippers</w:t>
      </w:r>
      <w:r w:rsidR="00AA3616">
        <w:rPr>
          <w:rFonts w:ascii="Arial" w:hAnsi="Arial" w:cs="Arial"/>
          <w:sz w:val="20"/>
          <w:szCs w:val="20"/>
        </w:rPr>
        <w:t xml:space="preserve"> </w:t>
      </w:r>
      <w:r w:rsidRPr="0022736C">
        <w:rPr>
          <w:rFonts w:ascii="Arial" w:hAnsi="Arial" w:cs="Arial"/>
          <w:sz w:val="20"/>
          <w:szCs w:val="20"/>
        </w:rPr>
        <w:t>by any other means e.g. DES, telephone services etc.</w:t>
      </w: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CoMC determinations</w:t>
      </w:r>
    </w:p>
    <w:p w:rsidR="006554CC" w:rsidRDefault="001C0221" w:rsidP="006554CC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CoMC is requested to approve this Disclosure Request Report.</w:t>
      </w:r>
    </w:p>
    <w:p w:rsidR="00544404" w:rsidRPr="00E37EF7" w:rsidRDefault="00544404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rPr>
          <w:rFonts w:ascii="Arial" w:hAnsi="Arial" w:cs="Arial"/>
          <w:sz w:val="20"/>
          <w:szCs w:val="20"/>
        </w:rPr>
      </w:pPr>
    </w:p>
    <w:p w:rsidR="001C0221" w:rsidRDefault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4CC" w:rsidRDefault="00DE7769" w:rsidP="00CE15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Appendix 1</w:t>
      </w:r>
      <w:r w:rsidR="006554CC" w:rsidRPr="00CE15C5">
        <w:rPr>
          <w:rFonts w:ascii="Arial" w:hAnsi="Arial" w:cs="Arial"/>
          <w:b/>
          <w:sz w:val="20"/>
          <w:szCs w:val="20"/>
        </w:rPr>
        <w:t>:  Current Data Permissions Matrix with proposed changes as per this Disclosure Request Report</w:t>
      </w:r>
    </w:p>
    <w:p w:rsidR="0047521F" w:rsidRPr="0047521F" w:rsidRDefault="0047521F" w:rsidP="0047521F">
      <w:pPr>
        <w:rPr>
          <w:rFonts w:ascii="Arial" w:hAnsi="Arial" w:cs="Arial"/>
          <w:sz w:val="20"/>
          <w:szCs w:val="20"/>
          <w:u w:val="single"/>
        </w:rPr>
      </w:pPr>
      <w:r w:rsidRPr="0047521F">
        <w:rPr>
          <w:rFonts w:ascii="Arial" w:hAnsi="Arial" w:cs="Arial"/>
          <w:sz w:val="20"/>
          <w:szCs w:val="20"/>
          <w:u w:val="single"/>
        </w:rPr>
        <w:t>Shipper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802"/>
        <w:gridCol w:w="2126"/>
        <w:gridCol w:w="1559"/>
        <w:gridCol w:w="1559"/>
        <w:gridCol w:w="1560"/>
      </w:tblGrid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API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SHIPPER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Shipper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DATA ITEM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PORTFOLIO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PORTFOLIO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Point Reference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LSP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3C2063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</w:tr>
      <w:tr w:rsidR="004D38B9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8B9" w:rsidRPr="004E4672" w:rsidRDefault="004D38B9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Network Name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B9" w:rsidRPr="004E4672" w:rsidRDefault="004D38B9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B9" w:rsidRPr="004E4672" w:rsidRDefault="004D38B9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B9" w:rsidRPr="004E4672" w:rsidRDefault="004D38B9" w:rsidP="000B0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B9" w:rsidRPr="004E4672" w:rsidRDefault="004D38B9" w:rsidP="000B0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</w:tr>
      <w:tr w:rsidR="004D38B9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8B9" w:rsidRPr="004E4672" w:rsidRDefault="004D38B9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Network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B9" w:rsidRPr="004E4672" w:rsidRDefault="004D38B9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B9" w:rsidRPr="004E4672" w:rsidRDefault="004D38B9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B9" w:rsidRPr="004E4672" w:rsidRDefault="004D38B9" w:rsidP="000B0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B9" w:rsidRPr="004E4672" w:rsidRDefault="004D38B9" w:rsidP="000B0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SMP Status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Current Shipper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Current Shipper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Current Supplier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 - MUST accept additional terms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Current Supplier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 - MUST accept additional terms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Previous Shipper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Previous Shipper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Incoming Shipper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Incoming Shipper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Incoming Supplier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 - MUST accept additional terms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Incoming Supplier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 - MUST accept additional terms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Previous Supplier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Previous Supplier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Logical Meter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Confirmation Reference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Confirmation Effective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Withdrawal Status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Withdrawal End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3C2063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Market Sector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Link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Contract Exists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3C2063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LDZ ID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</w:tr>
      <w:tr w:rsidR="003C2063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Exit Zone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Network Owner EFD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Network Exit Agreement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Priority Consumers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Read Batch Frequency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Bypass Fitted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Seasonal Large Supply Point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Twin Stream Site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UPRN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3C2063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CSEP ID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Shared SMP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D38B9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Transitional</w:t>
            </w:r>
            <w:r w:rsidR="004E4672"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Meter Point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Last Inspection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Special Needs Notes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DM/NDM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Confirmation Rejection Information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Confirmation Objection Information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3C2063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AQ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</w:tr>
      <w:tr w:rsidR="003C2063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Formula Year SMP AQ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CSEP Max AQ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Original SMP AQ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Current Year Minimum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3C2063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SMP SOQ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</w:tr>
      <w:tr w:rsidR="003C2063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Formula Year SMP SOQ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CSEP SOQ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MNEPOR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SMP SHQ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Related Meter Point Reference Number(s)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MSN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Formula Year SMP AQ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Effective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SMP SHQ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Formula Year SMP SOQ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End User Category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EUC Effective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Bid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Contract Start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Contract End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Tranche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Interruptible Capacity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Interruptible Days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Interruption Option Price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Exercise Price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Shipper Bid Reference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Location ID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Manufacturer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Type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of Manufacture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Installation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Device Status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of Dials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Imperial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Mechanism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Capacity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Correction Factor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Gas Act Owner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MAM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MAM EFD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SMSO ID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SMS Operating Entity EFD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DCC Service Flag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DCC Service Flag EFD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Installing Supplier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Installing Supplier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SMETS Installation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IHD Install Status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Serial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Reason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Effective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Type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Manufacturer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of Manufacture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of Dials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Capacity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Correction Factor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Mechanism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Imperial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Opening Read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Opening Read Uncorrected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Opening Read Corrected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Opening Read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Closing Read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Closing Read Uncorrected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Closing Read Corrected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Closing Read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Read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Read Type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Read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Round the Clock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Read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Round the Clock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Installation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Device Status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Manufacturer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Telemetered Site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3C2063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AMR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3" w:rsidRPr="004E4672" w:rsidRDefault="003C2063" w:rsidP="00C56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en-GB"/>
              </w:rPr>
              <w:t>N/A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YES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AMR Effective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Correction Factor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Effective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Serial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Dials Corrected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Manufacturer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of Manufacture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Device Status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Isolation Status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AMR Service Provider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Latest Meter Read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Latest Meter Read Type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E4672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Latest Meter Read Value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72" w:rsidRPr="004E4672" w:rsidRDefault="004E4672" w:rsidP="004E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4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47521F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21F" w:rsidRPr="004E4672" w:rsidRDefault="00681DAD" w:rsidP="00681DA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Pro</w:t>
            </w:r>
            <w:r w:rsidR="0047521F"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spective SMP SOQ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1F" w:rsidRPr="004E4672" w:rsidRDefault="0047521F" w:rsidP="0047521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 xml:space="preserve">   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1F" w:rsidRPr="004E4672" w:rsidRDefault="0047521F" w:rsidP="0047521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 xml:space="preserve">   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1F" w:rsidRPr="004E4672" w:rsidRDefault="0047521F" w:rsidP="0047521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1F" w:rsidRPr="004E4672" w:rsidRDefault="0047521F" w:rsidP="0047521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7521F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21F" w:rsidRPr="004E4672" w:rsidRDefault="00681DAD" w:rsidP="0047521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Pro</w:t>
            </w:r>
            <w:r w:rsidR="0047521F"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spective Formula Year SMP AQ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1F" w:rsidRPr="004E4672" w:rsidRDefault="0047521F" w:rsidP="0047521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 xml:space="preserve">   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1F" w:rsidRPr="004E4672" w:rsidRDefault="0047521F" w:rsidP="0047521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 xml:space="preserve">   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1F" w:rsidRPr="004E4672" w:rsidRDefault="0047521F" w:rsidP="0047521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1F" w:rsidRPr="004E4672" w:rsidRDefault="0047521F" w:rsidP="0047521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7521F" w:rsidRPr="004E4672" w:rsidTr="003C206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21F" w:rsidRPr="004E4672" w:rsidRDefault="00681DAD" w:rsidP="0047521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Pro</w:t>
            </w:r>
            <w:r w:rsidR="0047521F"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spective Formula Year Effective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1F" w:rsidRPr="004E4672" w:rsidRDefault="0047521F" w:rsidP="0047521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 xml:space="preserve">   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1F" w:rsidRPr="004E4672" w:rsidRDefault="0047521F" w:rsidP="0047521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 xml:space="preserve">   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1F" w:rsidRPr="004E4672" w:rsidRDefault="0047521F" w:rsidP="0047521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1F" w:rsidRPr="004E4672" w:rsidRDefault="0047521F" w:rsidP="0047521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3C2063">
              <w:rPr>
                <w:rFonts w:ascii="Calibri" w:eastAsia="Times New Roman" w:hAnsi="Calibri" w:cs="Times New Roman"/>
                <w:i/>
                <w:strike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4E46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</w:tbl>
    <w:p w:rsidR="0047521F" w:rsidRDefault="0047521F" w:rsidP="006554CC">
      <w:pPr>
        <w:rPr>
          <w:rFonts w:ascii="Arial" w:hAnsi="Arial" w:cs="Arial"/>
          <w:sz w:val="20"/>
          <w:szCs w:val="20"/>
        </w:rPr>
      </w:pPr>
    </w:p>
    <w:p w:rsidR="00CE15C5" w:rsidRPr="004E4672" w:rsidRDefault="004E4672" w:rsidP="006554CC">
      <w:pPr>
        <w:rPr>
          <w:rFonts w:ascii="Arial" w:hAnsi="Arial" w:cs="Arial"/>
          <w:i/>
          <w:sz w:val="20"/>
          <w:szCs w:val="20"/>
        </w:rPr>
      </w:pPr>
      <w:r w:rsidRPr="004E4672">
        <w:rPr>
          <w:rFonts w:ascii="Arial" w:hAnsi="Arial" w:cs="Arial"/>
          <w:i/>
          <w:sz w:val="20"/>
          <w:szCs w:val="20"/>
        </w:rPr>
        <w:t>* Italics indicate proposed new data items to the Data Permissions Matrix</w:t>
      </w:r>
    </w:p>
    <w:p w:rsidR="00CE15C5" w:rsidRDefault="00CE15C5" w:rsidP="006554CC">
      <w:pPr>
        <w:rPr>
          <w:rFonts w:ascii="Arial" w:hAnsi="Arial" w:cs="Arial"/>
          <w:sz w:val="20"/>
          <w:szCs w:val="20"/>
        </w:rPr>
      </w:pPr>
    </w:p>
    <w:p w:rsidR="0047521F" w:rsidRDefault="0047521F" w:rsidP="006554CC">
      <w:pPr>
        <w:rPr>
          <w:rFonts w:ascii="Arial" w:hAnsi="Arial" w:cs="Arial"/>
          <w:sz w:val="20"/>
          <w:szCs w:val="20"/>
        </w:rPr>
      </w:pPr>
    </w:p>
    <w:p w:rsidR="0047521F" w:rsidRDefault="0047521F" w:rsidP="006554CC">
      <w:pPr>
        <w:rPr>
          <w:rFonts w:ascii="Arial" w:hAnsi="Arial" w:cs="Arial"/>
          <w:sz w:val="20"/>
          <w:szCs w:val="20"/>
        </w:rPr>
      </w:pPr>
    </w:p>
    <w:p w:rsidR="0047521F" w:rsidRPr="00E37EF7" w:rsidRDefault="0047521F" w:rsidP="006554CC">
      <w:pPr>
        <w:rPr>
          <w:rFonts w:ascii="Arial" w:hAnsi="Arial" w:cs="Arial"/>
          <w:sz w:val="20"/>
          <w:szCs w:val="20"/>
        </w:rPr>
      </w:pPr>
    </w:p>
    <w:sectPr w:rsidR="0047521F" w:rsidRPr="00E37EF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66" w:rsidRDefault="00742F66" w:rsidP="006554CC">
      <w:pPr>
        <w:spacing w:after="0" w:line="240" w:lineRule="auto"/>
      </w:pPr>
      <w:r>
        <w:separator/>
      </w:r>
    </w:p>
  </w:endnote>
  <w:endnote w:type="continuationSeparator" w:id="0">
    <w:p w:rsidR="00742F66" w:rsidRDefault="00742F66" w:rsidP="0065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575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DAD" w:rsidRDefault="00681D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7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1DAD" w:rsidRDefault="00681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66" w:rsidRDefault="00742F66" w:rsidP="006554CC">
      <w:pPr>
        <w:spacing w:after="0" w:line="240" w:lineRule="auto"/>
      </w:pPr>
      <w:r>
        <w:separator/>
      </w:r>
    </w:p>
  </w:footnote>
  <w:footnote w:type="continuationSeparator" w:id="0">
    <w:p w:rsidR="00742F66" w:rsidRDefault="00742F66" w:rsidP="0065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C94"/>
    <w:multiLevelType w:val="hybridMultilevel"/>
    <w:tmpl w:val="59B87FC4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E5B41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30B4B"/>
    <w:multiLevelType w:val="hybridMultilevel"/>
    <w:tmpl w:val="F2F41566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64500A"/>
    <w:multiLevelType w:val="hybridMultilevel"/>
    <w:tmpl w:val="901E3E6E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F567CB"/>
    <w:multiLevelType w:val="hybridMultilevel"/>
    <w:tmpl w:val="7D1041FA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8225E2"/>
    <w:multiLevelType w:val="hybridMultilevel"/>
    <w:tmpl w:val="0FC08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2E75"/>
    <w:multiLevelType w:val="hybridMultilevel"/>
    <w:tmpl w:val="EC005746"/>
    <w:lvl w:ilvl="0" w:tplc="6FC41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F296C"/>
    <w:multiLevelType w:val="hybridMultilevel"/>
    <w:tmpl w:val="EF8A34DC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CC"/>
    <w:rsid w:val="000B06B3"/>
    <w:rsid w:val="00130A24"/>
    <w:rsid w:val="001659B5"/>
    <w:rsid w:val="001C0221"/>
    <w:rsid w:val="0022565D"/>
    <w:rsid w:val="0022736C"/>
    <w:rsid w:val="002F2999"/>
    <w:rsid w:val="00303366"/>
    <w:rsid w:val="003C2063"/>
    <w:rsid w:val="004122AA"/>
    <w:rsid w:val="00424491"/>
    <w:rsid w:val="0047521F"/>
    <w:rsid w:val="004D31D6"/>
    <w:rsid w:val="004D38B9"/>
    <w:rsid w:val="004E4672"/>
    <w:rsid w:val="00535E11"/>
    <w:rsid w:val="00544404"/>
    <w:rsid w:val="006554CC"/>
    <w:rsid w:val="00681DAD"/>
    <w:rsid w:val="00695D26"/>
    <w:rsid w:val="006B7586"/>
    <w:rsid w:val="00742F66"/>
    <w:rsid w:val="0079479C"/>
    <w:rsid w:val="007C226F"/>
    <w:rsid w:val="007E248B"/>
    <w:rsid w:val="0082333C"/>
    <w:rsid w:val="008D2676"/>
    <w:rsid w:val="00942F49"/>
    <w:rsid w:val="009A2891"/>
    <w:rsid w:val="00A01C4C"/>
    <w:rsid w:val="00A16634"/>
    <w:rsid w:val="00AA3616"/>
    <w:rsid w:val="00AC1DC8"/>
    <w:rsid w:val="00AC5B33"/>
    <w:rsid w:val="00B20451"/>
    <w:rsid w:val="00BA05CD"/>
    <w:rsid w:val="00BE13AA"/>
    <w:rsid w:val="00C566B8"/>
    <w:rsid w:val="00CA1FD2"/>
    <w:rsid w:val="00CE15C5"/>
    <w:rsid w:val="00CF7C18"/>
    <w:rsid w:val="00DE7769"/>
    <w:rsid w:val="00E37EF7"/>
    <w:rsid w:val="00F57027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gov-mst-files.s3.eu-west-1.amazonaws.com/s3fs-public/ggf/book/2018-12/V6%20XRN3667a%20Provision%20of%20Formula%20Year%20AQ%20SOQ%20to%20Proposing%20Users_0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National Grid</cp:lastModifiedBy>
  <cp:revision>5</cp:revision>
  <cp:lastPrinted>2019-01-09T09:22:00Z</cp:lastPrinted>
  <dcterms:created xsi:type="dcterms:W3CDTF">2019-01-09T11:37:00Z</dcterms:created>
  <dcterms:modified xsi:type="dcterms:W3CDTF">2019-01-09T11:53:00Z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924742435</vt:i4>
  </property>
  <property fmtid="{D5CDD505-2E9C-101B-9397-08002B2CF9AE}" pid="3" name="_NewReviewCycle">
    <vt:lpwstr/>
  </property>
  <property fmtid="{D5CDD505-2E9C-101B-9397-08002B2CF9AE}" pid="4" name="_EmailSubject">
    <vt:lpwstr>Material for CoMC 16.1.19 - For Publication</vt:lpwstr>
  </property>
  <property fmtid="{D5CDD505-2E9C-101B-9397-08002B2CF9AE}" pid="5" name="_AuthorEmail">
    <vt:lpwstr>xoserve.customer.lifecycle.team@xoserve.com</vt:lpwstr>
  </property>
  <property fmtid="{D5CDD505-2E9C-101B-9397-08002B2CF9AE}" pid="6" name="_AuthorEmailDisplayName">
    <vt:lpwstr>.Box.xoserve.customerlifecycle.spa</vt:lpwstr>
  </property>
  <property fmtid="{D5CDD505-2E9C-101B-9397-08002B2CF9AE}" pid="8" name="_PreviousAdHocReviewCycleID">
    <vt:i4>-640678009</vt:i4>
  </property>
</Properties>
</file>