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b/>
          <w:sz w:val="24"/>
          <w:u w:val="single"/>
        </w:rPr>
      </w:pPr>
      <w:r>
        <w:rPr>
          <w:b/>
          <w:sz w:val="24"/>
          <w:u w:val="single"/>
        </w:rPr>
        <w:t>Attachment #1</w:t>
      </w:r>
    </w:p>
    <w:p>
      <w:pPr>
        <w:rPr>
          <w:b/>
          <w:sz w:val="24"/>
        </w:rPr>
      </w:pPr>
      <w:r>
        <w:rPr>
          <w:b/>
          <w:sz w:val="24"/>
        </w:rPr>
        <w:t>UNC reference:</w:t>
      </w:r>
      <w:r>
        <w:rPr>
          <w:b/>
          <w:sz w:val="24"/>
        </w:rPr>
        <w:tab/>
      </w:r>
      <w:r>
        <w:rPr>
          <w:b/>
          <w:sz w:val="24"/>
        </w:rPr>
        <w:tab/>
        <w:t>TPD Section Y (new paragraphs)</w:t>
      </w:r>
    </w:p>
    <w:p>
      <w:pPr>
        <w:rPr>
          <w:b/>
          <w:sz w:val="24"/>
        </w:rPr>
      </w:pPr>
      <w:r>
        <w:rPr>
          <w:b/>
          <w:sz w:val="24"/>
        </w:rPr>
        <w:t xml:space="preserve">Subject: </w:t>
      </w:r>
      <w:r>
        <w:rPr>
          <w:b/>
          <w:sz w:val="24"/>
        </w:rPr>
        <w:tab/>
      </w:r>
      <w:r>
        <w:rPr>
          <w:b/>
          <w:sz w:val="24"/>
        </w:rPr>
        <w:tab/>
      </w:r>
      <w:r>
        <w:rPr>
          <w:b/>
          <w:sz w:val="24"/>
        </w:rPr>
        <w:tab/>
        <w:t>Embedded FCC methodology</w:t>
      </w:r>
    </w:p>
    <w:p>
      <w:pPr>
        <w:rPr>
          <w:b/>
          <w:sz w:val="24"/>
          <w:u w:val="single"/>
        </w:rPr>
      </w:pPr>
      <w:r>
        <w:rPr>
          <w:b/>
          <w:sz w:val="24"/>
        </w:rPr>
        <w:t>Relevant alternates:</w:t>
      </w:r>
      <w:r>
        <w:rPr>
          <w:b/>
          <w:sz w:val="24"/>
        </w:rPr>
        <w:tab/>
        <w:t>0678B (Centrica) and 0678C (SSE)</w:t>
      </w:r>
    </w:p>
    <w:p>
      <w:pPr>
        <w:spacing w:after="240"/>
        <w:rPr>
          <w:i/>
          <w:sz w:val="24"/>
          <w:szCs w:val="24"/>
          <w:u w:val="single"/>
        </w:rPr>
      </w:pPr>
    </w:p>
    <w:p>
      <w:pPr>
        <w:spacing w:after="240"/>
        <w:rPr>
          <w:i/>
          <w:sz w:val="24"/>
          <w:szCs w:val="24"/>
          <w:u w:val="single"/>
        </w:rPr>
      </w:pPr>
      <w:r>
        <w:rPr>
          <w:i/>
          <w:sz w:val="24"/>
          <w:szCs w:val="24"/>
          <w:u w:val="single"/>
        </w:rPr>
        <w:t>Forecasted Contracted Capacity (FCC) – Embedded FCC Methodology – new paragraphs</w:t>
      </w:r>
    </w:p>
    <w:p>
      <w:pPr>
        <w:pStyle w:val="Level3Number"/>
        <w:numPr>
          <w:ilvl w:val="0"/>
          <w:numId w:val="0"/>
        </w:numPr>
        <w:ind w:left="720" w:hanging="720"/>
      </w:pPr>
      <w:r>
        <w:t>2.5.3</w:t>
      </w:r>
      <w:r>
        <w:tab/>
        <w:t>For each Gas Year (Y), Forecast Contracted Capacity at each NTS Point will be determined, at the time ("</w:t>
      </w:r>
      <w:r>
        <w:rPr>
          <w:b/>
        </w:rPr>
        <w:t>reference time</w:t>
      </w:r>
      <w:r>
        <w:t>") in Gas Year Y-1 specified in paragraph 2.5.2(a), for Gas Year Y and on an indicative basis for each of Gas Years Y+1 to Y+4.</w:t>
      </w:r>
    </w:p>
    <w:p>
      <w:pPr>
        <w:spacing w:after="240"/>
        <w:ind w:left="720" w:hanging="720"/>
      </w:pPr>
      <w:r>
        <w:t>2.5.4</w:t>
      </w:r>
      <w:r>
        <w:tab/>
        <w:t>For each of Gas Years Y to Y+4, subject to paragraph [</w:t>
      </w:r>
      <w:r>
        <w:rPr>
          <w:highlight w:val="green"/>
        </w:rPr>
        <w:t>2.5.6</w:t>
      </w:r>
      <w:r>
        <w:t>], Forecast Contracted Capacity at a NTS Entry Point or (as the case may be) NTS Exit Point shall be:</w:t>
      </w:r>
    </w:p>
    <w:p>
      <w:pPr>
        <w:pStyle w:val="Level4Number"/>
        <w:numPr>
          <w:ilvl w:val="3"/>
          <w:numId w:val="39"/>
        </w:numPr>
      </w:pPr>
      <w:r>
        <w:t>except in the case of a NTS/LDZ Offtake, whichever is the greatest of the following quantities:</w:t>
      </w:r>
    </w:p>
    <w:p>
      <w:pPr>
        <w:numPr>
          <w:ilvl w:val="4"/>
          <w:numId w:val="1"/>
        </w:numPr>
        <w:spacing w:after="240"/>
      </w:pPr>
      <w:r>
        <w:t>the average (in accordance with paragraph 2.2.3) of the sum for all Users of the Registered NTS Entry Capacity or (as the case may be) Registered NTS Exit (Flat) Capacity held at that NTS Point for Gas Year Y-2, excluding NTS Capacity for which the Applicable Daily Rate of the Capacity Charge is zero;</w:t>
      </w:r>
    </w:p>
    <w:p>
      <w:pPr>
        <w:numPr>
          <w:ilvl w:val="4"/>
          <w:numId w:val="1"/>
        </w:numPr>
        <w:spacing w:after="240"/>
      </w:pPr>
      <w:r>
        <w:t>the amount calculated as the aggregate for all Days in Gas Year Y-2 of the quantities delivered or (as the case may be) offtaken by all Users at that NTS Point, divided by the number of Days in Gas Year Y-2;</w:t>
      </w:r>
    </w:p>
    <w:p>
      <w:pPr>
        <w:numPr>
          <w:ilvl w:val="4"/>
          <w:numId w:val="1"/>
        </w:numPr>
        <w:spacing w:after="240"/>
      </w:pPr>
      <w:r>
        <w:t>the amount calculated as the forecast quantity to be delivered or (as the case may be) offtaken in the relevant Gas Year at the NTS Point as shown in [the 'Updated Forecast' in the Ten Year Statement published in Y-1], subject to paragraph [</w:t>
      </w:r>
      <w:r>
        <w:rPr>
          <w:highlight w:val="green"/>
        </w:rPr>
        <w:t>2.5.5</w:t>
      </w:r>
      <w:r>
        <w:t>], divided by the number of Days in the relevant Gas Year;</w:t>
      </w:r>
    </w:p>
    <w:p>
      <w:pPr>
        <w:numPr>
          <w:ilvl w:val="4"/>
          <w:numId w:val="1"/>
        </w:numPr>
        <w:spacing w:after="240"/>
      </w:pPr>
      <w:r>
        <w:t xml:space="preserve">the average (in accordance with paragraph 2.2.3) of the sum for all Users of the amount of NTS Entry Capacity or (as the case may be) NTS Exit (Flat) Capacity reserved at the reference time pursuant to a PARCA (as provided in Section B1.17.7) for the relevant Gas Year; </w:t>
      </w:r>
    </w:p>
    <w:p>
      <w:pPr>
        <w:numPr>
          <w:ilvl w:val="4"/>
          <w:numId w:val="1"/>
        </w:numPr>
        <w:spacing w:after="240"/>
      </w:pPr>
      <w:r>
        <w:t>in the case of an Entry Point, the average (in accordance with paragraph 2.2.3) of the sum for all Users of the Existing Registered Holdings at that NTS Point;</w:t>
      </w:r>
    </w:p>
    <w:p>
      <w:pPr>
        <w:numPr>
          <w:ilvl w:val="3"/>
          <w:numId w:val="1"/>
        </w:numPr>
        <w:spacing w:after="240"/>
      </w:pPr>
      <w:r>
        <w:t>except in the case of a NTS/LDZ Offtake, the average (in accordance with paragraph 2.2.3) of the Registered NTS Exit (Flat) Capacity held at the reference time by the DN Operator at the NTS/LDZ Offtake for the relevant Gas Year, excluding NTS Capacity for which the Applicable Daily Rate of the Capacity Charge is zero.</w:t>
      </w:r>
    </w:p>
    <w:p>
      <w:pPr>
        <w:spacing w:after="240"/>
      </w:pPr>
      <w:r>
        <w:t>2.5.5</w:t>
      </w:r>
      <w:r>
        <w:tab/>
        <w:t>For the purposes of paragraph 2.5.4(a)(iii):</w:t>
      </w:r>
    </w:p>
    <w:p>
      <w:pPr>
        <w:pStyle w:val="Level4Number"/>
        <w:numPr>
          <w:ilvl w:val="3"/>
          <w:numId w:val="40"/>
        </w:numPr>
      </w:pPr>
      <w:r>
        <w:t>in relation to the Bacton IP ASEP and Bacton UKCS ASEP, in relation to a Gas Year, the forecast quantity (in the [</w:t>
      </w:r>
      <w:r>
        <w:rPr>
          <w:highlight w:val="green"/>
        </w:rPr>
        <w:t>'Updated Forecast'</w:t>
      </w:r>
      <w:r>
        <w:t>]) for such Gas Year (being a combined aggregate quantity for both ASEPS) shall be divided between the two Entry Points in proportion to the quantities determined (for Gas Year Y-2) under paragraph 2.5.4(a)(i);</w:t>
      </w:r>
    </w:p>
    <w:p>
      <w:pPr>
        <w:numPr>
          <w:ilvl w:val="3"/>
          <w:numId w:val="1"/>
        </w:numPr>
        <w:spacing w:after="240"/>
      </w:pPr>
      <w:r>
        <w:t>in relation to [</w:t>
      </w:r>
      <w:r>
        <w:rPr>
          <w:highlight w:val="green"/>
        </w:rPr>
        <w:t>On-shore</w:t>
      </w:r>
      <w:r>
        <w:t>] Entry Points in relation to a Gas Year, the forecast quantity (in the [</w:t>
      </w:r>
      <w:r>
        <w:rPr>
          <w:highlight w:val="green"/>
        </w:rPr>
        <w:t>'Updated Forecast</w:t>
      </w:r>
      <w:r>
        <w:t xml:space="preserve">']) for such Gas Year (being a combined aggregate quantity for all On-Shore ASEPS) shall be </w:t>
      </w:r>
      <w:r>
        <w:lastRenderedPageBreak/>
        <w:t>divided between all such Entry Points in proportion to the quantities determined (for Gas Year Y-2) under paragraph 2.5.4(a)(i) for each Entry Point.</w:t>
      </w:r>
    </w:p>
    <w:p>
      <w:pPr>
        <w:spacing w:after="240"/>
        <w:ind w:left="720" w:hanging="720"/>
      </w:pPr>
      <w:r>
        <w:t>2.5.6</w:t>
      </w:r>
      <w:r>
        <w:tab/>
        <w:t>If (at the time of determining Forecast Contracted Capacity values for a Gas Year) National Grid NTS considers that, in relation to a particular NTS Point:</w:t>
      </w:r>
    </w:p>
    <w:p>
      <w:pPr>
        <w:numPr>
          <w:ilvl w:val="3"/>
          <w:numId w:val="1"/>
        </w:numPr>
        <w:spacing w:after="240"/>
      </w:pPr>
      <w:r>
        <w:t>the rules in paragraph 2.5.4 cannot properly</w:t>
      </w:r>
      <w:bookmarkStart w:id="0" w:name="_GoBack"/>
      <w:bookmarkEnd w:id="0"/>
      <w:r>
        <w:t xml:space="preserve"> be applied, or</w:t>
      </w:r>
    </w:p>
    <w:p>
      <w:pPr>
        <w:numPr>
          <w:ilvl w:val="3"/>
          <w:numId w:val="1"/>
        </w:numPr>
        <w:spacing w:after="240"/>
      </w:pPr>
      <w:r>
        <w:t>the application of those rules would give a result which substantially fails to reflect the amount of NTS Capacity expected to be allocated (as referred to in paragraph 2.5.1(a)) to Users at the NTS Point</w:t>
      </w:r>
    </w:p>
    <w:p>
      <w:pPr>
        <w:spacing w:after="240"/>
        <w:ind w:left="720"/>
      </w:pPr>
      <w:r>
        <w:t>then National Grid NTS shall:</w:t>
      </w:r>
    </w:p>
    <w:p>
      <w:pPr>
        <w:numPr>
          <w:ilvl w:val="4"/>
          <w:numId w:val="1"/>
        </w:numPr>
        <w:spacing w:after="240"/>
        <w:rPr>
          <w:b/>
          <w:sz w:val="24"/>
          <w:u w:val="single"/>
        </w:rPr>
      </w:pPr>
      <w:r>
        <w:t>determine the Forecast Contracted Capacity on such basis as it considers appropriate in the circumstances; and</w:t>
      </w:r>
    </w:p>
    <w:p>
      <w:pPr>
        <w:numPr>
          <w:ilvl w:val="4"/>
          <w:numId w:val="1"/>
        </w:numPr>
        <w:spacing w:after="240"/>
      </w:pPr>
      <w:r>
        <w:t>include (with the details published under paragraph 2.5.2(b), an explanation of why it considered that paragraph (a) or (b) applied and of the basis on which it determined Forecast Contracted Capacity.</w:t>
      </w:r>
    </w:p>
    <w:p>
      <w:pPr>
        <w:spacing w:after="240"/>
      </w:pPr>
      <w:r>
        <w:t xml:space="preserve"> </w:t>
      </w:r>
    </w:p>
    <w:sectPr>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8" w:footer="6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p>
  <w:p>
    <w:pPr>
      <w:pStyle w:val="Footer"/>
      <w:tabs>
        <w:tab w:val="clear" w:pos="4513"/>
        <w:tab w:val="clear" w:pos="9026"/>
      </w:tabs>
    </w:pPr>
  </w:p>
  <w:p>
    <w:pPr>
      <w:pStyle w:val="Footer"/>
      <w:tabs>
        <w:tab w:val="clear" w:pos="4513"/>
        <w:tab w:val="clear" w:pos="9026"/>
      </w:tabs>
    </w:pPr>
    <w:fldSimple w:instr=" COMMENTS  \* MERGEFORMAT ">
      <w:r>
        <w:t>SARN/DBT/053191.00092/64108792.03</w:t>
      </w:r>
    </w:fldSimple>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431744E"/>
    <w:multiLevelType w:val="hybridMultilevel"/>
    <w:tmpl w:val="3ACC1AA4"/>
    <w:name w:val="Main4222222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82D8D"/>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C62CC9"/>
    <w:multiLevelType w:val="hybridMultilevel"/>
    <w:tmpl w:val="D13A5EA6"/>
    <w:name w:val="Main3"/>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CA4362"/>
    <w:multiLevelType w:val="hybridMultilevel"/>
    <w:tmpl w:val="EB30436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2336080"/>
    <w:multiLevelType w:val="hybridMultilevel"/>
    <w:tmpl w:val="D44E4F60"/>
    <w:name w:val="Main4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2F3756"/>
    <w:multiLevelType w:val="hybridMultilevel"/>
    <w:tmpl w:val="1090BAF0"/>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3641C6D"/>
    <w:multiLevelType w:val="hybridMultilevel"/>
    <w:tmpl w:val="5B9A8B4C"/>
    <w:name w:val="Main4222222323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AA4C1B"/>
    <w:multiLevelType w:val="multilevel"/>
    <w:tmpl w:val="55AC1B94"/>
    <w:name w:val="Main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60333DE"/>
    <w:multiLevelType w:val="hybridMultilevel"/>
    <w:tmpl w:val="46C4242C"/>
    <w:name w:val="Main422222232322"/>
    <w:lvl w:ilvl="0" w:tplc="2E026A2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9C04E1"/>
    <w:multiLevelType w:val="hybridMultilevel"/>
    <w:tmpl w:val="E8FA4420"/>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164A61"/>
    <w:multiLevelType w:val="hybridMultilevel"/>
    <w:tmpl w:val="5134C72A"/>
    <w:name w:val="Main42222223223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B3875C3"/>
    <w:multiLevelType w:val="hybridMultilevel"/>
    <w:tmpl w:val="30D23AB8"/>
    <w:name w:val="Main42222223223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477633"/>
    <w:multiLevelType w:val="multilevel"/>
    <w:tmpl w:val="979EF0D4"/>
    <w:lvl w:ilvl="0">
      <w:start w:val="74"/>
      <w:numFmt w:val="decimal"/>
      <w:lvlText w:val="%1."/>
      <w:lvlJc w:val="left"/>
      <w:pPr>
        <w:tabs>
          <w:tab w:val="num" w:pos="504"/>
        </w:tabs>
        <w:ind w:left="504" w:hanging="504"/>
      </w:pPr>
      <w:rPr>
        <w:rFonts w:ascii="Arial" w:hAnsi="Arial" w:cs="Arial" w:hint="default"/>
        <w:b w:val="0"/>
        <w:i w:val="0"/>
        <w:sz w:val="20"/>
        <w:szCs w:val="20"/>
      </w:rPr>
    </w:lvl>
    <w:lvl w:ilvl="1">
      <w:start w:val="1"/>
      <w:numFmt w:val="decimal"/>
      <w:lvlText w:val="%1.%2."/>
      <w:lvlJc w:val="left"/>
      <w:pPr>
        <w:tabs>
          <w:tab w:val="num" w:pos="1224"/>
        </w:tabs>
        <w:ind w:left="1224" w:hanging="720"/>
      </w:pPr>
      <w:rPr>
        <w:rFonts w:cs="Times New Roman" w:hint="default"/>
      </w:rPr>
    </w:lvl>
    <w:lvl w:ilvl="2">
      <w:start w:val="1"/>
      <w:numFmt w:val="decimal"/>
      <w:lvlText w:val="%1.%2.%3."/>
      <w:lvlJc w:val="left"/>
      <w:pPr>
        <w:tabs>
          <w:tab w:val="num" w:pos="2282"/>
        </w:tabs>
        <w:ind w:left="2282" w:hanging="864"/>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F1F13C5"/>
    <w:multiLevelType w:val="hybridMultilevel"/>
    <w:tmpl w:val="61A2EB1E"/>
    <w:name w:val="Main4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FE4255B"/>
    <w:multiLevelType w:val="hybridMultilevel"/>
    <w:tmpl w:val="298C6550"/>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19C2889"/>
    <w:multiLevelType w:val="hybridMultilevel"/>
    <w:tmpl w:val="741E1BB6"/>
    <w:name w:val="Main422222232232"/>
    <w:lvl w:ilvl="0" w:tplc="716CE05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1C47CC"/>
    <w:multiLevelType w:val="hybridMultilevel"/>
    <w:tmpl w:val="7E2AA180"/>
    <w:name w:val="Main4222222323"/>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nsid w:val="285742EB"/>
    <w:multiLevelType w:val="hybridMultilevel"/>
    <w:tmpl w:val="BF0487CE"/>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261672"/>
    <w:multiLevelType w:val="hybridMultilevel"/>
    <w:tmpl w:val="6BE8FFA8"/>
    <w:name w:val="Main2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5C2539"/>
    <w:multiLevelType w:val="hybridMultilevel"/>
    <w:tmpl w:val="792613F6"/>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49C0A24"/>
    <w:multiLevelType w:val="hybridMultilevel"/>
    <w:tmpl w:val="786E8218"/>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26">
    <w:nsid w:val="3CD87DF9"/>
    <w:multiLevelType w:val="hybridMultilevel"/>
    <w:tmpl w:val="052A6BB8"/>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226B8E"/>
    <w:multiLevelType w:val="multilevel"/>
    <w:tmpl w:val="22D817F2"/>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28">
    <w:nsid w:val="47276786"/>
    <w:multiLevelType w:val="hybridMultilevel"/>
    <w:tmpl w:val="9D94ADC8"/>
    <w:lvl w:ilvl="0" w:tplc="5AEEE3B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542249"/>
    <w:multiLevelType w:val="hybridMultilevel"/>
    <w:tmpl w:val="E350F596"/>
    <w:name w:val="Main422222232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A793D33"/>
    <w:multiLevelType w:val="hybridMultilevel"/>
    <w:tmpl w:val="2A0C9C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D347CC"/>
    <w:multiLevelType w:val="hybridMultilevel"/>
    <w:tmpl w:val="73F05F9A"/>
    <w:lvl w:ilvl="0" w:tplc="2B304178">
      <w:start w:val="4"/>
      <w:numFmt w:val="lowerLetter"/>
      <w:lvlText w:val="(%1)"/>
      <w:lvlJc w:val="left"/>
      <w:pPr>
        <w:ind w:left="36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290C18"/>
    <w:multiLevelType w:val="hybridMultilevel"/>
    <w:tmpl w:val="516868A8"/>
    <w:lvl w:ilvl="0" w:tplc="6C6CF3DA">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B32354"/>
    <w:multiLevelType w:val="multilevel"/>
    <w:tmpl w:val="FC088676"/>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upperLetter"/>
      <w:lvlRestart w:val="1"/>
      <w:lvlText w:val="%4"/>
      <w:lvlJc w:val="left"/>
      <w:pPr>
        <w:ind w:left="72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nsid w:val="51EE538E"/>
    <w:multiLevelType w:val="hybridMultilevel"/>
    <w:tmpl w:val="850A5BD4"/>
    <w:name w:val="Main42222223223"/>
    <w:lvl w:ilvl="0" w:tplc="462A0D0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87236C"/>
    <w:multiLevelType w:val="hybridMultilevel"/>
    <w:tmpl w:val="62502BF0"/>
    <w:name w:val="Main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2785C"/>
    <w:multiLevelType w:val="hybridMultilevel"/>
    <w:tmpl w:val="ABF4297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236F2C"/>
    <w:multiLevelType w:val="hybridMultilevel"/>
    <w:tmpl w:val="A05A3E04"/>
    <w:name w:val="Main422222232"/>
    <w:lvl w:ilvl="0" w:tplc="FE06E7D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C4178C0"/>
    <w:multiLevelType w:val="hybridMultilevel"/>
    <w:tmpl w:val="7D28E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DCA5469"/>
    <w:multiLevelType w:val="hybridMultilevel"/>
    <w:tmpl w:val="4CD6FBBE"/>
    <w:lvl w:ilvl="0" w:tplc="5702669E">
      <w:start w:val="4"/>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1">
    <w:nsid w:val="61653B27"/>
    <w:multiLevelType w:val="hybridMultilevel"/>
    <w:tmpl w:val="F39EB98C"/>
    <w:name w:val="Main4"/>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E52D6D"/>
    <w:multiLevelType w:val="hybridMultilevel"/>
    <w:tmpl w:val="75D85A38"/>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36F7620"/>
    <w:multiLevelType w:val="hybridMultilevel"/>
    <w:tmpl w:val="17383FBA"/>
    <w:name w:val="Main4222222323222"/>
    <w:lvl w:ilvl="0" w:tplc="B5646FD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40B57E5"/>
    <w:multiLevelType w:val="multilevel"/>
    <w:tmpl w:val="7C041672"/>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Letter"/>
      <w:pStyle w:val="AL-4a"/>
      <w:lvlText w:val="(%3)"/>
      <w:lvlJc w:val="left"/>
      <w:pPr>
        <w:tabs>
          <w:tab w:val="num" w:pos="21"/>
        </w:tabs>
        <w:ind w:left="-339" w:firstLine="0"/>
      </w:pPr>
      <w:rPr>
        <w:rFonts w:hint="default"/>
      </w:rPr>
    </w:lvl>
    <w:lvl w:ilvl="3">
      <w:start w:val="1"/>
      <w:numFmt w:val="lowerRoman"/>
      <w:pStyle w:val="AL-5r"/>
      <w:lvlText w:val="(%4)"/>
      <w:lvlJc w:val="left"/>
      <w:pPr>
        <w:tabs>
          <w:tab w:val="num" w:pos="180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52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5">
    <w:nsid w:val="64E57584"/>
    <w:multiLevelType w:val="hybridMultilevel"/>
    <w:tmpl w:val="35E892F2"/>
    <w:name w:val="Main422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90B1B5A"/>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DEA727D"/>
    <w:multiLevelType w:val="hybridMultilevel"/>
    <w:tmpl w:val="8CE227D6"/>
    <w:lvl w:ilvl="0" w:tplc="BEAC5B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E9511D2"/>
    <w:multiLevelType w:val="hybridMultilevel"/>
    <w:tmpl w:val="7F3E084A"/>
    <w:lvl w:ilvl="0" w:tplc="816CA77E">
      <w:start w:val="1"/>
      <w:numFmt w:val="decimal"/>
      <w:pStyle w:val="Level1"/>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50">
    <w:nsid w:val="709261FB"/>
    <w:multiLevelType w:val="hybridMultilevel"/>
    <w:tmpl w:val="2CE6D2E0"/>
    <w:name w:val="Main422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2840537"/>
    <w:multiLevelType w:val="hybridMultilevel"/>
    <w:tmpl w:val="8D4ADC80"/>
    <w:name w:val="Main4222222"/>
    <w:lvl w:ilvl="0" w:tplc="FE06E7D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30A18B1"/>
    <w:multiLevelType w:val="multilevel"/>
    <w:tmpl w:val="CC6E171E"/>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lang w:val="en-GB"/>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53">
    <w:nsid w:val="73CC299B"/>
    <w:multiLevelType w:val="hybridMultilevel"/>
    <w:tmpl w:val="DA30EAA0"/>
    <w:name w:val="Main42222223"/>
    <w:lvl w:ilvl="0" w:tplc="5B820292">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4873167"/>
    <w:multiLevelType w:val="hybridMultilevel"/>
    <w:tmpl w:val="1090BAF0"/>
    <w:name w:val="Main42"/>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76AF6280"/>
    <w:multiLevelType w:val="hybridMultilevel"/>
    <w:tmpl w:val="2FBE0424"/>
    <w:name w:val="Main42222223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8442143"/>
    <w:multiLevelType w:val="hybridMultilevel"/>
    <w:tmpl w:val="6280322E"/>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DA208BF"/>
    <w:multiLevelType w:val="multilevel"/>
    <w:tmpl w:val="D06C59D4"/>
    <w:name w:val="Main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nsid w:val="7E805B7C"/>
    <w:multiLevelType w:val="hybridMultilevel"/>
    <w:tmpl w:val="9D9E4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sz w:val="20"/>
          <w:szCs w:val="2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sz w:val="20"/>
          <w:szCs w:val="2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
    <w:abstractNumId w:val="25"/>
  </w:num>
  <w:num w:numId="3">
    <w:abstractNumId w:val="20"/>
  </w:num>
  <w:num w:numId="4">
    <w:abstractNumId w:val="40"/>
  </w:num>
  <w:num w:numId="5">
    <w:abstractNumId w:val="1"/>
  </w:num>
  <w:num w:numId="6">
    <w:abstractNumId w:val="6"/>
  </w:num>
  <w:num w:numId="7">
    <w:abstractNumId w:val="49"/>
  </w:num>
  <w:num w:numId="8">
    <w:abstractNumId w:val="47"/>
  </w:num>
  <w:num w:numId="9">
    <w:abstractNumId w:val="52"/>
  </w:num>
  <w:num w:numId="10">
    <w:abstractNumId w:val="44"/>
  </w:num>
  <w:num w:numId="11">
    <w:abstractNumId w:val="5"/>
  </w:num>
  <w:num w:numId="12">
    <w:abstractNumId w:val="42"/>
  </w:num>
  <w:num w:numId="13">
    <w:abstractNumId w:val="36"/>
  </w:num>
  <w:num w:numId="14">
    <w:abstractNumId w:val="24"/>
  </w:num>
  <w:num w:numId="15">
    <w:abstractNumId w:val="26"/>
  </w:num>
  <w:num w:numId="16">
    <w:abstractNumId w:val="21"/>
  </w:num>
  <w:num w:numId="17">
    <w:abstractNumId w:val="3"/>
  </w:num>
  <w:num w:numId="18">
    <w:abstractNumId w:val="56"/>
  </w:num>
  <w:num w:numId="19">
    <w:abstractNumId w:val="32"/>
  </w:num>
  <w:num w:numId="20">
    <w:abstractNumId w:val="12"/>
  </w:num>
  <w:num w:numId="21">
    <w:abstractNumId w:val="46"/>
  </w:num>
  <w:num w:numId="22">
    <w:abstractNumId w:val="0"/>
  </w:num>
  <w:num w:numId="23">
    <w:abstractNumId w:val="28"/>
  </w:num>
  <w:num w:numId="24">
    <w:abstractNumId w:val="15"/>
  </w:num>
  <w:num w:numId="25">
    <w:abstractNumId w:val="48"/>
  </w:num>
  <w:num w:numId="26">
    <w:abstractNumId w:val="27"/>
  </w:num>
  <w:num w:numId="27">
    <w:abstractNumId w:val="23"/>
  </w:num>
  <w:num w:numId="28">
    <w:abstractNumId w:val="35"/>
  </w:num>
  <w:num w:numId="29">
    <w:abstractNumId w:val="22"/>
  </w:num>
  <w:num w:numId="30">
    <w:abstractNumId w:val="27"/>
  </w:num>
  <w:num w:numId="31">
    <w:abstractNumId w:val="31"/>
  </w:num>
  <w:num w:numId="32">
    <w:abstractNumId w:val="17"/>
  </w:num>
  <w:num w:numId="33">
    <w:abstractNumId w:val="3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7"/>
  </w:num>
  <w:num w:numId="46">
    <w:abstractNumId w:val="41"/>
  </w:num>
  <w:num w:numId="47">
    <w:abstractNumId w:val="33"/>
  </w:num>
  <w:num w:numId="48">
    <w:abstractNumId w:val="54"/>
  </w:num>
  <w:num w:numId="49">
    <w:abstractNumId w:val="8"/>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16"/>
  </w:num>
  <w:num w:numId="76">
    <w:abstractNumId w:val="7"/>
  </w:num>
  <w:num w:numId="77">
    <w:abstractNumId w:val="50"/>
  </w:num>
  <w:num w:numId="78">
    <w:abstractNumId w:val="45"/>
  </w:num>
  <w:num w:numId="79">
    <w:abstractNumId w:val="51"/>
  </w:num>
  <w:num w:numId="80">
    <w:abstractNumId w:val="2"/>
  </w:num>
  <w:num w:numId="81">
    <w:abstractNumId w:val="53"/>
  </w:num>
  <w:num w:numId="82">
    <w:abstractNumId w:val="37"/>
  </w:num>
  <w:num w:numId="83">
    <w:abstractNumId w:val="55"/>
  </w:num>
  <w:num w:numId="84">
    <w:abstractNumId w:val="29"/>
  </w:num>
  <w:num w:numId="85">
    <w:abstractNumId w:val="34"/>
  </w:num>
  <w:num w:numId="86">
    <w:abstractNumId w:val="18"/>
  </w:num>
  <w:num w:numId="87">
    <w:abstractNumId w:val="13"/>
  </w:num>
  <w:num w:numId="88">
    <w:abstractNumId w:val="14"/>
  </w:num>
  <w:num w:numId="89">
    <w:abstractNumId w:val="27"/>
  </w:num>
  <w:num w:numId="90">
    <w:abstractNumId w:val="27"/>
  </w:num>
  <w:num w:numId="91">
    <w:abstractNumId w:val="27"/>
  </w:num>
  <w:num w:numId="92">
    <w:abstractNumId w:val="19"/>
  </w:num>
  <w:num w:numId="93">
    <w:abstractNumId w:val="9"/>
  </w:num>
  <w:num w:numId="94">
    <w:abstractNumId w:val="11"/>
  </w:num>
  <w:num w:numId="95">
    <w:abstractNumId w:val="30"/>
  </w:num>
  <w:num w:numId="96">
    <w:abstractNumId w:val="43"/>
  </w:num>
  <w:num w:numId="97">
    <w:abstractNumId w:val="10"/>
  </w:num>
  <w:num w:numId="98">
    <w:abstractNumId w:val="57"/>
  </w:num>
  <w:num w:numId="99">
    <w:abstractNumId w:val="27"/>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0">
    <w:abstractNumId w:val="27"/>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LockTheme/>
  <w:styleLockQFSet/>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numPr>
        <w:ilvl w:val="6"/>
        <w:numId w:val="98"/>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numPr>
        <w:ilvl w:val="7"/>
        <w:numId w:val="9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numPr>
        <w:ilvl w:val="8"/>
        <w:numId w:val="98"/>
      </w:numPr>
      <w:autoSpaceDE w:val="0"/>
      <w:autoSpaceDN w:val="0"/>
      <w:adjustRightInd w:val="0"/>
      <w:spacing w:before="240" w:after="60" w:line="240" w:lineRule="auto"/>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26"/>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9"/>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9"/>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9"/>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9"/>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0"/>
      </w:numPr>
      <w:tabs>
        <w:tab w:val="clear" w:pos="720"/>
        <w:tab w:val="left" w:pos="0"/>
      </w:tabs>
      <w:ind w:left="90" w:hanging="90"/>
    </w:pPr>
  </w:style>
  <w:style w:type="paragraph" w:customStyle="1" w:styleId="AL-2">
    <w:name w:val="AL-2"/>
    <w:basedOn w:val="Normal"/>
    <w:pPr>
      <w:widowControl w:val="0"/>
      <w:numPr>
        <w:ilvl w:val="1"/>
        <w:numId w:val="10"/>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0"/>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0"/>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0"/>
      </w:numPr>
      <w:autoSpaceDE w:val="0"/>
      <w:autoSpaceDN w:val="0"/>
      <w:adjustRightInd w:val="0"/>
      <w:spacing w:line="240" w:lineRule="auto"/>
    </w:pPr>
    <w:rPr>
      <w:rFonts w:ascii="Arial" w:eastAsia="Times New Roman" w:hAnsi="Arial" w:cs="Times New Roman"/>
      <w:szCs w:val="24"/>
      <w:lang w:val="en-US"/>
    </w:rPr>
  </w:style>
  <w:style w:type="paragraph" w:customStyle="1" w:styleId="Level1">
    <w:name w:val="Level 1"/>
    <w:basedOn w:val="Normal"/>
    <w:autoRedefine/>
    <w:uiPriority w:val="99"/>
    <w:pPr>
      <w:numPr>
        <w:numId w:val="25"/>
      </w:numPr>
      <w:tabs>
        <w:tab w:val="left" w:pos="1440"/>
        <w:tab w:val="left" w:pos="2304"/>
      </w:tabs>
      <w:spacing w:after="240" w:line="240" w:lineRule="auto"/>
      <w:jc w:val="both"/>
    </w:pPr>
    <w:rPr>
      <w:rFonts w:ascii="Arial" w:eastAsia="Times New Roman" w:hAnsi="Arial" w:cs="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numPr>
        <w:ilvl w:val="6"/>
        <w:numId w:val="98"/>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numPr>
        <w:ilvl w:val="7"/>
        <w:numId w:val="9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numPr>
        <w:ilvl w:val="8"/>
        <w:numId w:val="98"/>
      </w:numPr>
      <w:autoSpaceDE w:val="0"/>
      <w:autoSpaceDN w:val="0"/>
      <w:adjustRightInd w:val="0"/>
      <w:spacing w:before="240" w:after="60" w:line="240" w:lineRule="auto"/>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26"/>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9"/>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9"/>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9"/>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9"/>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0"/>
      </w:numPr>
      <w:tabs>
        <w:tab w:val="clear" w:pos="720"/>
        <w:tab w:val="left" w:pos="0"/>
      </w:tabs>
      <w:ind w:left="90" w:hanging="90"/>
    </w:pPr>
  </w:style>
  <w:style w:type="paragraph" w:customStyle="1" w:styleId="AL-2">
    <w:name w:val="AL-2"/>
    <w:basedOn w:val="Normal"/>
    <w:pPr>
      <w:widowControl w:val="0"/>
      <w:numPr>
        <w:ilvl w:val="1"/>
        <w:numId w:val="10"/>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0"/>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0"/>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0"/>
      </w:numPr>
      <w:autoSpaceDE w:val="0"/>
      <w:autoSpaceDN w:val="0"/>
      <w:adjustRightInd w:val="0"/>
      <w:spacing w:line="240" w:lineRule="auto"/>
    </w:pPr>
    <w:rPr>
      <w:rFonts w:ascii="Arial" w:eastAsia="Times New Roman" w:hAnsi="Arial" w:cs="Times New Roman"/>
      <w:szCs w:val="24"/>
      <w:lang w:val="en-US"/>
    </w:rPr>
  </w:style>
  <w:style w:type="paragraph" w:customStyle="1" w:styleId="Level1">
    <w:name w:val="Level 1"/>
    <w:basedOn w:val="Normal"/>
    <w:autoRedefine/>
    <w:uiPriority w:val="99"/>
    <w:pPr>
      <w:numPr>
        <w:numId w:val="25"/>
      </w:numPr>
      <w:tabs>
        <w:tab w:val="left" w:pos="1440"/>
        <w:tab w:val="left" w:pos="2304"/>
      </w:tabs>
      <w:spacing w:after="240" w:line="240" w:lineRule="auto"/>
      <w:jc w:val="both"/>
    </w:pPr>
    <w:rPr>
      <w:rFonts w:ascii="Arial" w:eastAsia="Times New Roman" w:hAnsi="Arial"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6944">
      <w:bodyDiv w:val="1"/>
      <w:marLeft w:val="0"/>
      <w:marRight w:val="0"/>
      <w:marTop w:val="0"/>
      <w:marBottom w:val="0"/>
      <w:divBdr>
        <w:top w:val="none" w:sz="0" w:space="0" w:color="auto"/>
        <w:left w:val="none" w:sz="0" w:space="0" w:color="auto"/>
        <w:bottom w:val="none" w:sz="0" w:space="0" w:color="auto"/>
        <w:right w:val="none" w:sz="0" w:space="0" w:color="auto"/>
      </w:divBdr>
    </w:div>
    <w:div w:id="827401845">
      <w:bodyDiv w:val="1"/>
      <w:marLeft w:val="0"/>
      <w:marRight w:val="0"/>
      <w:marTop w:val="0"/>
      <w:marBottom w:val="0"/>
      <w:divBdr>
        <w:top w:val="none" w:sz="0" w:space="0" w:color="auto"/>
        <w:left w:val="none" w:sz="0" w:space="0" w:color="auto"/>
        <w:bottom w:val="none" w:sz="0" w:space="0" w:color="auto"/>
        <w:right w:val="none" w:sz="0" w:space="0" w:color="auto"/>
      </w:divBdr>
    </w:div>
    <w:div w:id="1047025530">
      <w:bodyDiv w:val="1"/>
      <w:marLeft w:val="0"/>
      <w:marRight w:val="0"/>
      <w:marTop w:val="0"/>
      <w:marBottom w:val="0"/>
      <w:divBdr>
        <w:top w:val="none" w:sz="0" w:space="0" w:color="auto"/>
        <w:left w:val="none" w:sz="0" w:space="0" w:color="auto"/>
        <w:bottom w:val="none" w:sz="0" w:space="0" w:color="auto"/>
        <w:right w:val="none" w:sz="0" w:space="0" w:color="auto"/>
      </w:divBdr>
    </w:div>
    <w:div w:id="1529873471">
      <w:bodyDiv w:val="1"/>
      <w:marLeft w:val="0"/>
      <w:marRight w:val="0"/>
      <w:marTop w:val="0"/>
      <w:marBottom w:val="0"/>
      <w:divBdr>
        <w:top w:val="none" w:sz="0" w:space="0" w:color="auto"/>
        <w:left w:val="none" w:sz="0" w:space="0" w:color="auto"/>
        <w:bottom w:val="none" w:sz="0" w:space="0" w:color="auto"/>
        <w:right w:val="none" w:sz="0" w:space="0" w:color="auto"/>
      </w:divBdr>
    </w:div>
    <w:div w:id="16791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1623-A149-4BC8-944F-84ED34EB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2</Pages>
  <Words>657</Words>
  <Characters>3181</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64108792.03</vt:lpstr>
    </vt:vector>
  </TitlesOfParts>
  <Company>Dentons</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64108792.03</dc:title>
  <dc:subject/>
  <dc:creator>Dentons</dc:creator>
  <cp:keywords/>
  <dc:description>SARN/DBT/053191.00092/64108792.03</dc:description>
  <cp:lastModifiedBy>Dentons</cp:lastModifiedBy>
  <cp:revision>3</cp:revision>
  <cp:lastPrinted>2019-03-29T15:28:00Z</cp:lastPrinted>
  <dcterms:created xsi:type="dcterms:W3CDTF">2019-04-02T16:15:00Z</dcterms:created>
  <dcterms:modified xsi:type="dcterms:W3CDTF">2019-04-02T16:23:00Z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64108792.03</vt:lpwstr>
  </property>
  <property fmtid="{D5CDD505-2E9C-101B-9397-08002B2CF9AE}" pid="3" name="Client/Matter">
    <vt:lpwstr>053191.00092</vt:lpwstr>
  </property>
  <property fmtid="{D5CDD505-2E9C-101B-9397-08002B2CF9AE}" pid="4" name="OurRef">
    <vt:lpwstr>SARN/DBT/053191.00092</vt:lpwstr>
  </property>
</Properties>
</file>