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394"/>
        <w:gridCol w:w="5084"/>
      </w:tblGrid>
      <w:tr w:rsidR="00EA73B3" w:rsidRPr="00EA73B3" w14:paraId="1601AE27" w14:textId="77777777" w:rsidTr="0A57A144">
        <w:tc>
          <w:tcPr>
            <w:tcW w:w="231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0B906BA7" w:rsidR="00EA73B3" w:rsidRPr="000C476D" w:rsidRDefault="00026EAD" w:rsidP="0A57A144">
            <w:r w:rsidRPr="000C476D">
              <w:t xml:space="preserve">Minor Release Drop </w:t>
            </w:r>
            <w:r w:rsidR="008971FF">
              <w:t>8</w:t>
            </w:r>
          </w:p>
        </w:tc>
      </w:tr>
      <w:tr w:rsidR="00EA73B3" w:rsidRPr="00EA73B3" w14:paraId="06D4D571" w14:textId="77777777" w:rsidTr="0A57A144">
        <w:tc>
          <w:tcPr>
            <w:tcW w:w="231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03533C68" w:rsidR="00EA73B3" w:rsidRPr="000C476D" w:rsidRDefault="00026EAD" w:rsidP="00195A39">
            <w:r w:rsidRPr="000C476D">
              <w:t>XRN</w:t>
            </w:r>
            <w:r w:rsidR="008971FF">
              <w:t>5225</w:t>
            </w:r>
          </w:p>
        </w:tc>
      </w:tr>
      <w:tr w:rsidR="00EA73B3" w:rsidRPr="00EA73B3" w14:paraId="1D6C8AD7" w14:textId="77777777" w:rsidTr="0A57A144">
        <w:tc>
          <w:tcPr>
            <w:tcW w:w="2318"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419660B" w14:textId="684F6C5B" w:rsidR="00EA73B3" w:rsidRPr="000C476D" w:rsidRDefault="008971FF" w:rsidP="0A57A144">
            <w:r>
              <w:t>Bali Bahia</w:t>
            </w:r>
          </w:p>
        </w:tc>
      </w:tr>
      <w:tr w:rsidR="00EA73B3" w:rsidRPr="00EA73B3" w14:paraId="2390A8AC" w14:textId="77777777" w:rsidTr="0A57A144">
        <w:tc>
          <w:tcPr>
            <w:tcW w:w="231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74C587D6" w:rsidR="00EA73B3" w:rsidRPr="000C476D" w:rsidRDefault="008971FF" w:rsidP="0A57A144">
            <w:r>
              <w:t>Bali.Bahia@xoserve.com</w:t>
            </w:r>
          </w:p>
        </w:tc>
      </w:tr>
      <w:tr w:rsidR="00EA73B3" w:rsidRPr="00EA73B3" w14:paraId="3B9ABC1E" w14:textId="77777777" w:rsidTr="0A57A144">
        <w:tc>
          <w:tcPr>
            <w:tcW w:w="231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5E4A8D09" w:rsidR="00EA73B3" w:rsidRPr="000C476D" w:rsidRDefault="00EA73B3" w:rsidP="0A57A144"/>
        </w:tc>
      </w:tr>
      <w:tr w:rsidR="00EA73B3" w:rsidRPr="00EA73B3" w14:paraId="0B495390" w14:textId="77777777" w:rsidTr="0A57A144">
        <w:tc>
          <w:tcPr>
            <w:tcW w:w="231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4D58E7A4" w:rsidR="00EA73B3" w:rsidRPr="000C476D" w:rsidRDefault="0082748A" w:rsidP="00EA73B3">
            <w:r>
              <w:t>10/03/2021</w:t>
            </w:r>
          </w:p>
        </w:tc>
      </w:tr>
      <w:tr w:rsidR="00EA73B3" w:rsidRPr="00EA73B3" w14:paraId="70D298E7" w14:textId="77777777" w:rsidTr="0A57A144">
        <w:tc>
          <w:tcPr>
            <w:tcW w:w="231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5045F865" w:rsidR="00EA73B3" w:rsidRPr="000C476D" w:rsidRDefault="0082748A" w:rsidP="0A57A144">
            <w:r>
              <w:t>21/11/2020</w:t>
            </w:r>
          </w:p>
        </w:tc>
      </w:tr>
      <w:tr w:rsidR="00EA73B3" w:rsidRPr="00EA73B3" w14:paraId="0327033D" w14:textId="77777777" w:rsidTr="0A57A144">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A57A144">
        <w:tc>
          <w:tcPr>
            <w:tcW w:w="5000" w:type="pct"/>
            <w:gridSpan w:val="2"/>
            <w:tcBorders>
              <w:bottom w:val="single" w:sz="4" w:space="0" w:color="auto"/>
            </w:tcBorders>
            <w:shd w:val="clear" w:color="auto" w:fill="FFFFFF" w:themeFill="background1"/>
          </w:tcPr>
          <w:p w14:paraId="48EC43DD" w14:textId="4295B8DD" w:rsidR="00496175" w:rsidRDefault="008C1895" w:rsidP="00001B64">
            <w:pPr>
              <w:spacing w:line="276" w:lineRule="auto"/>
              <w:jc w:val="both"/>
            </w:pPr>
            <w:r w:rsidRPr="00396D86">
              <w:t xml:space="preserve">The changes within Minor Release Drop </w:t>
            </w:r>
            <w:r w:rsidR="0082748A">
              <w:t>8</w:t>
            </w:r>
            <w:r w:rsidRPr="00396D86">
              <w:t xml:space="preserve"> were delivered to the agreed scope and</w:t>
            </w:r>
            <w:r w:rsidR="00252118" w:rsidRPr="00396D86">
              <w:t xml:space="preserve"> </w:t>
            </w:r>
            <w:r w:rsidR="00AC1FCD">
              <w:t xml:space="preserve">to </w:t>
            </w:r>
            <w:r w:rsidR="00252118" w:rsidRPr="00396D86">
              <w:t xml:space="preserve"> the </w:t>
            </w:r>
            <w:r w:rsidR="00AC1FCD">
              <w:t>agreed</w:t>
            </w:r>
            <w:r w:rsidR="00AC1FCD" w:rsidRPr="00396D86">
              <w:t xml:space="preserve"> </w:t>
            </w:r>
            <w:r w:rsidR="00AC1FCD">
              <w:t xml:space="preserve">implementation date </w:t>
            </w:r>
            <w:r w:rsidRPr="00396D86">
              <w:t xml:space="preserve"> of </w:t>
            </w:r>
            <w:r w:rsidR="0082748A">
              <w:t>21</w:t>
            </w:r>
            <w:r w:rsidR="0082748A" w:rsidRPr="0082748A">
              <w:rPr>
                <w:vertAlign w:val="superscript"/>
              </w:rPr>
              <w:t>st</w:t>
            </w:r>
            <w:r w:rsidR="0082748A">
              <w:t xml:space="preserve"> November</w:t>
            </w:r>
            <w:r w:rsidR="00082F62" w:rsidRPr="00396D86">
              <w:t xml:space="preserve"> 2020</w:t>
            </w:r>
            <w:r w:rsidRPr="00396D86">
              <w:t>. The changes made in UK Link were as detailed below.</w:t>
            </w:r>
          </w:p>
          <w:p w14:paraId="2AF45CEA" w14:textId="54203F04" w:rsidR="00496175" w:rsidRDefault="00496175" w:rsidP="00496175">
            <w:pPr>
              <w:rPr>
                <w:rFonts w:eastAsia="Times New Roman" w:cs="Arial"/>
                <w:sz w:val="20"/>
              </w:rPr>
            </w:pPr>
            <w:bookmarkStart w:id="0" w:name="_GoBack"/>
            <w:bookmarkEnd w:id="0"/>
          </w:p>
          <w:p w14:paraId="741E6DBE" w14:textId="6AF758AB" w:rsidR="00A65897" w:rsidRPr="00A65897" w:rsidRDefault="00A65897" w:rsidP="00496175">
            <w:pPr>
              <w:rPr>
                <w:rFonts w:eastAsia="Times New Roman" w:cs="Arial"/>
                <w:b/>
                <w:sz w:val="20"/>
              </w:rPr>
            </w:pPr>
            <w:r w:rsidRPr="00A65897">
              <w:rPr>
                <w:rStyle w:val="normaltextrun"/>
                <w:rFonts w:cs="Arial"/>
                <w:b/>
                <w:color w:val="000000"/>
              </w:rPr>
              <w:t>XRN5118 Change to how ‘Actual MR date’ field is populated in UK Link</w:t>
            </w:r>
            <w:r w:rsidRPr="00A65897">
              <w:rPr>
                <w:rStyle w:val="eop"/>
                <w:rFonts w:cs="Arial"/>
                <w:b/>
                <w:color w:val="000000"/>
              </w:rPr>
              <w:t> </w:t>
            </w:r>
          </w:p>
          <w:p w14:paraId="20FD6C9C" w14:textId="77777777" w:rsidR="00496175" w:rsidRPr="00396D86" w:rsidRDefault="00496175" w:rsidP="00496175">
            <w:pPr>
              <w:rPr>
                <w:rFonts w:eastAsia="Times New Roman" w:cs="Arial"/>
                <w:color w:val="0070C0"/>
                <w:sz w:val="20"/>
              </w:rPr>
            </w:pPr>
          </w:p>
          <w:p w14:paraId="4652E30C" w14:textId="77777777" w:rsidR="0010485C" w:rsidRPr="0010485C" w:rsidRDefault="0010485C" w:rsidP="0010485C">
            <w:pPr>
              <w:jc w:val="both"/>
              <w:textAlignment w:val="baseline"/>
              <w:rPr>
                <w:rFonts w:ascii="Segoe UI" w:eastAsia="Times New Roman" w:hAnsi="Segoe UI" w:cs="Segoe UI"/>
                <w:sz w:val="18"/>
                <w:szCs w:val="18"/>
              </w:rPr>
            </w:pPr>
            <w:r w:rsidRPr="0010485C">
              <w:rPr>
                <w:rFonts w:eastAsia="Times New Roman" w:cs="Arial"/>
              </w:rPr>
              <w:t>The monthly Rolling AQ calculation job executes on the 12</w:t>
            </w:r>
            <w:r w:rsidRPr="0010485C">
              <w:rPr>
                <w:rFonts w:eastAsia="Times New Roman" w:cs="Arial"/>
                <w:sz w:val="17"/>
                <w:szCs w:val="17"/>
                <w:vertAlign w:val="superscript"/>
              </w:rPr>
              <w:t>th</w:t>
            </w:r>
            <w:r w:rsidRPr="0010485C">
              <w:rPr>
                <w:rFonts w:eastAsia="Times New Roman" w:cs="Arial"/>
              </w:rPr>
              <w:t> calendar day of each month and considers Valid Meter Read submissions received from the 11th of the previous month, to the 10th of the current month. </w:t>
            </w:r>
          </w:p>
          <w:p w14:paraId="74DD1148" w14:textId="77777777" w:rsidR="0010485C" w:rsidRPr="0010485C" w:rsidRDefault="0010485C" w:rsidP="0010485C">
            <w:pPr>
              <w:jc w:val="both"/>
              <w:textAlignment w:val="baseline"/>
              <w:rPr>
                <w:rFonts w:ascii="Segoe UI" w:eastAsia="Times New Roman" w:hAnsi="Segoe UI" w:cs="Segoe UI"/>
                <w:sz w:val="18"/>
                <w:szCs w:val="18"/>
              </w:rPr>
            </w:pPr>
            <w:r w:rsidRPr="0010485C">
              <w:rPr>
                <w:rFonts w:eastAsia="Times New Roman" w:cs="Arial"/>
              </w:rPr>
              <w:t> </w:t>
            </w:r>
          </w:p>
          <w:p w14:paraId="5FECF3C3" w14:textId="77777777" w:rsidR="0010485C" w:rsidRPr="0010485C" w:rsidRDefault="0010485C" w:rsidP="0010485C">
            <w:pPr>
              <w:jc w:val="both"/>
              <w:textAlignment w:val="baseline"/>
              <w:rPr>
                <w:rFonts w:ascii="Segoe UI" w:eastAsia="Times New Roman" w:hAnsi="Segoe UI" w:cs="Segoe UI"/>
                <w:sz w:val="18"/>
                <w:szCs w:val="18"/>
              </w:rPr>
            </w:pPr>
            <w:r w:rsidRPr="0010485C">
              <w:rPr>
                <w:rFonts w:eastAsia="Times New Roman" w:cs="Arial"/>
              </w:rPr>
              <w:t>When a Valid Meter Read is received, for a Class 4 meter point on the Unbundled Meter Read file (UMR), the date within the header record (A00) is stored (as ‘Actual MR date’) and used as part of the selection criteria for the Rolling AQ calculation process. However, this is not always the date the file is loaded into UK Link, for example, files have been received where the date in the header is in the past. Therefore, by using the date from the A00 record, all Valid Meter Reads that meet the AQ submission criteria may not be included in the AQ calculation. </w:t>
            </w:r>
          </w:p>
          <w:p w14:paraId="66459160" w14:textId="20505C61" w:rsidR="009348E4" w:rsidRDefault="009348E4" w:rsidP="00496175">
            <w:pPr>
              <w:rPr>
                <w:rFonts w:cs="Arial"/>
                <w:bCs/>
                <w:sz w:val="20"/>
                <w:szCs w:val="20"/>
              </w:rPr>
            </w:pPr>
          </w:p>
          <w:p w14:paraId="45F4B53A" w14:textId="38CC4B94" w:rsidR="0010485C" w:rsidRDefault="0010485C" w:rsidP="00496175">
            <w:pPr>
              <w:rPr>
                <w:rStyle w:val="normaltextrun"/>
                <w:rFonts w:cs="Arial"/>
                <w:color w:val="000000"/>
                <w:shd w:val="clear" w:color="auto" w:fill="FFFFFF"/>
              </w:rPr>
            </w:pPr>
            <w:r>
              <w:rPr>
                <w:rStyle w:val="normaltextrun"/>
                <w:rFonts w:cs="Arial"/>
                <w:color w:val="000000"/>
                <w:shd w:val="clear" w:color="auto" w:fill="FFFFFF"/>
              </w:rPr>
              <w:t>This change will seek to utilise the date a Valid Meter Read is loaded into UK Link for a Class 4 meter point, via the UMR file, as the submission date considered by the AQ calculation. This will ensure that reads loaded from the 11th of the previous month, up to the 10th of the current month, are considered by the AQ calculation process. </w:t>
            </w:r>
          </w:p>
          <w:p w14:paraId="107C2FC1" w14:textId="0740C16E" w:rsidR="0010485C" w:rsidRDefault="0010485C" w:rsidP="00496175">
            <w:pPr>
              <w:rPr>
                <w:rFonts w:cs="Arial"/>
                <w:bCs/>
                <w:sz w:val="20"/>
                <w:szCs w:val="20"/>
              </w:rPr>
            </w:pPr>
          </w:p>
          <w:p w14:paraId="5A4942EB" w14:textId="4FAE2BE8" w:rsidR="0010485C" w:rsidRPr="0050385D" w:rsidRDefault="0050385D" w:rsidP="00496175">
            <w:pPr>
              <w:rPr>
                <w:rFonts w:cs="Arial"/>
                <w:b/>
                <w:bCs/>
                <w:sz w:val="20"/>
                <w:szCs w:val="20"/>
              </w:rPr>
            </w:pPr>
            <w:r w:rsidRPr="0050385D">
              <w:rPr>
                <w:rStyle w:val="normaltextrun"/>
                <w:rFonts w:cs="Arial"/>
                <w:b/>
                <w:color w:val="000000"/>
              </w:rPr>
              <w:t>XRN5174 </w:t>
            </w:r>
            <w:r w:rsidRPr="0050385D">
              <w:rPr>
                <w:rStyle w:val="normaltextrun"/>
                <w:rFonts w:ascii="Tahoma" w:hAnsi="Tahoma" w:cs="Tahoma"/>
                <w:b/>
                <w:color w:val="000000"/>
                <w:lang w:val="en-US"/>
              </w:rPr>
              <w:t>Agreed FINT Replacement Reads Incorrectly Triggering Rolling AQ Calculation</w:t>
            </w:r>
            <w:r w:rsidRPr="0050385D">
              <w:rPr>
                <w:rStyle w:val="eop"/>
                <w:rFonts w:ascii="Tahoma" w:hAnsi="Tahoma" w:cs="Tahoma"/>
                <w:b/>
                <w:color w:val="000000"/>
              </w:rPr>
              <w:t> </w:t>
            </w:r>
          </w:p>
          <w:p w14:paraId="6379B651" w14:textId="67D74283" w:rsidR="000C476D" w:rsidRDefault="000C476D" w:rsidP="000C476D">
            <w:pPr>
              <w:shd w:val="clear" w:color="auto" w:fill="FFFFFF"/>
              <w:textAlignment w:val="baseline"/>
            </w:pPr>
          </w:p>
          <w:p w14:paraId="458B609B" w14:textId="77777777" w:rsidR="00256667" w:rsidRDefault="00256667" w:rsidP="002566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Following a Change of Shipper event, if an estimated read is required, two reads with the same value are created in UK Link, the ‘OPNT’ on the transfer day (D) as the opening read and the ‘FINT’ on D-1, as the final read.</w:t>
            </w:r>
            <w:r>
              <w:rPr>
                <w:rStyle w:val="eop"/>
                <w:rFonts w:eastAsiaTheme="majorEastAsia" w:cs="Arial"/>
                <w:color w:val="000000"/>
                <w:sz w:val="22"/>
                <w:szCs w:val="22"/>
              </w:rPr>
              <w:t> </w:t>
            </w:r>
          </w:p>
          <w:p w14:paraId="0F05F3A0" w14:textId="77777777" w:rsidR="00256667" w:rsidRDefault="00256667" w:rsidP="00256667">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color w:val="000000"/>
                <w:sz w:val="22"/>
                <w:szCs w:val="22"/>
              </w:rPr>
              <w:t> </w:t>
            </w:r>
          </w:p>
          <w:p w14:paraId="72600861" w14:textId="77777777" w:rsidR="00256667" w:rsidRDefault="00256667" w:rsidP="002566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Currently, when an estimated transfer read is replaced both readings are updated. The updated ‘FINT’ read creates a trigger for an AQ calculation, however, as a later read exists this should not trigger an AQ calculation.</w:t>
            </w:r>
            <w:r>
              <w:rPr>
                <w:rStyle w:val="eop"/>
                <w:rFonts w:eastAsiaTheme="majorEastAsia" w:cs="Arial"/>
                <w:color w:val="000000"/>
                <w:sz w:val="22"/>
                <w:szCs w:val="22"/>
              </w:rPr>
              <w:t> </w:t>
            </w:r>
          </w:p>
          <w:p w14:paraId="692E6779" w14:textId="77777777" w:rsidR="00256667" w:rsidRDefault="00256667" w:rsidP="00256667">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color w:val="000000"/>
                <w:sz w:val="22"/>
                <w:szCs w:val="22"/>
              </w:rPr>
              <w:lastRenderedPageBreak/>
              <w:t> </w:t>
            </w:r>
          </w:p>
          <w:p w14:paraId="481F969F" w14:textId="601F119D" w:rsidR="0050385D" w:rsidRDefault="00C4011B" w:rsidP="000C476D">
            <w:pPr>
              <w:shd w:val="clear" w:color="auto" w:fill="FFFFFF"/>
              <w:textAlignment w:val="baseline"/>
              <w:rPr>
                <w:rStyle w:val="eop"/>
                <w:rFonts w:cs="Arial"/>
                <w:color w:val="000000"/>
                <w:shd w:val="clear" w:color="auto" w:fill="FFFFFF"/>
              </w:rPr>
            </w:pPr>
            <w:r>
              <w:rPr>
                <w:rStyle w:val="normaltextrun"/>
                <w:rFonts w:cs="Arial"/>
                <w:color w:val="000000"/>
                <w:shd w:val="clear" w:color="auto" w:fill="FFFFFF"/>
                <w:lang w:val="en-US"/>
              </w:rPr>
              <w:t>This change seeks to prevent a replaced estimated transfer read with a ‘Customer Read Reason’ of ‘FINT’ from triggering an AQ calculation.</w:t>
            </w:r>
            <w:r>
              <w:rPr>
                <w:rStyle w:val="eop"/>
                <w:rFonts w:cs="Arial"/>
                <w:color w:val="000000"/>
                <w:shd w:val="clear" w:color="auto" w:fill="FFFFFF"/>
              </w:rPr>
              <w:t> </w:t>
            </w:r>
          </w:p>
          <w:p w14:paraId="22F3A8C7" w14:textId="789E8D9E" w:rsidR="00C4011B" w:rsidRDefault="00C4011B" w:rsidP="000C476D">
            <w:pPr>
              <w:shd w:val="clear" w:color="auto" w:fill="FFFFFF"/>
              <w:textAlignment w:val="baseline"/>
            </w:pPr>
          </w:p>
          <w:p w14:paraId="75ABD07E" w14:textId="1A1F228A" w:rsidR="00C4011B" w:rsidRPr="00255081" w:rsidRDefault="00255081" w:rsidP="000C476D">
            <w:pPr>
              <w:shd w:val="clear" w:color="auto" w:fill="FFFFFF"/>
              <w:textAlignment w:val="baseline"/>
              <w:rPr>
                <w:b/>
              </w:rPr>
            </w:pPr>
            <w:r w:rsidRPr="00255081">
              <w:rPr>
                <w:rStyle w:val="normaltextrun"/>
                <w:rFonts w:cs="Arial"/>
                <w:b/>
                <w:color w:val="000000"/>
              </w:rPr>
              <w:t>XRN5181 Acceptance of Consumption Adjustment where meter removed after meter point set to Dead</w:t>
            </w:r>
            <w:r w:rsidRPr="00255081">
              <w:rPr>
                <w:rStyle w:val="eop"/>
                <w:rFonts w:cs="Arial"/>
                <w:b/>
                <w:color w:val="000000"/>
              </w:rPr>
              <w:t> </w:t>
            </w:r>
          </w:p>
          <w:p w14:paraId="1ECE481F" w14:textId="377CCE7E" w:rsidR="00C4011B" w:rsidRDefault="00C4011B" w:rsidP="000C476D">
            <w:pPr>
              <w:shd w:val="clear" w:color="auto" w:fill="FFFFFF"/>
              <w:textAlignment w:val="baseline"/>
            </w:pPr>
          </w:p>
          <w:p w14:paraId="4BF1E47E" w14:textId="77777777" w:rsidR="002E0858" w:rsidRDefault="002E0858" w:rsidP="002E08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Currently a meter point can be set to Dead while the meter asset is still associated to the meter point on UKLink. Subsequently, a RGMA transaction can be received to remove the asset present on the site whereas reads, nor consumption adjustments, are accepted for Dead meter points.</w:t>
            </w:r>
            <w:r>
              <w:rPr>
                <w:rStyle w:val="eop"/>
                <w:rFonts w:eastAsiaTheme="majorEastAsia" w:cs="Arial"/>
                <w:sz w:val="22"/>
                <w:szCs w:val="22"/>
              </w:rPr>
              <w:t> </w:t>
            </w:r>
          </w:p>
          <w:p w14:paraId="19D798E8" w14:textId="77777777" w:rsidR="002E0858" w:rsidRDefault="002E0858" w:rsidP="002E0858">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sz w:val="22"/>
                <w:szCs w:val="22"/>
              </w:rPr>
              <w:t> </w:t>
            </w:r>
          </w:p>
          <w:p w14:paraId="7F11BBAB" w14:textId="77777777" w:rsidR="002E0858" w:rsidRDefault="002E0858" w:rsidP="002E08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It has been observed that where shippers have requested consumption adjustments via CMS for Dead meter points, where the meter asset has been removed after the meter point has been set to Dead, that these adjustments have been rejected. Based on current validation rules this is done with rejection code/reason “ADJ00118 - The Status of the Requested Meter Point Reference Number is not live”.</w:t>
            </w:r>
          </w:p>
          <w:p w14:paraId="4A0A80C1" w14:textId="537F9391" w:rsidR="00255081" w:rsidRDefault="00255081" w:rsidP="000C476D">
            <w:pPr>
              <w:shd w:val="clear" w:color="auto" w:fill="FFFFFF"/>
              <w:textAlignment w:val="baseline"/>
            </w:pPr>
          </w:p>
          <w:p w14:paraId="15D6395D" w14:textId="77777777" w:rsidR="00A96702" w:rsidRDefault="00A96702" w:rsidP="00A967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This change seeks to amend the current system validation, in UKLink, to allow consumption adjustments to be accepted for meter points where the meter asset has been removed after the meter point has been set to Dead (DE).</w:t>
            </w:r>
            <w:r>
              <w:rPr>
                <w:rStyle w:val="eop"/>
                <w:rFonts w:eastAsiaTheme="majorEastAsia" w:cs="Arial"/>
                <w:sz w:val="22"/>
                <w:szCs w:val="22"/>
              </w:rPr>
              <w:t> </w:t>
            </w:r>
          </w:p>
          <w:p w14:paraId="56637089" w14:textId="77777777" w:rsidR="00A96702" w:rsidRDefault="00A96702" w:rsidP="00A96702">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s="Arial"/>
                <w:sz w:val="22"/>
                <w:szCs w:val="22"/>
              </w:rPr>
              <w:t> </w:t>
            </w:r>
          </w:p>
          <w:p w14:paraId="3FE12A1C" w14:textId="77777777" w:rsidR="00A96702" w:rsidRDefault="00A96702" w:rsidP="00A967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To clarify no changes will be made to CMS and all other validations will remain unchanged.</w:t>
            </w:r>
          </w:p>
          <w:p w14:paraId="604D0507" w14:textId="77777777" w:rsidR="00500545" w:rsidRDefault="00500545" w:rsidP="000C476D">
            <w:pPr>
              <w:shd w:val="clear" w:color="auto" w:fill="FFFFFF"/>
              <w:textAlignment w:val="baseline"/>
            </w:pPr>
          </w:p>
          <w:p w14:paraId="36A1C476" w14:textId="76FAC060" w:rsidR="00C4011B" w:rsidRDefault="00C4011B" w:rsidP="000C476D">
            <w:pPr>
              <w:shd w:val="clear" w:color="auto" w:fill="FFFFFF"/>
              <w:textAlignment w:val="baseline"/>
            </w:pPr>
          </w:p>
          <w:p w14:paraId="0CB31718" w14:textId="3C19550E" w:rsidR="00C4011B" w:rsidRDefault="00C4011B" w:rsidP="000C476D">
            <w:pPr>
              <w:shd w:val="clear" w:color="auto" w:fill="FFFFFF"/>
              <w:textAlignment w:val="baseline"/>
            </w:pPr>
          </w:p>
          <w:p w14:paraId="32E0CE9B" w14:textId="7562E5F3" w:rsidR="00A96702" w:rsidRDefault="00A96702" w:rsidP="000C476D">
            <w:pPr>
              <w:shd w:val="clear" w:color="auto" w:fill="FFFFFF"/>
              <w:textAlignment w:val="baseline"/>
            </w:pPr>
          </w:p>
          <w:p w14:paraId="6E1C8CB7" w14:textId="584F48FB" w:rsidR="00A96702" w:rsidRDefault="00A96702" w:rsidP="000C476D">
            <w:pPr>
              <w:shd w:val="clear" w:color="auto" w:fill="FFFFFF"/>
              <w:textAlignment w:val="baseline"/>
            </w:pPr>
          </w:p>
          <w:p w14:paraId="74AFB2CD" w14:textId="136B58B6" w:rsidR="00A96702" w:rsidRDefault="00A96702" w:rsidP="000C476D">
            <w:pPr>
              <w:shd w:val="clear" w:color="auto" w:fill="FFFFFF"/>
              <w:textAlignment w:val="baseline"/>
            </w:pPr>
          </w:p>
          <w:p w14:paraId="183709DF" w14:textId="12827BFE" w:rsidR="00A96702" w:rsidRDefault="00A96702" w:rsidP="000C476D">
            <w:pPr>
              <w:shd w:val="clear" w:color="auto" w:fill="FFFFFF"/>
              <w:textAlignment w:val="baseline"/>
            </w:pPr>
          </w:p>
          <w:p w14:paraId="32DB79CB" w14:textId="28DC3544" w:rsidR="00A96702" w:rsidRDefault="00A96702" w:rsidP="000C476D">
            <w:pPr>
              <w:shd w:val="clear" w:color="auto" w:fill="FFFFFF"/>
              <w:textAlignment w:val="baseline"/>
            </w:pPr>
          </w:p>
          <w:p w14:paraId="22F44759" w14:textId="1061EC6A" w:rsidR="00A96702" w:rsidRDefault="00A96702" w:rsidP="000C476D">
            <w:pPr>
              <w:shd w:val="clear" w:color="auto" w:fill="FFFFFF"/>
              <w:textAlignment w:val="baseline"/>
            </w:pPr>
          </w:p>
          <w:p w14:paraId="17B75223" w14:textId="6ED6C1F5" w:rsidR="00A96702" w:rsidRDefault="00A96702" w:rsidP="000C476D">
            <w:pPr>
              <w:shd w:val="clear" w:color="auto" w:fill="FFFFFF"/>
              <w:textAlignment w:val="baseline"/>
            </w:pPr>
          </w:p>
          <w:p w14:paraId="3FDBCB84" w14:textId="6E1B5600" w:rsidR="00A96702" w:rsidRDefault="00A96702" w:rsidP="000C476D">
            <w:pPr>
              <w:shd w:val="clear" w:color="auto" w:fill="FFFFFF"/>
              <w:textAlignment w:val="baseline"/>
            </w:pPr>
          </w:p>
          <w:p w14:paraId="29BF300B" w14:textId="26A2DB28" w:rsidR="00A96702" w:rsidRDefault="00A96702" w:rsidP="000C476D">
            <w:pPr>
              <w:shd w:val="clear" w:color="auto" w:fill="FFFFFF"/>
              <w:textAlignment w:val="baseline"/>
            </w:pPr>
          </w:p>
          <w:p w14:paraId="50BE5A1B" w14:textId="3193B013" w:rsidR="00A96702" w:rsidRDefault="00A96702" w:rsidP="000C476D">
            <w:pPr>
              <w:shd w:val="clear" w:color="auto" w:fill="FFFFFF"/>
              <w:textAlignment w:val="baseline"/>
            </w:pPr>
          </w:p>
          <w:p w14:paraId="09D6A2D2" w14:textId="19F4DE3A" w:rsidR="00A96702" w:rsidRDefault="00A96702" w:rsidP="000C476D">
            <w:pPr>
              <w:shd w:val="clear" w:color="auto" w:fill="FFFFFF"/>
              <w:textAlignment w:val="baseline"/>
            </w:pPr>
          </w:p>
          <w:p w14:paraId="61FE072C" w14:textId="69661459" w:rsidR="00A96702" w:rsidRDefault="00A96702" w:rsidP="000C476D">
            <w:pPr>
              <w:shd w:val="clear" w:color="auto" w:fill="FFFFFF"/>
              <w:textAlignment w:val="baseline"/>
            </w:pPr>
          </w:p>
          <w:p w14:paraId="0C2793B8" w14:textId="655AB735" w:rsidR="00A96702" w:rsidRDefault="00A96702" w:rsidP="000C476D">
            <w:pPr>
              <w:shd w:val="clear" w:color="auto" w:fill="FFFFFF"/>
              <w:textAlignment w:val="baseline"/>
            </w:pPr>
          </w:p>
          <w:p w14:paraId="64336363" w14:textId="2278C5D4" w:rsidR="00A96702" w:rsidRDefault="00A96702" w:rsidP="000C476D">
            <w:pPr>
              <w:shd w:val="clear" w:color="auto" w:fill="FFFFFF"/>
              <w:textAlignment w:val="baseline"/>
            </w:pPr>
          </w:p>
          <w:p w14:paraId="0E4A08F8" w14:textId="4946D95A" w:rsidR="00A96702" w:rsidRDefault="00A96702" w:rsidP="000C476D">
            <w:pPr>
              <w:shd w:val="clear" w:color="auto" w:fill="FFFFFF"/>
              <w:textAlignment w:val="baseline"/>
            </w:pPr>
          </w:p>
          <w:p w14:paraId="3E0D2192" w14:textId="18CDA9A5" w:rsidR="00A96702" w:rsidRDefault="00A96702" w:rsidP="000C476D">
            <w:pPr>
              <w:shd w:val="clear" w:color="auto" w:fill="FFFFFF"/>
              <w:textAlignment w:val="baseline"/>
            </w:pPr>
          </w:p>
          <w:p w14:paraId="24F1DCFC" w14:textId="77777777" w:rsidR="00A96702" w:rsidRDefault="00A96702" w:rsidP="000C476D">
            <w:pPr>
              <w:shd w:val="clear" w:color="auto" w:fill="FFFFFF"/>
              <w:textAlignment w:val="baseline"/>
            </w:pPr>
          </w:p>
          <w:p w14:paraId="158903F2" w14:textId="44692984" w:rsidR="00A96702" w:rsidRDefault="00A96702" w:rsidP="000C476D">
            <w:pPr>
              <w:shd w:val="clear" w:color="auto" w:fill="FFFFFF"/>
              <w:textAlignment w:val="baseline"/>
            </w:pPr>
          </w:p>
          <w:p w14:paraId="116A7530" w14:textId="3C1E69CF" w:rsidR="00A96702" w:rsidRDefault="00A96702" w:rsidP="000C476D">
            <w:pPr>
              <w:shd w:val="clear" w:color="auto" w:fill="FFFFFF"/>
              <w:textAlignment w:val="baseline"/>
            </w:pPr>
          </w:p>
          <w:p w14:paraId="75CE0CF4" w14:textId="7CD3D5E9" w:rsidR="00A96702" w:rsidRDefault="00A96702" w:rsidP="000C476D">
            <w:pPr>
              <w:shd w:val="clear" w:color="auto" w:fill="FFFFFF"/>
              <w:textAlignment w:val="baseline"/>
            </w:pPr>
          </w:p>
          <w:p w14:paraId="65C253CA" w14:textId="6B1547DE" w:rsidR="00A96702" w:rsidRDefault="00A96702" w:rsidP="000C476D">
            <w:pPr>
              <w:shd w:val="clear" w:color="auto" w:fill="FFFFFF"/>
              <w:textAlignment w:val="baseline"/>
            </w:pPr>
          </w:p>
          <w:p w14:paraId="2A730789" w14:textId="77777777" w:rsidR="00A96702" w:rsidRDefault="00A96702" w:rsidP="000C476D">
            <w:pPr>
              <w:shd w:val="clear" w:color="auto" w:fill="FFFFFF"/>
              <w:textAlignment w:val="baseline"/>
            </w:pPr>
          </w:p>
          <w:p w14:paraId="334D8CF1" w14:textId="4124D470" w:rsidR="00C4011B" w:rsidRDefault="00C4011B" w:rsidP="000C476D">
            <w:pPr>
              <w:shd w:val="clear" w:color="auto" w:fill="FFFFFF"/>
              <w:textAlignment w:val="baseline"/>
            </w:pPr>
          </w:p>
          <w:p w14:paraId="3CF6B331" w14:textId="5F4524DB" w:rsidR="00C4011B" w:rsidRDefault="00C4011B" w:rsidP="000C476D">
            <w:pPr>
              <w:shd w:val="clear" w:color="auto" w:fill="FFFFFF"/>
              <w:textAlignment w:val="baseline"/>
            </w:pPr>
          </w:p>
          <w:p w14:paraId="7AA3DF64" w14:textId="7BBDE680" w:rsidR="00C4011B" w:rsidRDefault="00C4011B" w:rsidP="000C476D">
            <w:pPr>
              <w:shd w:val="clear" w:color="auto" w:fill="FFFFFF"/>
              <w:textAlignment w:val="baseline"/>
            </w:pPr>
          </w:p>
          <w:p w14:paraId="3F40C159" w14:textId="32464F1F" w:rsidR="00C4011B" w:rsidRDefault="00C4011B" w:rsidP="000C476D">
            <w:pPr>
              <w:shd w:val="clear" w:color="auto" w:fill="FFFFFF"/>
              <w:textAlignment w:val="baseline"/>
            </w:pPr>
          </w:p>
          <w:p w14:paraId="4E561F4B" w14:textId="58FB6194" w:rsidR="00C4011B" w:rsidRDefault="00C4011B" w:rsidP="000C476D">
            <w:pPr>
              <w:shd w:val="clear" w:color="auto" w:fill="FFFFFF"/>
              <w:textAlignment w:val="baseline"/>
            </w:pPr>
          </w:p>
          <w:p w14:paraId="3EDB42BB" w14:textId="77777777" w:rsidR="00C4011B" w:rsidRPr="00396D86" w:rsidRDefault="00C4011B" w:rsidP="000C476D">
            <w:pPr>
              <w:shd w:val="clear" w:color="auto" w:fill="FFFFFF"/>
              <w:textAlignment w:val="baseline"/>
            </w:pPr>
          </w:p>
          <w:p w14:paraId="646B8C30" w14:textId="74CAE4AC" w:rsidR="004536F6" w:rsidRPr="00396D86" w:rsidRDefault="004536F6" w:rsidP="0A57A144">
            <w:pPr>
              <w:contextualSpacing/>
              <w:rPr>
                <w:rFonts w:eastAsia="Times New Roman" w:cs="Arial"/>
                <w:i/>
                <w:iCs/>
                <w:color w:val="0070C0"/>
                <w:sz w:val="20"/>
                <w:szCs w:val="20"/>
              </w:rPr>
            </w:pPr>
          </w:p>
        </w:tc>
      </w:tr>
      <w:tr w:rsidR="00EA73B3" w:rsidRPr="00EA73B3" w14:paraId="0C90DDA4" w14:textId="77777777" w:rsidTr="0A57A144">
        <w:tc>
          <w:tcPr>
            <w:tcW w:w="5000" w:type="pct"/>
            <w:gridSpan w:val="2"/>
            <w:tcBorders>
              <w:bottom w:val="single" w:sz="4" w:space="0" w:color="auto"/>
            </w:tcBorders>
            <w:shd w:val="clear" w:color="auto" w:fill="3E5AA8" w:themeFill="accent1"/>
            <w:vAlign w:val="center"/>
          </w:tcPr>
          <w:p w14:paraId="22D62687" w14:textId="54E76E0E"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lastRenderedPageBreak/>
              <w:t>Section 2: Confirmed Funding Arrangements</w:t>
            </w:r>
          </w:p>
        </w:tc>
      </w:tr>
      <w:tr w:rsidR="00EA73B3" w:rsidRPr="00EA73B3" w14:paraId="45233572" w14:textId="77777777" w:rsidTr="0A57A144">
        <w:tc>
          <w:tcPr>
            <w:tcW w:w="5000" w:type="pct"/>
            <w:gridSpan w:val="2"/>
            <w:tcBorders>
              <w:bottom w:val="single" w:sz="4" w:space="0" w:color="auto"/>
            </w:tcBorders>
            <w:shd w:val="clear" w:color="auto" w:fill="FFFFFF" w:themeFill="background1"/>
          </w:tcPr>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EA73B3" w:rsidRPr="00EA73B3" w14:paraId="6E11255F" w14:textId="77777777" w:rsidTr="0A57A144">
              <w:tc>
                <w:tcPr>
                  <w:tcW w:w="2547"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Share of  Cost</w:t>
                  </w:r>
                </w:p>
              </w:tc>
              <w:tc>
                <w:tcPr>
                  <w:tcW w:w="1729"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31C1AC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Cost Value</w:t>
                  </w:r>
                </w:p>
              </w:tc>
            </w:tr>
            <w:tr w:rsidR="00EA73B3" w:rsidRPr="00EA73B3" w14:paraId="26F15468" w14:textId="77777777" w:rsidTr="000C476D">
              <w:trPr>
                <w:trHeight w:val="85"/>
              </w:trPr>
              <w:tc>
                <w:tcPr>
                  <w:tcW w:w="2547" w:type="dxa"/>
                </w:tcPr>
                <w:p w14:paraId="22D3A938" w14:textId="5C0A1E22" w:rsidR="00EA73B3" w:rsidRPr="00EA73B3" w:rsidRDefault="008975CA" w:rsidP="0A57A144">
                  <w:pPr>
                    <w:rPr>
                      <w:rFonts w:eastAsia="Times New Roman" w:cs="Arial"/>
                      <w:b/>
                      <w:bCs/>
                      <w:sz w:val="20"/>
                      <w:szCs w:val="20"/>
                    </w:rPr>
                  </w:pPr>
                  <w:r>
                    <w:rPr>
                      <w:rFonts w:eastAsia="Times New Roman" w:cs="Arial"/>
                      <w:b/>
                      <w:bCs/>
                      <w:sz w:val="20"/>
                      <w:szCs w:val="20"/>
                    </w:rPr>
                    <w:t>Shippers</w:t>
                  </w:r>
                </w:p>
              </w:tc>
              <w:tc>
                <w:tcPr>
                  <w:tcW w:w="1417" w:type="dxa"/>
                  <w:vAlign w:val="center"/>
                </w:tcPr>
                <w:p w14:paraId="2D0F9EFD" w14:textId="6C0A3201" w:rsidR="00195A39" w:rsidRPr="00EA73B3" w:rsidRDefault="008975CA" w:rsidP="000C476D">
                  <w:pPr>
                    <w:jc w:val="center"/>
                    <w:rPr>
                      <w:rFonts w:eastAsia="Times New Roman" w:cs="Arial"/>
                      <w:sz w:val="20"/>
                      <w:szCs w:val="20"/>
                    </w:rPr>
                  </w:pPr>
                  <w:r>
                    <w:rPr>
                      <w:rFonts w:eastAsia="Times New Roman" w:cs="Arial"/>
                      <w:sz w:val="20"/>
                      <w:szCs w:val="20"/>
                    </w:rPr>
                    <w:t>-</w:t>
                  </w:r>
                </w:p>
              </w:tc>
              <w:tc>
                <w:tcPr>
                  <w:tcW w:w="1729" w:type="dxa"/>
                  <w:vAlign w:val="center"/>
                </w:tcPr>
                <w:p w14:paraId="4B531AFD" w14:textId="292ADA6C" w:rsidR="00EA73B3" w:rsidRPr="00EA73B3" w:rsidRDefault="008975CA" w:rsidP="000C476D">
                  <w:pPr>
                    <w:jc w:val="center"/>
                    <w:rPr>
                      <w:rFonts w:eastAsia="Times New Roman" w:cs="Arial"/>
                      <w:sz w:val="20"/>
                      <w:szCs w:val="20"/>
                    </w:rPr>
                  </w:pPr>
                  <w:r>
                    <w:rPr>
                      <w:rFonts w:eastAsia="Times New Roman" w:cs="Arial"/>
                      <w:sz w:val="20"/>
                      <w:szCs w:val="20"/>
                    </w:rPr>
                    <w:t>-</w:t>
                  </w:r>
                </w:p>
              </w:tc>
              <w:tc>
                <w:tcPr>
                  <w:tcW w:w="1532" w:type="dxa"/>
                  <w:vAlign w:val="center"/>
                </w:tcPr>
                <w:p w14:paraId="4E3F35E6" w14:textId="1534E466" w:rsidR="00EA73B3" w:rsidRPr="00EA73B3" w:rsidRDefault="008975CA" w:rsidP="000C476D">
                  <w:pPr>
                    <w:jc w:val="center"/>
                    <w:rPr>
                      <w:rFonts w:eastAsia="Times New Roman" w:cs="Arial"/>
                      <w:sz w:val="20"/>
                      <w:szCs w:val="20"/>
                    </w:rPr>
                  </w:pPr>
                  <w:r>
                    <w:rPr>
                      <w:rFonts w:eastAsia="Times New Roman" w:cs="Arial"/>
                      <w:sz w:val="20"/>
                      <w:szCs w:val="20"/>
                    </w:rPr>
                    <w:t>-</w:t>
                  </w:r>
                </w:p>
              </w:tc>
              <w:tc>
                <w:tcPr>
                  <w:tcW w:w="2264" w:type="dxa"/>
                  <w:vAlign w:val="center"/>
                </w:tcPr>
                <w:p w14:paraId="6A039829" w14:textId="64B880DF" w:rsidR="00EA73B3" w:rsidRPr="00EA73B3" w:rsidRDefault="008975CA" w:rsidP="000C476D">
                  <w:pPr>
                    <w:jc w:val="center"/>
                    <w:rPr>
                      <w:rFonts w:eastAsia="Times New Roman" w:cs="Arial"/>
                      <w:sz w:val="20"/>
                      <w:szCs w:val="20"/>
                    </w:rPr>
                  </w:pPr>
                  <w:r>
                    <w:rPr>
                      <w:rFonts w:eastAsia="Times New Roman" w:cs="Arial"/>
                      <w:sz w:val="20"/>
                      <w:szCs w:val="20"/>
                    </w:rPr>
                    <w:t>-</w:t>
                  </w:r>
                </w:p>
              </w:tc>
            </w:tr>
            <w:tr w:rsidR="008975CA" w:rsidRPr="00EA73B3" w14:paraId="199F5DC6" w14:textId="77777777" w:rsidTr="003C2F21">
              <w:tc>
                <w:tcPr>
                  <w:tcW w:w="2547" w:type="dxa"/>
                </w:tcPr>
                <w:p w14:paraId="133FE8C2" w14:textId="77777777" w:rsidR="008975CA" w:rsidRPr="00EA73B3" w:rsidRDefault="008975CA" w:rsidP="00EA73B3">
                  <w:pPr>
                    <w:rPr>
                      <w:rFonts w:eastAsia="Times New Roman" w:cs="Arial"/>
                      <w:b/>
                      <w:sz w:val="20"/>
                      <w:szCs w:val="20"/>
                    </w:rPr>
                  </w:pPr>
                  <w:r w:rsidRPr="00EA73B3">
                    <w:rPr>
                      <w:rFonts w:eastAsia="Times New Roman" w:cs="Arial"/>
                      <w:b/>
                      <w:sz w:val="20"/>
                      <w:szCs w:val="20"/>
                    </w:rPr>
                    <w:t>IGTs</w:t>
                  </w:r>
                </w:p>
              </w:tc>
              <w:tc>
                <w:tcPr>
                  <w:tcW w:w="1417" w:type="dxa"/>
                </w:tcPr>
                <w:p w14:paraId="15D11F30" w14:textId="3870BC5E" w:rsidR="008975CA" w:rsidRPr="00EA73B3" w:rsidRDefault="008975CA" w:rsidP="00EA73B3">
                  <w:pPr>
                    <w:jc w:val="center"/>
                    <w:rPr>
                      <w:rFonts w:eastAsia="Times New Roman" w:cs="Arial"/>
                      <w:sz w:val="20"/>
                      <w:szCs w:val="20"/>
                    </w:rPr>
                  </w:pPr>
                  <w:r w:rsidRPr="006E06FD">
                    <w:rPr>
                      <w:rFonts w:eastAsia="Times New Roman" w:cs="Arial"/>
                      <w:sz w:val="20"/>
                      <w:szCs w:val="20"/>
                    </w:rPr>
                    <w:t>-</w:t>
                  </w:r>
                </w:p>
              </w:tc>
              <w:tc>
                <w:tcPr>
                  <w:tcW w:w="1729" w:type="dxa"/>
                </w:tcPr>
                <w:p w14:paraId="12A63D92" w14:textId="57F726B5" w:rsidR="008975CA" w:rsidRPr="00EA73B3" w:rsidRDefault="008975CA" w:rsidP="00EA73B3">
                  <w:pPr>
                    <w:jc w:val="center"/>
                    <w:rPr>
                      <w:rFonts w:eastAsia="Times New Roman" w:cs="Arial"/>
                      <w:sz w:val="20"/>
                      <w:szCs w:val="20"/>
                    </w:rPr>
                  </w:pPr>
                  <w:r w:rsidRPr="006E06FD">
                    <w:rPr>
                      <w:rFonts w:eastAsia="Times New Roman" w:cs="Arial"/>
                      <w:sz w:val="20"/>
                      <w:szCs w:val="20"/>
                    </w:rPr>
                    <w:t>-</w:t>
                  </w:r>
                </w:p>
              </w:tc>
              <w:tc>
                <w:tcPr>
                  <w:tcW w:w="1532" w:type="dxa"/>
                </w:tcPr>
                <w:p w14:paraId="0E94C84F" w14:textId="3F94CF50" w:rsidR="008975CA" w:rsidRPr="00EA73B3" w:rsidRDefault="008975CA" w:rsidP="00EA73B3">
                  <w:pPr>
                    <w:jc w:val="center"/>
                    <w:rPr>
                      <w:rFonts w:eastAsia="Times New Roman" w:cs="Arial"/>
                      <w:sz w:val="20"/>
                      <w:szCs w:val="20"/>
                    </w:rPr>
                  </w:pPr>
                  <w:r w:rsidRPr="006E06FD">
                    <w:rPr>
                      <w:rFonts w:eastAsia="Times New Roman" w:cs="Arial"/>
                      <w:sz w:val="20"/>
                      <w:szCs w:val="20"/>
                    </w:rPr>
                    <w:t>-</w:t>
                  </w:r>
                </w:p>
              </w:tc>
              <w:tc>
                <w:tcPr>
                  <w:tcW w:w="2264" w:type="dxa"/>
                </w:tcPr>
                <w:p w14:paraId="7CD53000" w14:textId="4AE1F692" w:rsidR="008975CA" w:rsidRPr="00EA73B3" w:rsidRDefault="008975CA" w:rsidP="00EA73B3">
                  <w:pPr>
                    <w:jc w:val="center"/>
                    <w:rPr>
                      <w:rFonts w:eastAsia="Times New Roman" w:cs="Arial"/>
                      <w:sz w:val="20"/>
                      <w:szCs w:val="20"/>
                    </w:rPr>
                  </w:pPr>
                  <w:r w:rsidRPr="006E06FD">
                    <w:rPr>
                      <w:rFonts w:eastAsia="Times New Roman" w:cs="Arial"/>
                      <w:sz w:val="20"/>
                      <w:szCs w:val="20"/>
                    </w:rPr>
                    <w:t>-</w:t>
                  </w:r>
                </w:p>
              </w:tc>
            </w:tr>
            <w:tr w:rsidR="00342540" w:rsidRPr="00EA73B3" w14:paraId="634F441F" w14:textId="77777777" w:rsidTr="00E97940">
              <w:tc>
                <w:tcPr>
                  <w:tcW w:w="2547" w:type="dxa"/>
                </w:tcPr>
                <w:p w14:paraId="11DD2C74" w14:textId="6EE67809" w:rsidR="00342540" w:rsidRPr="00EA73B3" w:rsidRDefault="00342540" w:rsidP="00342540">
                  <w:pPr>
                    <w:rPr>
                      <w:rFonts w:eastAsia="Times New Roman" w:cs="Arial"/>
                      <w:b/>
                      <w:sz w:val="20"/>
                      <w:szCs w:val="20"/>
                    </w:rPr>
                  </w:pPr>
                  <w:r w:rsidRPr="00EA73B3">
                    <w:rPr>
                      <w:rFonts w:eastAsia="Times New Roman" w:cs="Arial"/>
                      <w:b/>
                      <w:sz w:val="20"/>
                      <w:szCs w:val="20"/>
                    </w:rPr>
                    <w:t>DNOs</w:t>
                  </w:r>
                  <w:r>
                    <w:rPr>
                      <w:rFonts w:eastAsia="Times New Roman" w:cs="Arial"/>
                      <w:b/>
                      <w:sz w:val="20"/>
                      <w:szCs w:val="20"/>
                    </w:rPr>
                    <w:t>:</w:t>
                  </w:r>
                </w:p>
              </w:tc>
              <w:tc>
                <w:tcPr>
                  <w:tcW w:w="1417" w:type="dxa"/>
                </w:tcPr>
                <w:p w14:paraId="6CFF2878" w14:textId="4C95BE8B" w:rsidR="00342540" w:rsidRPr="00EA73B3" w:rsidRDefault="00342540" w:rsidP="00342540">
                  <w:pPr>
                    <w:jc w:val="center"/>
                    <w:rPr>
                      <w:rFonts w:eastAsia="Times New Roman" w:cs="Arial"/>
                      <w:sz w:val="20"/>
                      <w:szCs w:val="20"/>
                    </w:rPr>
                  </w:pPr>
                  <w:r w:rsidRPr="006E06FD">
                    <w:rPr>
                      <w:rFonts w:eastAsia="Times New Roman" w:cs="Arial"/>
                      <w:sz w:val="20"/>
                      <w:szCs w:val="20"/>
                    </w:rPr>
                    <w:t>-</w:t>
                  </w:r>
                </w:p>
              </w:tc>
              <w:tc>
                <w:tcPr>
                  <w:tcW w:w="1729" w:type="dxa"/>
                </w:tcPr>
                <w:p w14:paraId="13C064A1" w14:textId="27BBADE5" w:rsidR="00342540" w:rsidRPr="00EA73B3" w:rsidRDefault="00342540" w:rsidP="00342540">
                  <w:pPr>
                    <w:jc w:val="center"/>
                    <w:rPr>
                      <w:rFonts w:eastAsia="Times New Roman" w:cs="Arial"/>
                      <w:sz w:val="20"/>
                      <w:szCs w:val="20"/>
                    </w:rPr>
                  </w:pPr>
                  <w:r w:rsidRPr="006E06FD">
                    <w:rPr>
                      <w:rFonts w:eastAsia="Times New Roman" w:cs="Arial"/>
                      <w:sz w:val="20"/>
                      <w:szCs w:val="20"/>
                    </w:rPr>
                    <w:t>-</w:t>
                  </w:r>
                </w:p>
              </w:tc>
              <w:tc>
                <w:tcPr>
                  <w:tcW w:w="1532" w:type="dxa"/>
                </w:tcPr>
                <w:p w14:paraId="56E130A8" w14:textId="660AE409" w:rsidR="00342540" w:rsidRPr="00EA73B3" w:rsidRDefault="00342540" w:rsidP="00342540">
                  <w:pPr>
                    <w:jc w:val="center"/>
                    <w:rPr>
                      <w:rFonts w:eastAsia="Times New Roman" w:cs="Arial"/>
                      <w:sz w:val="20"/>
                      <w:szCs w:val="20"/>
                    </w:rPr>
                  </w:pPr>
                  <w:r w:rsidRPr="006E06FD">
                    <w:rPr>
                      <w:rFonts w:eastAsia="Times New Roman" w:cs="Arial"/>
                      <w:sz w:val="20"/>
                      <w:szCs w:val="20"/>
                    </w:rPr>
                    <w:t>-</w:t>
                  </w:r>
                </w:p>
              </w:tc>
              <w:tc>
                <w:tcPr>
                  <w:tcW w:w="2264" w:type="dxa"/>
                </w:tcPr>
                <w:p w14:paraId="18147167" w14:textId="4ADB0FCD" w:rsidR="00342540" w:rsidRPr="00EA73B3" w:rsidRDefault="00342540" w:rsidP="00342540">
                  <w:pPr>
                    <w:jc w:val="center"/>
                    <w:rPr>
                      <w:rFonts w:eastAsia="Times New Roman" w:cs="Arial"/>
                      <w:sz w:val="20"/>
                      <w:szCs w:val="20"/>
                    </w:rPr>
                  </w:pPr>
                  <w:r w:rsidRPr="006E06FD">
                    <w:rPr>
                      <w:rFonts w:eastAsia="Times New Roman" w:cs="Arial"/>
                      <w:sz w:val="20"/>
                      <w:szCs w:val="20"/>
                    </w:rPr>
                    <w:t>-</w:t>
                  </w:r>
                </w:p>
              </w:tc>
            </w:tr>
            <w:tr w:rsidR="00342540" w:rsidRPr="00EA73B3" w14:paraId="66A0BF97" w14:textId="77777777" w:rsidTr="0063400E">
              <w:tc>
                <w:tcPr>
                  <w:tcW w:w="2547" w:type="dxa"/>
                </w:tcPr>
                <w:p w14:paraId="72F552F1" w14:textId="77777777" w:rsidR="00342540" w:rsidRPr="00EA73B3" w:rsidRDefault="00342540" w:rsidP="00342540">
                  <w:pPr>
                    <w:rPr>
                      <w:rFonts w:eastAsia="Times New Roman" w:cs="Arial"/>
                      <w:b/>
                      <w:sz w:val="20"/>
                      <w:szCs w:val="20"/>
                    </w:rPr>
                  </w:pPr>
                  <w:r w:rsidRPr="00EA73B3">
                    <w:rPr>
                      <w:rFonts w:eastAsia="Times New Roman" w:cs="Arial"/>
                      <w:b/>
                      <w:sz w:val="20"/>
                      <w:szCs w:val="20"/>
                    </w:rPr>
                    <w:t>Transmission</w:t>
                  </w:r>
                </w:p>
              </w:tc>
              <w:tc>
                <w:tcPr>
                  <w:tcW w:w="1417" w:type="dxa"/>
                </w:tcPr>
                <w:p w14:paraId="487BE727" w14:textId="22B5B5A8" w:rsidR="00342540" w:rsidRPr="00EA73B3" w:rsidRDefault="00342540" w:rsidP="00342540">
                  <w:pPr>
                    <w:jc w:val="center"/>
                    <w:rPr>
                      <w:rFonts w:eastAsia="Times New Roman" w:cs="Arial"/>
                      <w:sz w:val="20"/>
                      <w:szCs w:val="20"/>
                    </w:rPr>
                  </w:pPr>
                  <w:r w:rsidRPr="00CF5F20">
                    <w:rPr>
                      <w:rFonts w:eastAsia="Times New Roman" w:cs="Arial"/>
                      <w:sz w:val="20"/>
                      <w:szCs w:val="20"/>
                    </w:rPr>
                    <w:t>-</w:t>
                  </w:r>
                </w:p>
              </w:tc>
              <w:tc>
                <w:tcPr>
                  <w:tcW w:w="1729" w:type="dxa"/>
                </w:tcPr>
                <w:p w14:paraId="545FA9E5" w14:textId="0BF86CAD" w:rsidR="00342540" w:rsidRPr="00EA73B3" w:rsidRDefault="00342540" w:rsidP="00342540">
                  <w:pPr>
                    <w:jc w:val="center"/>
                    <w:rPr>
                      <w:rFonts w:eastAsia="Times New Roman" w:cs="Arial"/>
                      <w:sz w:val="20"/>
                      <w:szCs w:val="20"/>
                    </w:rPr>
                  </w:pPr>
                  <w:r w:rsidRPr="00CF5F20">
                    <w:rPr>
                      <w:rFonts w:eastAsia="Times New Roman" w:cs="Arial"/>
                      <w:sz w:val="20"/>
                      <w:szCs w:val="20"/>
                    </w:rPr>
                    <w:t>-</w:t>
                  </w:r>
                </w:p>
              </w:tc>
              <w:tc>
                <w:tcPr>
                  <w:tcW w:w="1532" w:type="dxa"/>
                </w:tcPr>
                <w:p w14:paraId="75059127" w14:textId="1400C0F8" w:rsidR="00342540" w:rsidRPr="00EA73B3" w:rsidRDefault="00342540" w:rsidP="00342540">
                  <w:pPr>
                    <w:jc w:val="center"/>
                    <w:rPr>
                      <w:rFonts w:eastAsia="Times New Roman" w:cs="Arial"/>
                      <w:sz w:val="20"/>
                      <w:szCs w:val="20"/>
                    </w:rPr>
                  </w:pPr>
                  <w:r w:rsidRPr="00CF5F20">
                    <w:rPr>
                      <w:rFonts w:eastAsia="Times New Roman" w:cs="Arial"/>
                      <w:sz w:val="20"/>
                      <w:szCs w:val="20"/>
                    </w:rPr>
                    <w:t>-</w:t>
                  </w:r>
                </w:p>
              </w:tc>
              <w:tc>
                <w:tcPr>
                  <w:tcW w:w="2264" w:type="dxa"/>
                </w:tcPr>
                <w:p w14:paraId="719E72A3" w14:textId="64BE0336" w:rsidR="00342540" w:rsidRPr="00EA73B3" w:rsidRDefault="00342540" w:rsidP="00342540">
                  <w:pPr>
                    <w:jc w:val="center"/>
                    <w:rPr>
                      <w:rFonts w:eastAsia="Times New Roman" w:cs="Arial"/>
                      <w:sz w:val="20"/>
                      <w:szCs w:val="20"/>
                    </w:rPr>
                  </w:pPr>
                  <w:r w:rsidRPr="00CF5F20">
                    <w:rPr>
                      <w:rFonts w:eastAsia="Times New Roman" w:cs="Arial"/>
                      <w:sz w:val="20"/>
                      <w:szCs w:val="20"/>
                    </w:rPr>
                    <w:t>-</w:t>
                  </w:r>
                </w:p>
              </w:tc>
            </w:tr>
            <w:tr w:rsidR="00342540" w:rsidRPr="00EA73B3" w14:paraId="620BFD5F" w14:textId="77777777" w:rsidTr="0063400E">
              <w:trPr>
                <w:trHeight w:val="53"/>
              </w:trPr>
              <w:tc>
                <w:tcPr>
                  <w:tcW w:w="2547" w:type="dxa"/>
                </w:tcPr>
                <w:p w14:paraId="3FE2DEBE" w14:textId="77777777" w:rsidR="00342540" w:rsidRPr="00EA73B3" w:rsidRDefault="00342540" w:rsidP="00342540">
                  <w:pPr>
                    <w:rPr>
                      <w:rFonts w:eastAsia="Times New Roman" w:cs="Arial"/>
                      <w:b/>
                      <w:sz w:val="20"/>
                      <w:szCs w:val="20"/>
                    </w:rPr>
                  </w:pPr>
                  <w:r w:rsidRPr="00EA73B3">
                    <w:rPr>
                      <w:rFonts w:eastAsia="Times New Roman" w:cs="Arial"/>
                      <w:b/>
                      <w:sz w:val="20"/>
                      <w:szCs w:val="20"/>
                    </w:rPr>
                    <w:t>DN’s &amp; IGT</w:t>
                  </w:r>
                </w:p>
              </w:tc>
              <w:tc>
                <w:tcPr>
                  <w:tcW w:w="1417" w:type="dxa"/>
                </w:tcPr>
                <w:p w14:paraId="7D880586" w14:textId="3006B271" w:rsidR="00342540" w:rsidRPr="00EA73B3" w:rsidRDefault="00342540" w:rsidP="00342540">
                  <w:pPr>
                    <w:jc w:val="center"/>
                    <w:rPr>
                      <w:rFonts w:eastAsia="Times New Roman" w:cs="Arial"/>
                      <w:sz w:val="20"/>
                      <w:szCs w:val="20"/>
                    </w:rPr>
                  </w:pPr>
                  <w:r w:rsidRPr="00CF5F20">
                    <w:rPr>
                      <w:rFonts w:eastAsia="Times New Roman" w:cs="Arial"/>
                      <w:sz w:val="20"/>
                      <w:szCs w:val="20"/>
                    </w:rPr>
                    <w:t>-</w:t>
                  </w:r>
                </w:p>
              </w:tc>
              <w:tc>
                <w:tcPr>
                  <w:tcW w:w="1729" w:type="dxa"/>
                </w:tcPr>
                <w:p w14:paraId="6648D219" w14:textId="546DD13C" w:rsidR="00342540" w:rsidRPr="00EA73B3" w:rsidRDefault="00342540" w:rsidP="00342540">
                  <w:pPr>
                    <w:jc w:val="center"/>
                    <w:rPr>
                      <w:rFonts w:eastAsia="Times New Roman" w:cs="Arial"/>
                      <w:sz w:val="20"/>
                      <w:szCs w:val="20"/>
                    </w:rPr>
                  </w:pPr>
                  <w:r w:rsidRPr="00CF5F20">
                    <w:rPr>
                      <w:rFonts w:eastAsia="Times New Roman" w:cs="Arial"/>
                      <w:sz w:val="20"/>
                      <w:szCs w:val="20"/>
                    </w:rPr>
                    <w:t>-</w:t>
                  </w:r>
                </w:p>
              </w:tc>
              <w:tc>
                <w:tcPr>
                  <w:tcW w:w="1532" w:type="dxa"/>
                </w:tcPr>
                <w:p w14:paraId="12B102FE" w14:textId="7BF79938" w:rsidR="00342540" w:rsidRPr="00EA73B3" w:rsidRDefault="00342540" w:rsidP="00342540">
                  <w:pPr>
                    <w:jc w:val="center"/>
                    <w:rPr>
                      <w:rFonts w:eastAsia="Times New Roman" w:cs="Arial"/>
                      <w:sz w:val="20"/>
                      <w:szCs w:val="20"/>
                    </w:rPr>
                  </w:pPr>
                  <w:r w:rsidRPr="00CF5F20">
                    <w:rPr>
                      <w:rFonts w:eastAsia="Times New Roman" w:cs="Arial"/>
                      <w:sz w:val="20"/>
                      <w:szCs w:val="20"/>
                    </w:rPr>
                    <w:t>-</w:t>
                  </w:r>
                </w:p>
              </w:tc>
              <w:tc>
                <w:tcPr>
                  <w:tcW w:w="2264" w:type="dxa"/>
                </w:tcPr>
                <w:p w14:paraId="2BCC920E" w14:textId="688E10D9" w:rsidR="00342540" w:rsidRPr="00EA73B3" w:rsidRDefault="00342540" w:rsidP="00342540">
                  <w:pPr>
                    <w:jc w:val="center"/>
                    <w:rPr>
                      <w:rFonts w:eastAsia="Times New Roman" w:cs="Arial"/>
                      <w:sz w:val="20"/>
                      <w:szCs w:val="20"/>
                    </w:rPr>
                  </w:pPr>
                  <w:r w:rsidRPr="00CF5F20">
                    <w:rPr>
                      <w:rFonts w:eastAsia="Times New Roman" w:cs="Arial"/>
                      <w:sz w:val="20"/>
                      <w:szCs w:val="20"/>
                    </w:rPr>
                    <w:t>-</w:t>
                  </w:r>
                </w:p>
              </w:tc>
            </w:tr>
            <w:tr w:rsidR="00342540" w:rsidRPr="00EA73B3" w14:paraId="78900364" w14:textId="77777777" w:rsidTr="0063400E">
              <w:trPr>
                <w:trHeight w:val="53"/>
              </w:trPr>
              <w:tc>
                <w:tcPr>
                  <w:tcW w:w="2547" w:type="dxa"/>
                </w:tcPr>
                <w:p w14:paraId="6BF61458" w14:textId="6D115EF6" w:rsidR="00342540" w:rsidRPr="00EA73B3" w:rsidRDefault="00342540" w:rsidP="00342540">
                  <w:pPr>
                    <w:rPr>
                      <w:rFonts w:eastAsia="Times New Roman" w:cs="Arial"/>
                      <w:b/>
                      <w:sz w:val="20"/>
                      <w:szCs w:val="20"/>
                    </w:rPr>
                  </w:pPr>
                  <w:r>
                    <w:rPr>
                      <w:rFonts w:eastAsia="Times New Roman" w:cs="Arial"/>
                      <w:b/>
                      <w:sz w:val="20"/>
                      <w:szCs w:val="20"/>
                    </w:rPr>
                    <w:t>Total Cost</w:t>
                  </w:r>
                </w:p>
              </w:tc>
              <w:tc>
                <w:tcPr>
                  <w:tcW w:w="1417" w:type="dxa"/>
                </w:tcPr>
                <w:p w14:paraId="5A7751ED" w14:textId="77777777" w:rsidR="00342540" w:rsidRPr="00CF5F20" w:rsidRDefault="00342540" w:rsidP="00342540">
                  <w:pPr>
                    <w:jc w:val="center"/>
                    <w:rPr>
                      <w:rFonts w:eastAsia="Times New Roman" w:cs="Arial"/>
                      <w:sz w:val="20"/>
                      <w:szCs w:val="20"/>
                    </w:rPr>
                  </w:pPr>
                </w:p>
              </w:tc>
              <w:tc>
                <w:tcPr>
                  <w:tcW w:w="1729" w:type="dxa"/>
                </w:tcPr>
                <w:p w14:paraId="2E8EE8E9" w14:textId="77777777" w:rsidR="00342540" w:rsidRPr="00CF5F20" w:rsidRDefault="00342540" w:rsidP="00342540">
                  <w:pPr>
                    <w:jc w:val="center"/>
                    <w:rPr>
                      <w:rFonts w:eastAsia="Times New Roman" w:cs="Arial"/>
                      <w:sz w:val="20"/>
                      <w:szCs w:val="20"/>
                    </w:rPr>
                  </w:pPr>
                </w:p>
              </w:tc>
              <w:tc>
                <w:tcPr>
                  <w:tcW w:w="1532" w:type="dxa"/>
                </w:tcPr>
                <w:p w14:paraId="3B89F721" w14:textId="77777777" w:rsidR="00342540" w:rsidRPr="00CF5F20" w:rsidRDefault="00342540" w:rsidP="00342540">
                  <w:pPr>
                    <w:jc w:val="center"/>
                    <w:rPr>
                      <w:rFonts w:eastAsia="Times New Roman" w:cs="Arial"/>
                      <w:sz w:val="20"/>
                      <w:szCs w:val="20"/>
                    </w:rPr>
                  </w:pPr>
                </w:p>
              </w:tc>
              <w:tc>
                <w:tcPr>
                  <w:tcW w:w="2264" w:type="dxa"/>
                </w:tcPr>
                <w:p w14:paraId="36DA8794" w14:textId="7D29795B" w:rsidR="00342540" w:rsidRPr="00CF5F20" w:rsidRDefault="009B4FCC" w:rsidP="00342540">
                  <w:pPr>
                    <w:jc w:val="center"/>
                    <w:rPr>
                      <w:rFonts w:eastAsia="Times New Roman" w:cs="Arial"/>
                      <w:sz w:val="20"/>
                      <w:szCs w:val="20"/>
                    </w:rPr>
                  </w:pPr>
                  <w:r w:rsidRPr="00E97B1F">
                    <w:rPr>
                      <w:rFonts w:eastAsia="Times New Roman" w:cs="Arial"/>
                      <w:b/>
                      <w:sz w:val="20"/>
                      <w:szCs w:val="16"/>
                    </w:rPr>
                    <w:t>£</w:t>
                  </w:r>
                  <w:r w:rsidR="00B27FB3">
                    <w:rPr>
                      <w:rFonts w:eastAsia="Times New Roman" w:cs="Arial"/>
                      <w:b/>
                      <w:sz w:val="20"/>
                      <w:szCs w:val="16"/>
                    </w:rPr>
                    <w:t>63,567</w:t>
                  </w:r>
                </w:p>
              </w:tc>
            </w:tr>
          </w:tbl>
          <w:p w14:paraId="1672974D" w14:textId="77777777" w:rsidR="00EA73B3" w:rsidRPr="00EA73B3" w:rsidRDefault="00EA73B3" w:rsidP="00EA73B3">
            <w:pPr>
              <w:contextualSpacing/>
              <w:rPr>
                <w:rFonts w:eastAsia="Times New Roman" w:cs="Arial"/>
                <w:b/>
                <w:i/>
                <w:sz w:val="20"/>
                <w:szCs w:val="20"/>
              </w:rPr>
            </w:pPr>
          </w:p>
        </w:tc>
      </w:tr>
      <w:tr w:rsidR="00EA73B3" w:rsidRPr="00EA73B3" w14:paraId="3A67F60A" w14:textId="77777777" w:rsidTr="0A57A144">
        <w:tc>
          <w:tcPr>
            <w:tcW w:w="5000" w:type="pct"/>
            <w:gridSpan w:val="2"/>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EA73B3" w:rsidRPr="00EA73B3" w14:paraId="373C6975" w14:textId="77777777" w:rsidTr="0A57A144">
        <w:tc>
          <w:tcPr>
            <w:tcW w:w="5000" w:type="pct"/>
            <w:gridSpan w:val="2"/>
            <w:tcBorders>
              <w:bottom w:val="single" w:sz="4" w:space="0" w:color="auto"/>
            </w:tcBorders>
            <w:shd w:val="clear" w:color="auto" w:fill="FFFFFF" w:themeFill="background1"/>
            <w:vAlign w:val="center"/>
          </w:tcPr>
          <w:p w14:paraId="4156BA78" w14:textId="31A91478" w:rsidR="00B8637F" w:rsidRPr="00475403" w:rsidRDefault="00475403" w:rsidP="00475403">
            <w:pPr>
              <w:rPr>
                <w:rFonts w:eastAsia="Times New Roman" w:cs="Arial"/>
              </w:rPr>
            </w:pPr>
            <w:r w:rsidRPr="00EE3F6A">
              <w:rPr>
                <w:rFonts w:eastAsia="Times New Roman" w:cs="Arial"/>
              </w:rPr>
              <w:t xml:space="preserve">There were no scope changes for Minor Release Drop </w:t>
            </w:r>
            <w:r w:rsidR="00A96702">
              <w:rPr>
                <w:rFonts w:eastAsia="Times New Roman" w:cs="Arial"/>
              </w:rPr>
              <w:t>8</w:t>
            </w:r>
          </w:p>
        </w:tc>
      </w:tr>
      <w:tr w:rsidR="00EA73B3" w:rsidRPr="00EA73B3" w14:paraId="44DCE113" w14:textId="77777777" w:rsidTr="0A57A144">
        <w:tc>
          <w:tcPr>
            <w:tcW w:w="5000" w:type="pct"/>
            <w:gridSpan w:val="2"/>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A57A144">
        <w:tc>
          <w:tcPr>
            <w:tcW w:w="5000" w:type="pct"/>
            <w:gridSpan w:val="2"/>
            <w:shd w:val="clear" w:color="auto" w:fill="auto"/>
          </w:tcPr>
          <w:p w14:paraId="46992048" w14:textId="550505C5" w:rsidR="00EA73B3" w:rsidRPr="00EE3F6A" w:rsidRDefault="00B800F5" w:rsidP="00EE3F6A">
            <w:pPr>
              <w:rPr>
                <w:rFonts w:eastAsia="Times New Roman" w:cs="Arial"/>
                <w:b/>
                <w:szCs w:val="16"/>
              </w:rPr>
            </w:pPr>
            <w:r w:rsidRPr="00EE3F6A">
              <w:rPr>
                <w:rFonts w:eastAsia="Times New Roman" w:cs="Arial"/>
              </w:rPr>
              <w:t>N/A</w:t>
            </w:r>
          </w:p>
        </w:tc>
      </w:tr>
      <w:tr w:rsidR="00EA73B3" w:rsidRPr="00EA73B3" w14:paraId="6EF7276F" w14:textId="77777777" w:rsidTr="0A57A144">
        <w:tc>
          <w:tcPr>
            <w:tcW w:w="5000" w:type="pct"/>
            <w:gridSpan w:val="2"/>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A57A144">
        <w:tc>
          <w:tcPr>
            <w:tcW w:w="5000" w:type="pct"/>
            <w:gridSpan w:val="2"/>
            <w:shd w:val="clear" w:color="auto" w:fill="auto"/>
          </w:tcPr>
          <w:p w14:paraId="1AB0B5C7" w14:textId="3CBB4B28" w:rsidR="00EA73B3" w:rsidRPr="00B800F5" w:rsidRDefault="00B800F5" w:rsidP="00B800F5">
            <w:pPr>
              <w:rPr>
                <w:rFonts w:eastAsia="Times New Roman" w:cs="Arial"/>
                <w:b/>
                <w:color w:val="FF0000"/>
                <w:szCs w:val="16"/>
              </w:rPr>
            </w:pPr>
            <w:r w:rsidRPr="00B800F5">
              <w:rPr>
                <w:rFonts w:eastAsia="Times New Roman" w:cs="Arial"/>
              </w:rPr>
              <w:t>There have been no changes to the UK Link Manual</w:t>
            </w:r>
          </w:p>
        </w:tc>
      </w:tr>
      <w:tr w:rsidR="00EA73B3" w:rsidRPr="00EA73B3" w14:paraId="7D853ABD" w14:textId="77777777" w:rsidTr="0A57A144">
        <w:tc>
          <w:tcPr>
            <w:tcW w:w="5000" w:type="pct"/>
            <w:gridSpan w:val="2"/>
            <w:shd w:val="clear" w:color="auto" w:fill="3E5AA8" w:themeFill="accent1"/>
            <w:vAlign w:val="center"/>
          </w:tcPr>
          <w:p w14:paraId="3FF03745" w14:textId="77777777" w:rsidR="00EA73B3" w:rsidRPr="009B23DE" w:rsidRDefault="00EA73B3" w:rsidP="00EA73B3">
            <w:pPr>
              <w:jc w:val="center"/>
              <w:rPr>
                <w:rFonts w:eastAsia="Times New Roman" w:cs="Arial"/>
                <w:b/>
              </w:rPr>
            </w:pPr>
            <w:r w:rsidRPr="00414722">
              <w:rPr>
                <w:rFonts w:eastAsia="Arial" w:cs="Arial"/>
                <w:b/>
                <w:color w:val="FFFFFF"/>
                <w:sz w:val="20"/>
                <w:lang w:eastAsia="en-US"/>
              </w:rPr>
              <w:t>Section 6: Lessons Learnt</w:t>
            </w:r>
          </w:p>
        </w:tc>
      </w:tr>
      <w:tr w:rsidR="00EA73B3" w:rsidRPr="00EA73B3" w14:paraId="495C3462" w14:textId="77777777" w:rsidTr="0A57A144">
        <w:tc>
          <w:tcPr>
            <w:tcW w:w="5000" w:type="pct"/>
            <w:gridSpan w:val="2"/>
            <w:shd w:val="clear" w:color="auto" w:fill="auto"/>
          </w:tcPr>
          <w:p w14:paraId="448A3401" w14:textId="58B91F04" w:rsidR="00E449BD" w:rsidRDefault="00CB65BF" w:rsidP="00164693">
            <w:pPr>
              <w:rPr>
                <w:rFonts w:eastAsia="Times New Roman" w:cs="Arial"/>
              </w:rPr>
            </w:pPr>
            <w:r w:rsidRPr="00CB65BF">
              <w:rPr>
                <w:rFonts w:eastAsia="Times New Roman" w:cs="Arial"/>
              </w:rPr>
              <w:t>Issues and confusion caused when attempting to scope this Release relating to definition of Change Requests vs Change Proposals. This matter has since been taken forward under the DSC Governance Review workgroup with clarity around determining differences in changes, and agreeing scoping Releases based on customer impacts and funding arrangements for the changes being delivered</w:t>
            </w:r>
          </w:p>
          <w:p w14:paraId="7B2B5B58" w14:textId="6BCA2213" w:rsidR="00164693" w:rsidRPr="009B23DE" w:rsidRDefault="00164693" w:rsidP="00164693">
            <w:pPr>
              <w:rPr>
                <w:rFonts w:eastAsia="Times New Roman" w:cs="Arial"/>
              </w:rPr>
            </w:pP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2"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EA73B3" w:rsidRPr="00EA73B3" w14:paraId="3208E80C" w14:textId="77777777" w:rsidTr="0A57A144">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A57A144">
        <w:tc>
          <w:tcPr>
            <w:tcW w:w="902" w:type="pct"/>
          </w:tcPr>
          <w:p w14:paraId="1ABADCE5" w14:textId="314410CF" w:rsidR="00EA73B3" w:rsidRPr="00EA73B3" w:rsidRDefault="00B36FFF" w:rsidP="0A57A144">
            <w:pPr>
              <w:jc w:val="center"/>
              <w:rPr>
                <w:rFonts w:eastAsia="Times New Roman" w:cs="Arial"/>
                <w:sz w:val="20"/>
                <w:szCs w:val="20"/>
              </w:rPr>
            </w:pPr>
            <w:r>
              <w:rPr>
                <w:rFonts w:eastAsia="Times New Roman" w:cs="Arial"/>
                <w:sz w:val="20"/>
                <w:szCs w:val="20"/>
              </w:rPr>
              <w:t>0.1</w:t>
            </w:r>
          </w:p>
        </w:tc>
        <w:tc>
          <w:tcPr>
            <w:tcW w:w="835" w:type="pct"/>
          </w:tcPr>
          <w:p w14:paraId="0DB8F594" w14:textId="0021E9FB" w:rsidR="00EA73B3" w:rsidRPr="00EA73B3" w:rsidRDefault="00890918" w:rsidP="0A57A144">
            <w:pPr>
              <w:jc w:val="center"/>
              <w:rPr>
                <w:rFonts w:eastAsia="Times New Roman" w:cs="Arial"/>
                <w:sz w:val="20"/>
                <w:szCs w:val="20"/>
              </w:rPr>
            </w:pPr>
            <w:r>
              <w:rPr>
                <w:rFonts w:eastAsia="Times New Roman" w:cs="Arial"/>
                <w:sz w:val="20"/>
                <w:szCs w:val="20"/>
              </w:rPr>
              <w:t>Draft</w:t>
            </w:r>
          </w:p>
        </w:tc>
        <w:tc>
          <w:tcPr>
            <w:tcW w:w="556" w:type="pct"/>
          </w:tcPr>
          <w:p w14:paraId="0BB1E953" w14:textId="047AFEC3" w:rsidR="00EA73B3" w:rsidRPr="00EA73B3" w:rsidRDefault="00A96702" w:rsidP="0A57A144">
            <w:pPr>
              <w:jc w:val="center"/>
              <w:rPr>
                <w:rFonts w:eastAsia="Times New Roman" w:cs="Arial"/>
                <w:sz w:val="20"/>
                <w:szCs w:val="20"/>
              </w:rPr>
            </w:pPr>
            <w:r>
              <w:rPr>
                <w:rFonts w:eastAsia="Times New Roman" w:cs="Arial"/>
                <w:sz w:val="20"/>
                <w:szCs w:val="20"/>
              </w:rPr>
              <w:t>11/02/2021</w:t>
            </w:r>
          </w:p>
        </w:tc>
        <w:tc>
          <w:tcPr>
            <w:tcW w:w="763" w:type="pct"/>
          </w:tcPr>
          <w:p w14:paraId="4350D9F9" w14:textId="00E0AF22" w:rsidR="00EA73B3" w:rsidRPr="00EA73B3" w:rsidRDefault="00A96702" w:rsidP="00890918">
            <w:pPr>
              <w:rPr>
                <w:rFonts w:eastAsia="Times New Roman" w:cs="Arial"/>
                <w:sz w:val="20"/>
                <w:szCs w:val="20"/>
              </w:rPr>
            </w:pPr>
            <w:r>
              <w:rPr>
                <w:rFonts w:eastAsia="Times New Roman" w:cs="Arial"/>
                <w:sz w:val="20"/>
                <w:szCs w:val="20"/>
              </w:rPr>
              <w:t>Bali Bahia</w:t>
            </w:r>
          </w:p>
        </w:tc>
        <w:tc>
          <w:tcPr>
            <w:tcW w:w="1944" w:type="pct"/>
          </w:tcPr>
          <w:p w14:paraId="0FC70C39" w14:textId="3CBCDC4F" w:rsidR="00EA73B3" w:rsidRPr="00EA73B3" w:rsidRDefault="008E7286" w:rsidP="0A57A144">
            <w:pPr>
              <w:jc w:val="center"/>
              <w:rPr>
                <w:rFonts w:eastAsia="Times New Roman" w:cs="Arial"/>
                <w:sz w:val="20"/>
                <w:szCs w:val="20"/>
              </w:rPr>
            </w:pPr>
            <w:r>
              <w:rPr>
                <w:rFonts w:eastAsia="Times New Roman" w:cs="Arial"/>
                <w:sz w:val="20"/>
                <w:szCs w:val="20"/>
              </w:rPr>
              <w:t>Initial draft</w:t>
            </w:r>
          </w:p>
        </w:tc>
      </w:tr>
      <w:tr w:rsidR="002E2F18" w:rsidRPr="00EA73B3" w14:paraId="75BB497D" w14:textId="77777777" w:rsidTr="0A57A144">
        <w:tc>
          <w:tcPr>
            <w:tcW w:w="902" w:type="pct"/>
          </w:tcPr>
          <w:p w14:paraId="248495D8" w14:textId="1F4AFB6D" w:rsidR="002E2F18" w:rsidRPr="0A57A144" w:rsidRDefault="00F24934" w:rsidP="0A57A144">
            <w:pPr>
              <w:jc w:val="center"/>
              <w:rPr>
                <w:rFonts w:eastAsia="Times New Roman" w:cs="Arial"/>
                <w:sz w:val="20"/>
                <w:szCs w:val="20"/>
              </w:rPr>
            </w:pPr>
            <w:r>
              <w:rPr>
                <w:rFonts w:eastAsia="Times New Roman" w:cs="Arial"/>
                <w:sz w:val="20"/>
                <w:szCs w:val="20"/>
              </w:rPr>
              <w:t>1.0</w:t>
            </w:r>
          </w:p>
        </w:tc>
        <w:tc>
          <w:tcPr>
            <w:tcW w:w="835" w:type="pct"/>
          </w:tcPr>
          <w:p w14:paraId="0D754920" w14:textId="2DB37890" w:rsidR="002E2F18" w:rsidRDefault="00B77640" w:rsidP="0A57A144">
            <w:pPr>
              <w:jc w:val="center"/>
              <w:rPr>
                <w:rFonts w:eastAsia="Times New Roman" w:cs="Arial"/>
                <w:sz w:val="20"/>
                <w:szCs w:val="20"/>
              </w:rPr>
            </w:pPr>
            <w:r>
              <w:rPr>
                <w:rFonts w:eastAsia="Times New Roman" w:cs="Arial"/>
                <w:sz w:val="20"/>
                <w:szCs w:val="20"/>
              </w:rPr>
              <w:t xml:space="preserve">Approved </w:t>
            </w:r>
          </w:p>
        </w:tc>
        <w:tc>
          <w:tcPr>
            <w:tcW w:w="556" w:type="pct"/>
          </w:tcPr>
          <w:p w14:paraId="6783194E" w14:textId="57D0944C" w:rsidR="002E2F18" w:rsidRDefault="00B77640" w:rsidP="0A57A144">
            <w:pPr>
              <w:jc w:val="center"/>
              <w:rPr>
                <w:rFonts w:eastAsia="Times New Roman" w:cs="Arial"/>
                <w:sz w:val="20"/>
                <w:szCs w:val="20"/>
              </w:rPr>
            </w:pPr>
            <w:r>
              <w:rPr>
                <w:rFonts w:eastAsia="Times New Roman" w:cs="Arial"/>
                <w:sz w:val="20"/>
                <w:szCs w:val="20"/>
              </w:rPr>
              <w:t>19/02/2021</w:t>
            </w:r>
          </w:p>
        </w:tc>
        <w:tc>
          <w:tcPr>
            <w:tcW w:w="763" w:type="pct"/>
          </w:tcPr>
          <w:p w14:paraId="2B6EA685" w14:textId="4DDB1360" w:rsidR="002E2F18" w:rsidRDefault="00B77640" w:rsidP="00890918">
            <w:pPr>
              <w:rPr>
                <w:rFonts w:eastAsia="Times New Roman" w:cs="Arial"/>
                <w:sz w:val="20"/>
                <w:szCs w:val="20"/>
              </w:rPr>
            </w:pPr>
            <w:r>
              <w:rPr>
                <w:rFonts w:eastAsia="Times New Roman" w:cs="Arial"/>
                <w:sz w:val="20"/>
                <w:szCs w:val="20"/>
              </w:rPr>
              <w:t>Pete Hopkins</w:t>
            </w:r>
          </w:p>
        </w:tc>
        <w:tc>
          <w:tcPr>
            <w:tcW w:w="1944" w:type="pct"/>
          </w:tcPr>
          <w:p w14:paraId="4EF70658" w14:textId="3C09B20E" w:rsidR="002E2F18" w:rsidRDefault="008E7286" w:rsidP="0A57A144">
            <w:pPr>
              <w:jc w:val="center"/>
              <w:rPr>
                <w:rFonts w:eastAsia="Times New Roman" w:cs="Arial"/>
                <w:sz w:val="20"/>
                <w:szCs w:val="20"/>
              </w:rPr>
            </w:pPr>
            <w:r>
              <w:rPr>
                <w:rFonts w:eastAsia="Times New Roman" w:cs="Arial"/>
                <w:sz w:val="20"/>
                <w:szCs w:val="20"/>
              </w:rPr>
              <w:t>Approved</w:t>
            </w: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Template approved at ChMC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Moved onto Xoserve’s new Word template in line with new branding</w:t>
            </w:r>
          </w:p>
        </w:tc>
      </w:tr>
    </w:tbl>
    <w:p w14:paraId="7651F714" w14:textId="77777777" w:rsidR="00D66C7E" w:rsidRPr="00EA73B3" w:rsidRDefault="00D66C7E" w:rsidP="00EA73B3"/>
    <w:sectPr w:rsidR="00D66C7E" w:rsidRPr="00EA73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9F6F" w14:textId="77777777" w:rsidR="004954D1" w:rsidRDefault="004954D1" w:rsidP="00324744">
      <w:pPr>
        <w:spacing w:after="0" w:line="240" w:lineRule="auto"/>
      </w:pPr>
      <w:r>
        <w:separator/>
      </w:r>
    </w:p>
  </w:endnote>
  <w:endnote w:type="continuationSeparator" w:id="0">
    <w:p w14:paraId="4261F05B" w14:textId="77777777" w:rsidR="004954D1" w:rsidRDefault="004954D1"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C26F8C"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6502F" w14:textId="77777777" w:rsidR="004954D1" w:rsidRDefault="004954D1" w:rsidP="00324744">
      <w:pPr>
        <w:spacing w:after="0" w:line="240" w:lineRule="auto"/>
      </w:pPr>
      <w:r>
        <w:separator/>
      </w:r>
    </w:p>
  </w:footnote>
  <w:footnote w:type="continuationSeparator" w:id="0">
    <w:p w14:paraId="2FB81286" w14:textId="77777777" w:rsidR="004954D1" w:rsidRDefault="004954D1"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056E8"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C9D"/>
    <w:multiLevelType w:val="hybridMultilevel"/>
    <w:tmpl w:val="983A8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B29A2"/>
    <w:multiLevelType w:val="hybridMultilevel"/>
    <w:tmpl w:val="DAD603AA"/>
    <w:lvl w:ilvl="0" w:tplc="E946C640">
      <w:start w:val="1"/>
      <w:numFmt w:val="bullet"/>
      <w:lvlText w:val="•"/>
      <w:lvlJc w:val="left"/>
      <w:pPr>
        <w:tabs>
          <w:tab w:val="num" w:pos="720"/>
        </w:tabs>
        <w:ind w:left="720" w:hanging="360"/>
      </w:pPr>
      <w:rPr>
        <w:rFonts w:ascii="Arial" w:hAnsi="Arial" w:hint="default"/>
      </w:rPr>
    </w:lvl>
    <w:lvl w:ilvl="1" w:tplc="1272FB24" w:tentative="1">
      <w:start w:val="1"/>
      <w:numFmt w:val="bullet"/>
      <w:lvlText w:val="•"/>
      <w:lvlJc w:val="left"/>
      <w:pPr>
        <w:tabs>
          <w:tab w:val="num" w:pos="1440"/>
        </w:tabs>
        <w:ind w:left="1440" w:hanging="360"/>
      </w:pPr>
      <w:rPr>
        <w:rFonts w:ascii="Arial" w:hAnsi="Arial" w:hint="default"/>
      </w:rPr>
    </w:lvl>
    <w:lvl w:ilvl="2" w:tplc="46823628" w:tentative="1">
      <w:start w:val="1"/>
      <w:numFmt w:val="bullet"/>
      <w:lvlText w:val="•"/>
      <w:lvlJc w:val="left"/>
      <w:pPr>
        <w:tabs>
          <w:tab w:val="num" w:pos="2160"/>
        </w:tabs>
        <w:ind w:left="2160" w:hanging="360"/>
      </w:pPr>
      <w:rPr>
        <w:rFonts w:ascii="Arial" w:hAnsi="Arial" w:hint="default"/>
      </w:rPr>
    </w:lvl>
    <w:lvl w:ilvl="3" w:tplc="0170919C" w:tentative="1">
      <w:start w:val="1"/>
      <w:numFmt w:val="bullet"/>
      <w:lvlText w:val="•"/>
      <w:lvlJc w:val="left"/>
      <w:pPr>
        <w:tabs>
          <w:tab w:val="num" w:pos="2880"/>
        </w:tabs>
        <w:ind w:left="2880" w:hanging="360"/>
      </w:pPr>
      <w:rPr>
        <w:rFonts w:ascii="Arial" w:hAnsi="Arial" w:hint="default"/>
      </w:rPr>
    </w:lvl>
    <w:lvl w:ilvl="4" w:tplc="9754D5C2" w:tentative="1">
      <w:start w:val="1"/>
      <w:numFmt w:val="bullet"/>
      <w:lvlText w:val="•"/>
      <w:lvlJc w:val="left"/>
      <w:pPr>
        <w:tabs>
          <w:tab w:val="num" w:pos="3600"/>
        </w:tabs>
        <w:ind w:left="3600" w:hanging="360"/>
      </w:pPr>
      <w:rPr>
        <w:rFonts w:ascii="Arial" w:hAnsi="Arial" w:hint="default"/>
      </w:rPr>
    </w:lvl>
    <w:lvl w:ilvl="5" w:tplc="F45AA972" w:tentative="1">
      <w:start w:val="1"/>
      <w:numFmt w:val="bullet"/>
      <w:lvlText w:val="•"/>
      <w:lvlJc w:val="left"/>
      <w:pPr>
        <w:tabs>
          <w:tab w:val="num" w:pos="4320"/>
        </w:tabs>
        <w:ind w:left="4320" w:hanging="360"/>
      </w:pPr>
      <w:rPr>
        <w:rFonts w:ascii="Arial" w:hAnsi="Arial" w:hint="default"/>
      </w:rPr>
    </w:lvl>
    <w:lvl w:ilvl="6" w:tplc="109EE51E" w:tentative="1">
      <w:start w:val="1"/>
      <w:numFmt w:val="bullet"/>
      <w:lvlText w:val="•"/>
      <w:lvlJc w:val="left"/>
      <w:pPr>
        <w:tabs>
          <w:tab w:val="num" w:pos="5040"/>
        </w:tabs>
        <w:ind w:left="5040" w:hanging="360"/>
      </w:pPr>
      <w:rPr>
        <w:rFonts w:ascii="Arial" w:hAnsi="Arial" w:hint="default"/>
      </w:rPr>
    </w:lvl>
    <w:lvl w:ilvl="7" w:tplc="34E22B60" w:tentative="1">
      <w:start w:val="1"/>
      <w:numFmt w:val="bullet"/>
      <w:lvlText w:val="•"/>
      <w:lvlJc w:val="left"/>
      <w:pPr>
        <w:tabs>
          <w:tab w:val="num" w:pos="5760"/>
        </w:tabs>
        <w:ind w:left="5760" w:hanging="360"/>
      </w:pPr>
      <w:rPr>
        <w:rFonts w:ascii="Arial" w:hAnsi="Arial" w:hint="default"/>
      </w:rPr>
    </w:lvl>
    <w:lvl w:ilvl="8" w:tplc="7834F1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B15B45"/>
    <w:multiLevelType w:val="hybridMultilevel"/>
    <w:tmpl w:val="512E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27E8D"/>
    <w:multiLevelType w:val="hybridMultilevel"/>
    <w:tmpl w:val="54CA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C2A02"/>
    <w:multiLevelType w:val="hybridMultilevel"/>
    <w:tmpl w:val="773E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84D7D"/>
    <w:multiLevelType w:val="hybridMultilevel"/>
    <w:tmpl w:val="0EFC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310D5"/>
    <w:multiLevelType w:val="hybridMultilevel"/>
    <w:tmpl w:val="C30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96507"/>
    <w:multiLevelType w:val="hybridMultilevel"/>
    <w:tmpl w:val="ACD87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02B2D"/>
    <w:multiLevelType w:val="hybridMultilevel"/>
    <w:tmpl w:val="1FB84084"/>
    <w:lvl w:ilvl="0" w:tplc="B47690B0">
      <w:start w:val="1"/>
      <w:numFmt w:val="bullet"/>
      <w:lvlText w:val="-"/>
      <w:lvlJc w:val="left"/>
      <w:pPr>
        <w:tabs>
          <w:tab w:val="num" w:pos="1080"/>
        </w:tabs>
        <w:ind w:left="1080" w:hanging="360"/>
      </w:pPr>
      <w:rPr>
        <w:rFonts w:ascii="Times New Roman" w:hAnsi="Times New Roman" w:cs="Times New Roman" w:hint="default"/>
      </w:rPr>
    </w:lvl>
    <w:lvl w:ilvl="1" w:tplc="5C98A75E">
      <w:start w:val="1"/>
      <w:numFmt w:val="bullet"/>
      <w:lvlText w:val="-"/>
      <w:lvlJc w:val="left"/>
      <w:pPr>
        <w:tabs>
          <w:tab w:val="num" w:pos="1800"/>
        </w:tabs>
        <w:ind w:left="1800" w:hanging="360"/>
      </w:pPr>
      <w:rPr>
        <w:rFonts w:ascii="Times New Roman" w:hAnsi="Times New Roman" w:cs="Times New Roman" w:hint="default"/>
      </w:rPr>
    </w:lvl>
    <w:lvl w:ilvl="2" w:tplc="5FD263B0">
      <w:start w:val="1"/>
      <w:numFmt w:val="bullet"/>
      <w:lvlText w:val="-"/>
      <w:lvlJc w:val="left"/>
      <w:pPr>
        <w:tabs>
          <w:tab w:val="num" w:pos="2520"/>
        </w:tabs>
        <w:ind w:left="2520" w:hanging="360"/>
      </w:pPr>
      <w:rPr>
        <w:rFonts w:ascii="Times New Roman" w:hAnsi="Times New Roman" w:cs="Times New Roman" w:hint="default"/>
      </w:rPr>
    </w:lvl>
    <w:lvl w:ilvl="3" w:tplc="D2C67F5C">
      <w:start w:val="1"/>
      <w:numFmt w:val="bullet"/>
      <w:lvlText w:val="-"/>
      <w:lvlJc w:val="left"/>
      <w:pPr>
        <w:tabs>
          <w:tab w:val="num" w:pos="3240"/>
        </w:tabs>
        <w:ind w:left="3240" w:hanging="360"/>
      </w:pPr>
      <w:rPr>
        <w:rFonts w:ascii="Times New Roman" w:hAnsi="Times New Roman" w:cs="Times New Roman" w:hint="default"/>
      </w:rPr>
    </w:lvl>
    <w:lvl w:ilvl="4" w:tplc="7924D8EC">
      <w:start w:val="1"/>
      <w:numFmt w:val="bullet"/>
      <w:lvlText w:val="-"/>
      <w:lvlJc w:val="left"/>
      <w:pPr>
        <w:tabs>
          <w:tab w:val="num" w:pos="3960"/>
        </w:tabs>
        <w:ind w:left="3960" w:hanging="360"/>
      </w:pPr>
      <w:rPr>
        <w:rFonts w:ascii="Times New Roman" w:hAnsi="Times New Roman" w:cs="Times New Roman" w:hint="default"/>
      </w:rPr>
    </w:lvl>
    <w:lvl w:ilvl="5" w:tplc="6B10D922">
      <w:start w:val="1"/>
      <w:numFmt w:val="bullet"/>
      <w:lvlText w:val="-"/>
      <w:lvlJc w:val="left"/>
      <w:pPr>
        <w:tabs>
          <w:tab w:val="num" w:pos="4680"/>
        </w:tabs>
        <w:ind w:left="4680" w:hanging="360"/>
      </w:pPr>
      <w:rPr>
        <w:rFonts w:ascii="Times New Roman" w:hAnsi="Times New Roman" w:cs="Times New Roman" w:hint="default"/>
      </w:rPr>
    </w:lvl>
    <w:lvl w:ilvl="6" w:tplc="939C2AC0">
      <w:start w:val="1"/>
      <w:numFmt w:val="bullet"/>
      <w:lvlText w:val="-"/>
      <w:lvlJc w:val="left"/>
      <w:pPr>
        <w:tabs>
          <w:tab w:val="num" w:pos="5400"/>
        </w:tabs>
        <w:ind w:left="5400" w:hanging="360"/>
      </w:pPr>
      <w:rPr>
        <w:rFonts w:ascii="Times New Roman" w:hAnsi="Times New Roman" w:cs="Times New Roman" w:hint="default"/>
      </w:rPr>
    </w:lvl>
    <w:lvl w:ilvl="7" w:tplc="7E201D06">
      <w:start w:val="1"/>
      <w:numFmt w:val="bullet"/>
      <w:lvlText w:val="-"/>
      <w:lvlJc w:val="left"/>
      <w:pPr>
        <w:tabs>
          <w:tab w:val="num" w:pos="6120"/>
        </w:tabs>
        <w:ind w:left="6120" w:hanging="360"/>
      </w:pPr>
      <w:rPr>
        <w:rFonts w:ascii="Times New Roman" w:hAnsi="Times New Roman" w:cs="Times New Roman" w:hint="default"/>
      </w:rPr>
    </w:lvl>
    <w:lvl w:ilvl="8" w:tplc="F640A7F8">
      <w:start w:val="1"/>
      <w:numFmt w:val="bullet"/>
      <w:lvlText w:val="-"/>
      <w:lvlJc w:val="left"/>
      <w:pPr>
        <w:tabs>
          <w:tab w:val="num" w:pos="6840"/>
        </w:tabs>
        <w:ind w:left="6840" w:hanging="360"/>
      </w:pPr>
      <w:rPr>
        <w:rFonts w:ascii="Times New Roman" w:hAnsi="Times New Roman" w:cs="Times New Roman" w:hint="default"/>
      </w:rPr>
    </w:lvl>
  </w:abstractNum>
  <w:abstractNum w:abstractNumId="10" w15:restartNumberingAfterBreak="0">
    <w:nsid w:val="60851370"/>
    <w:multiLevelType w:val="hybridMultilevel"/>
    <w:tmpl w:val="CC76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A237C"/>
    <w:multiLevelType w:val="hybridMultilevel"/>
    <w:tmpl w:val="E66092E8"/>
    <w:lvl w:ilvl="0" w:tplc="75DE6038">
      <w:start w:val="1"/>
      <w:numFmt w:val="bullet"/>
      <w:lvlText w:val="•"/>
      <w:lvlJc w:val="left"/>
      <w:pPr>
        <w:tabs>
          <w:tab w:val="num" w:pos="720"/>
        </w:tabs>
        <w:ind w:left="720" w:hanging="360"/>
      </w:pPr>
      <w:rPr>
        <w:rFonts w:ascii="Arial" w:hAnsi="Arial" w:hint="default"/>
      </w:rPr>
    </w:lvl>
    <w:lvl w:ilvl="1" w:tplc="A43C1476" w:tentative="1">
      <w:start w:val="1"/>
      <w:numFmt w:val="bullet"/>
      <w:lvlText w:val="•"/>
      <w:lvlJc w:val="left"/>
      <w:pPr>
        <w:tabs>
          <w:tab w:val="num" w:pos="1440"/>
        </w:tabs>
        <w:ind w:left="1440" w:hanging="360"/>
      </w:pPr>
      <w:rPr>
        <w:rFonts w:ascii="Arial" w:hAnsi="Arial" w:hint="default"/>
      </w:rPr>
    </w:lvl>
    <w:lvl w:ilvl="2" w:tplc="3F563464" w:tentative="1">
      <w:start w:val="1"/>
      <w:numFmt w:val="bullet"/>
      <w:lvlText w:val="•"/>
      <w:lvlJc w:val="left"/>
      <w:pPr>
        <w:tabs>
          <w:tab w:val="num" w:pos="2160"/>
        </w:tabs>
        <w:ind w:left="2160" w:hanging="360"/>
      </w:pPr>
      <w:rPr>
        <w:rFonts w:ascii="Arial" w:hAnsi="Arial" w:hint="default"/>
      </w:rPr>
    </w:lvl>
    <w:lvl w:ilvl="3" w:tplc="2F8C87A6" w:tentative="1">
      <w:start w:val="1"/>
      <w:numFmt w:val="bullet"/>
      <w:lvlText w:val="•"/>
      <w:lvlJc w:val="left"/>
      <w:pPr>
        <w:tabs>
          <w:tab w:val="num" w:pos="2880"/>
        </w:tabs>
        <w:ind w:left="2880" w:hanging="360"/>
      </w:pPr>
      <w:rPr>
        <w:rFonts w:ascii="Arial" w:hAnsi="Arial" w:hint="default"/>
      </w:rPr>
    </w:lvl>
    <w:lvl w:ilvl="4" w:tplc="8276813E" w:tentative="1">
      <w:start w:val="1"/>
      <w:numFmt w:val="bullet"/>
      <w:lvlText w:val="•"/>
      <w:lvlJc w:val="left"/>
      <w:pPr>
        <w:tabs>
          <w:tab w:val="num" w:pos="3600"/>
        </w:tabs>
        <w:ind w:left="3600" w:hanging="360"/>
      </w:pPr>
      <w:rPr>
        <w:rFonts w:ascii="Arial" w:hAnsi="Arial" w:hint="default"/>
      </w:rPr>
    </w:lvl>
    <w:lvl w:ilvl="5" w:tplc="C62069DA" w:tentative="1">
      <w:start w:val="1"/>
      <w:numFmt w:val="bullet"/>
      <w:lvlText w:val="•"/>
      <w:lvlJc w:val="left"/>
      <w:pPr>
        <w:tabs>
          <w:tab w:val="num" w:pos="4320"/>
        </w:tabs>
        <w:ind w:left="4320" w:hanging="360"/>
      </w:pPr>
      <w:rPr>
        <w:rFonts w:ascii="Arial" w:hAnsi="Arial" w:hint="default"/>
      </w:rPr>
    </w:lvl>
    <w:lvl w:ilvl="6" w:tplc="3C2A9B66" w:tentative="1">
      <w:start w:val="1"/>
      <w:numFmt w:val="bullet"/>
      <w:lvlText w:val="•"/>
      <w:lvlJc w:val="left"/>
      <w:pPr>
        <w:tabs>
          <w:tab w:val="num" w:pos="5040"/>
        </w:tabs>
        <w:ind w:left="5040" w:hanging="360"/>
      </w:pPr>
      <w:rPr>
        <w:rFonts w:ascii="Arial" w:hAnsi="Arial" w:hint="default"/>
      </w:rPr>
    </w:lvl>
    <w:lvl w:ilvl="7" w:tplc="FDAEB4D6" w:tentative="1">
      <w:start w:val="1"/>
      <w:numFmt w:val="bullet"/>
      <w:lvlText w:val="•"/>
      <w:lvlJc w:val="left"/>
      <w:pPr>
        <w:tabs>
          <w:tab w:val="num" w:pos="5760"/>
        </w:tabs>
        <w:ind w:left="5760" w:hanging="360"/>
      </w:pPr>
      <w:rPr>
        <w:rFonts w:ascii="Arial" w:hAnsi="Arial" w:hint="default"/>
      </w:rPr>
    </w:lvl>
    <w:lvl w:ilvl="8" w:tplc="2E0A86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6A3E6F"/>
    <w:multiLevelType w:val="hybridMultilevel"/>
    <w:tmpl w:val="C3D8AFBE"/>
    <w:lvl w:ilvl="0" w:tplc="7F2E7D6C">
      <w:start w:val="1"/>
      <w:numFmt w:val="bullet"/>
      <w:lvlText w:val="•"/>
      <w:lvlJc w:val="left"/>
      <w:pPr>
        <w:tabs>
          <w:tab w:val="num" w:pos="720"/>
        </w:tabs>
        <w:ind w:left="720" w:hanging="360"/>
      </w:pPr>
      <w:rPr>
        <w:rFonts w:ascii="Arial" w:hAnsi="Arial" w:hint="default"/>
      </w:rPr>
    </w:lvl>
    <w:lvl w:ilvl="1" w:tplc="306AC06C" w:tentative="1">
      <w:start w:val="1"/>
      <w:numFmt w:val="bullet"/>
      <w:lvlText w:val="•"/>
      <w:lvlJc w:val="left"/>
      <w:pPr>
        <w:tabs>
          <w:tab w:val="num" w:pos="1440"/>
        </w:tabs>
        <w:ind w:left="1440" w:hanging="360"/>
      </w:pPr>
      <w:rPr>
        <w:rFonts w:ascii="Arial" w:hAnsi="Arial" w:hint="default"/>
      </w:rPr>
    </w:lvl>
    <w:lvl w:ilvl="2" w:tplc="A8AC663A" w:tentative="1">
      <w:start w:val="1"/>
      <w:numFmt w:val="bullet"/>
      <w:lvlText w:val="•"/>
      <w:lvlJc w:val="left"/>
      <w:pPr>
        <w:tabs>
          <w:tab w:val="num" w:pos="2160"/>
        </w:tabs>
        <w:ind w:left="2160" w:hanging="360"/>
      </w:pPr>
      <w:rPr>
        <w:rFonts w:ascii="Arial" w:hAnsi="Arial" w:hint="default"/>
      </w:rPr>
    </w:lvl>
    <w:lvl w:ilvl="3" w:tplc="3EC09C2C" w:tentative="1">
      <w:start w:val="1"/>
      <w:numFmt w:val="bullet"/>
      <w:lvlText w:val="•"/>
      <w:lvlJc w:val="left"/>
      <w:pPr>
        <w:tabs>
          <w:tab w:val="num" w:pos="2880"/>
        </w:tabs>
        <w:ind w:left="2880" w:hanging="360"/>
      </w:pPr>
      <w:rPr>
        <w:rFonts w:ascii="Arial" w:hAnsi="Arial" w:hint="default"/>
      </w:rPr>
    </w:lvl>
    <w:lvl w:ilvl="4" w:tplc="F49482EC" w:tentative="1">
      <w:start w:val="1"/>
      <w:numFmt w:val="bullet"/>
      <w:lvlText w:val="•"/>
      <w:lvlJc w:val="left"/>
      <w:pPr>
        <w:tabs>
          <w:tab w:val="num" w:pos="3600"/>
        </w:tabs>
        <w:ind w:left="3600" w:hanging="360"/>
      </w:pPr>
      <w:rPr>
        <w:rFonts w:ascii="Arial" w:hAnsi="Arial" w:hint="default"/>
      </w:rPr>
    </w:lvl>
    <w:lvl w:ilvl="5" w:tplc="049E85C6" w:tentative="1">
      <w:start w:val="1"/>
      <w:numFmt w:val="bullet"/>
      <w:lvlText w:val="•"/>
      <w:lvlJc w:val="left"/>
      <w:pPr>
        <w:tabs>
          <w:tab w:val="num" w:pos="4320"/>
        </w:tabs>
        <w:ind w:left="4320" w:hanging="360"/>
      </w:pPr>
      <w:rPr>
        <w:rFonts w:ascii="Arial" w:hAnsi="Arial" w:hint="default"/>
      </w:rPr>
    </w:lvl>
    <w:lvl w:ilvl="6" w:tplc="9DDEE4BA" w:tentative="1">
      <w:start w:val="1"/>
      <w:numFmt w:val="bullet"/>
      <w:lvlText w:val="•"/>
      <w:lvlJc w:val="left"/>
      <w:pPr>
        <w:tabs>
          <w:tab w:val="num" w:pos="5040"/>
        </w:tabs>
        <w:ind w:left="5040" w:hanging="360"/>
      </w:pPr>
      <w:rPr>
        <w:rFonts w:ascii="Arial" w:hAnsi="Arial" w:hint="default"/>
      </w:rPr>
    </w:lvl>
    <w:lvl w:ilvl="7" w:tplc="729EAD90" w:tentative="1">
      <w:start w:val="1"/>
      <w:numFmt w:val="bullet"/>
      <w:lvlText w:val="•"/>
      <w:lvlJc w:val="left"/>
      <w:pPr>
        <w:tabs>
          <w:tab w:val="num" w:pos="5760"/>
        </w:tabs>
        <w:ind w:left="5760" w:hanging="360"/>
      </w:pPr>
      <w:rPr>
        <w:rFonts w:ascii="Arial" w:hAnsi="Arial" w:hint="default"/>
      </w:rPr>
    </w:lvl>
    <w:lvl w:ilvl="8" w:tplc="1E9496D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2"/>
  </w:num>
  <w:num w:numId="4">
    <w:abstractNumId w:val="6"/>
  </w:num>
  <w:num w:numId="5">
    <w:abstractNumId w:val="1"/>
  </w:num>
  <w:num w:numId="6">
    <w:abstractNumId w:val="11"/>
  </w:num>
  <w:num w:numId="7">
    <w:abstractNumId w:val="5"/>
  </w:num>
  <w:num w:numId="8">
    <w:abstractNumId w:val="10"/>
  </w:num>
  <w:num w:numId="9">
    <w:abstractNumId w:val="3"/>
  </w:num>
  <w:num w:numId="10">
    <w:abstractNumId w:val="12"/>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1B64"/>
    <w:rsid w:val="00021FC8"/>
    <w:rsid w:val="00026EAD"/>
    <w:rsid w:val="000358D1"/>
    <w:rsid w:val="00037DF7"/>
    <w:rsid w:val="00060F81"/>
    <w:rsid w:val="00077FEA"/>
    <w:rsid w:val="00082F62"/>
    <w:rsid w:val="00087C34"/>
    <w:rsid w:val="000A1AD1"/>
    <w:rsid w:val="000C476D"/>
    <w:rsid w:val="0010485C"/>
    <w:rsid w:val="001149D1"/>
    <w:rsid w:val="00125B61"/>
    <w:rsid w:val="00144E00"/>
    <w:rsid w:val="001636BE"/>
    <w:rsid w:val="00164693"/>
    <w:rsid w:val="00195A39"/>
    <w:rsid w:val="001B0D60"/>
    <w:rsid w:val="001C2268"/>
    <w:rsid w:val="001F0DD2"/>
    <w:rsid w:val="00215541"/>
    <w:rsid w:val="00226D34"/>
    <w:rsid w:val="0023214C"/>
    <w:rsid w:val="00252118"/>
    <w:rsid w:val="00255081"/>
    <w:rsid w:val="00256667"/>
    <w:rsid w:val="00264248"/>
    <w:rsid w:val="0027040F"/>
    <w:rsid w:val="00282E4E"/>
    <w:rsid w:val="002D519D"/>
    <w:rsid w:val="002E0858"/>
    <w:rsid w:val="002E2F18"/>
    <w:rsid w:val="00323148"/>
    <w:rsid w:val="00324744"/>
    <w:rsid w:val="003368C4"/>
    <w:rsid w:val="00342540"/>
    <w:rsid w:val="00365AFD"/>
    <w:rsid w:val="00395C3C"/>
    <w:rsid w:val="00396D86"/>
    <w:rsid w:val="003C47EE"/>
    <w:rsid w:val="003C6ED9"/>
    <w:rsid w:val="004040AC"/>
    <w:rsid w:val="00414722"/>
    <w:rsid w:val="00426807"/>
    <w:rsid w:val="004536F6"/>
    <w:rsid w:val="00461461"/>
    <w:rsid w:val="00474A30"/>
    <w:rsid w:val="00475403"/>
    <w:rsid w:val="00494EB6"/>
    <w:rsid w:val="004954D1"/>
    <w:rsid w:val="00496175"/>
    <w:rsid w:val="004E0875"/>
    <w:rsid w:val="004F3362"/>
    <w:rsid w:val="00500545"/>
    <w:rsid w:val="0050385D"/>
    <w:rsid w:val="00517F6F"/>
    <w:rsid w:val="00520EAD"/>
    <w:rsid w:val="0053712C"/>
    <w:rsid w:val="00542317"/>
    <w:rsid w:val="0055298E"/>
    <w:rsid w:val="00590206"/>
    <w:rsid w:val="00597F36"/>
    <w:rsid w:val="005A46F4"/>
    <w:rsid w:val="006025B1"/>
    <w:rsid w:val="00613AEC"/>
    <w:rsid w:val="00615855"/>
    <w:rsid w:val="006253CA"/>
    <w:rsid w:val="00671829"/>
    <w:rsid w:val="006C3ECE"/>
    <w:rsid w:val="006E6B81"/>
    <w:rsid w:val="006F6016"/>
    <w:rsid w:val="006F6472"/>
    <w:rsid w:val="0072363E"/>
    <w:rsid w:val="007243D3"/>
    <w:rsid w:val="00777705"/>
    <w:rsid w:val="00797023"/>
    <w:rsid w:val="007A56DB"/>
    <w:rsid w:val="007C6D9C"/>
    <w:rsid w:val="007D4F26"/>
    <w:rsid w:val="007E7C5B"/>
    <w:rsid w:val="007F620B"/>
    <w:rsid w:val="00817A62"/>
    <w:rsid w:val="0082748A"/>
    <w:rsid w:val="00851E94"/>
    <w:rsid w:val="00877491"/>
    <w:rsid w:val="00886290"/>
    <w:rsid w:val="00890918"/>
    <w:rsid w:val="008971FF"/>
    <w:rsid w:val="008975CA"/>
    <w:rsid w:val="008B00B4"/>
    <w:rsid w:val="008C1895"/>
    <w:rsid w:val="008E7286"/>
    <w:rsid w:val="008F1F14"/>
    <w:rsid w:val="008F4C5D"/>
    <w:rsid w:val="00914637"/>
    <w:rsid w:val="00916C47"/>
    <w:rsid w:val="00922102"/>
    <w:rsid w:val="009348E4"/>
    <w:rsid w:val="0097735D"/>
    <w:rsid w:val="009B23DE"/>
    <w:rsid w:val="009B3857"/>
    <w:rsid w:val="009B4FCC"/>
    <w:rsid w:val="009B7FF2"/>
    <w:rsid w:val="009D7D31"/>
    <w:rsid w:val="00A062F5"/>
    <w:rsid w:val="00A06D4E"/>
    <w:rsid w:val="00A65897"/>
    <w:rsid w:val="00A810E2"/>
    <w:rsid w:val="00A96702"/>
    <w:rsid w:val="00AB1308"/>
    <w:rsid w:val="00AB5B54"/>
    <w:rsid w:val="00AB63DE"/>
    <w:rsid w:val="00AC1FCD"/>
    <w:rsid w:val="00AE1D34"/>
    <w:rsid w:val="00AE5678"/>
    <w:rsid w:val="00B03CEE"/>
    <w:rsid w:val="00B22C9E"/>
    <w:rsid w:val="00B27FB3"/>
    <w:rsid w:val="00B31AB8"/>
    <w:rsid w:val="00B36FFF"/>
    <w:rsid w:val="00B41E73"/>
    <w:rsid w:val="00B63A64"/>
    <w:rsid w:val="00B75D40"/>
    <w:rsid w:val="00B77640"/>
    <w:rsid w:val="00B800F5"/>
    <w:rsid w:val="00B8637F"/>
    <w:rsid w:val="00B8770C"/>
    <w:rsid w:val="00BD0A45"/>
    <w:rsid w:val="00BE5158"/>
    <w:rsid w:val="00BE5F8E"/>
    <w:rsid w:val="00BF5172"/>
    <w:rsid w:val="00BF58F1"/>
    <w:rsid w:val="00C13A0B"/>
    <w:rsid w:val="00C1654C"/>
    <w:rsid w:val="00C4011B"/>
    <w:rsid w:val="00CA5AB3"/>
    <w:rsid w:val="00CB65BF"/>
    <w:rsid w:val="00CB7FE6"/>
    <w:rsid w:val="00CC0003"/>
    <w:rsid w:val="00CD7EAB"/>
    <w:rsid w:val="00D40BF7"/>
    <w:rsid w:val="00D66C7E"/>
    <w:rsid w:val="00D8286E"/>
    <w:rsid w:val="00DD6A3A"/>
    <w:rsid w:val="00E3607E"/>
    <w:rsid w:val="00E449BD"/>
    <w:rsid w:val="00E46041"/>
    <w:rsid w:val="00E665DF"/>
    <w:rsid w:val="00EA73B3"/>
    <w:rsid w:val="00ED0A5B"/>
    <w:rsid w:val="00EE3F6A"/>
    <w:rsid w:val="00F11D89"/>
    <w:rsid w:val="00F14F74"/>
    <w:rsid w:val="00F234E0"/>
    <w:rsid w:val="00F24934"/>
    <w:rsid w:val="00F74E1B"/>
    <w:rsid w:val="00F95876"/>
    <w:rsid w:val="00FA242B"/>
    <w:rsid w:val="00FB6C9F"/>
    <w:rsid w:val="00FF2C5D"/>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79F40"/>
  <w15:docId w15:val="{63CB3EE7-C17F-4E72-8F1E-D8A053A3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C34"/>
    <w:pPr>
      <w:ind w:left="720"/>
      <w:contextualSpacing/>
    </w:pPr>
    <w:rPr>
      <w:rFonts w:eastAsiaTheme="minorHAnsi"/>
      <w:sz w:val="20"/>
      <w:szCs w:val="20"/>
      <w:lang w:eastAsia="en-US"/>
    </w:rPr>
  </w:style>
  <w:style w:type="paragraph" w:customStyle="1" w:styleId="paragraph">
    <w:name w:val="paragraph"/>
    <w:basedOn w:val="Normal"/>
    <w:rsid w:val="00496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5897"/>
  </w:style>
  <w:style w:type="character" w:customStyle="1" w:styleId="eop">
    <w:name w:val="eop"/>
    <w:basedOn w:val="DefaultParagraphFont"/>
    <w:rsid w:val="00A6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13165">
      <w:bodyDiv w:val="1"/>
      <w:marLeft w:val="0"/>
      <w:marRight w:val="0"/>
      <w:marTop w:val="0"/>
      <w:marBottom w:val="0"/>
      <w:divBdr>
        <w:top w:val="none" w:sz="0" w:space="0" w:color="auto"/>
        <w:left w:val="none" w:sz="0" w:space="0" w:color="auto"/>
        <w:bottom w:val="none" w:sz="0" w:space="0" w:color="auto"/>
        <w:right w:val="none" w:sz="0" w:space="0" w:color="auto"/>
      </w:divBdr>
      <w:divsChild>
        <w:div w:id="1690908166">
          <w:marLeft w:val="0"/>
          <w:marRight w:val="0"/>
          <w:marTop w:val="0"/>
          <w:marBottom w:val="0"/>
          <w:divBdr>
            <w:top w:val="none" w:sz="0" w:space="0" w:color="auto"/>
            <w:left w:val="none" w:sz="0" w:space="0" w:color="auto"/>
            <w:bottom w:val="none" w:sz="0" w:space="0" w:color="auto"/>
            <w:right w:val="none" w:sz="0" w:space="0" w:color="auto"/>
          </w:divBdr>
        </w:div>
        <w:div w:id="479538799">
          <w:marLeft w:val="0"/>
          <w:marRight w:val="0"/>
          <w:marTop w:val="0"/>
          <w:marBottom w:val="0"/>
          <w:divBdr>
            <w:top w:val="none" w:sz="0" w:space="0" w:color="auto"/>
            <w:left w:val="none" w:sz="0" w:space="0" w:color="auto"/>
            <w:bottom w:val="none" w:sz="0" w:space="0" w:color="auto"/>
            <w:right w:val="none" w:sz="0" w:space="0" w:color="auto"/>
          </w:divBdr>
        </w:div>
        <w:div w:id="1836800574">
          <w:marLeft w:val="0"/>
          <w:marRight w:val="0"/>
          <w:marTop w:val="0"/>
          <w:marBottom w:val="0"/>
          <w:divBdr>
            <w:top w:val="none" w:sz="0" w:space="0" w:color="auto"/>
            <w:left w:val="none" w:sz="0" w:space="0" w:color="auto"/>
            <w:bottom w:val="none" w:sz="0" w:space="0" w:color="auto"/>
            <w:right w:val="none" w:sz="0" w:space="0" w:color="auto"/>
          </w:divBdr>
        </w:div>
      </w:divsChild>
    </w:div>
    <w:div w:id="962031347">
      <w:bodyDiv w:val="1"/>
      <w:marLeft w:val="0"/>
      <w:marRight w:val="0"/>
      <w:marTop w:val="0"/>
      <w:marBottom w:val="0"/>
      <w:divBdr>
        <w:top w:val="none" w:sz="0" w:space="0" w:color="auto"/>
        <w:left w:val="none" w:sz="0" w:space="0" w:color="auto"/>
        <w:bottom w:val="none" w:sz="0" w:space="0" w:color="auto"/>
        <w:right w:val="none" w:sz="0" w:space="0" w:color="auto"/>
      </w:divBdr>
      <w:divsChild>
        <w:div w:id="845705941">
          <w:marLeft w:val="0"/>
          <w:marRight w:val="0"/>
          <w:marTop w:val="0"/>
          <w:marBottom w:val="0"/>
          <w:divBdr>
            <w:top w:val="none" w:sz="0" w:space="0" w:color="auto"/>
            <w:left w:val="none" w:sz="0" w:space="0" w:color="auto"/>
            <w:bottom w:val="none" w:sz="0" w:space="0" w:color="auto"/>
            <w:right w:val="none" w:sz="0" w:space="0" w:color="auto"/>
          </w:divBdr>
        </w:div>
        <w:div w:id="2147311876">
          <w:marLeft w:val="0"/>
          <w:marRight w:val="0"/>
          <w:marTop w:val="0"/>
          <w:marBottom w:val="0"/>
          <w:divBdr>
            <w:top w:val="none" w:sz="0" w:space="0" w:color="auto"/>
            <w:left w:val="none" w:sz="0" w:space="0" w:color="auto"/>
            <w:bottom w:val="none" w:sz="0" w:space="0" w:color="auto"/>
            <w:right w:val="none" w:sz="0" w:space="0" w:color="auto"/>
          </w:divBdr>
        </w:div>
        <w:div w:id="179510579">
          <w:marLeft w:val="0"/>
          <w:marRight w:val="0"/>
          <w:marTop w:val="0"/>
          <w:marBottom w:val="0"/>
          <w:divBdr>
            <w:top w:val="none" w:sz="0" w:space="0" w:color="auto"/>
            <w:left w:val="none" w:sz="0" w:space="0" w:color="auto"/>
            <w:bottom w:val="none" w:sz="0" w:space="0" w:color="auto"/>
            <w:right w:val="none" w:sz="0" w:space="0" w:color="auto"/>
          </w:divBdr>
        </w:div>
      </w:divsChild>
    </w:div>
    <w:div w:id="1143814177">
      <w:bodyDiv w:val="1"/>
      <w:marLeft w:val="0"/>
      <w:marRight w:val="0"/>
      <w:marTop w:val="0"/>
      <w:marBottom w:val="0"/>
      <w:divBdr>
        <w:top w:val="none" w:sz="0" w:space="0" w:color="auto"/>
        <w:left w:val="none" w:sz="0" w:space="0" w:color="auto"/>
        <w:bottom w:val="none" w:sz="0" w:space="0" w:color="auto"/>
        <w:right w:val="none" w:sz="0" w:space="0" w:color="auto"/>
      </w:divBdr>
      <w:divsChild>
        <w:div w:id="1363825261">
          <w:marLeft w:val="274"/>
          <w:marRight w:val="0"/>
          <w:marTop w:val="0"/>
          <w:marBottom w:val="0"/>
          <w:divBdr>
            <w:top w:val="none" w:sz="0" w:space="0" w:color="auto"/>
            <w:left w:val="none" w:sz="0" w:space="0" w:color="auto"/>
            <w:bottom w:val="none" w:sz="0" w:space="0" w:color="auto"/>
            <w:right w:val="none" w:sz="0" w:space="0" w:color="auto"/>
          </w:divBdr>
        </w:div>
      </w:divsChild>
    </w:div>
    <w:div w:id="1804929263">
      <w:bodyDiv w:val="1"/>
      <w:marLeft w:val="0"/>
      <w:marRight w:val="0"/>
      <w:marTop w:val="0"/>
      <w:marBottom w:val="0"/>
      <w:divBdr>
        <w:top w:val="none" w:sz="0" w:space="0" w:color="auto"/>
        <w:left w:val="none" w:sz="0" w:space="0" w:color="auto"/>
        <w:bottom w:val="none" w:sz="0" w:space="0" w:color="auto"/>
        <w:right w:val="none" w:sz="0" w:space="0" w:color="auto"/>
      </w:divBdr>
      <w:divsChild>
        <w:div w:id="983851856">
          <w:marLeft w:val="0"/>
          <w:marRight w:val="0"/>
          <w:marTop w:val="0"/>
          <w:marBottom w:val="0"/>
          <w:divBdr>
            <w:top w:val="none" w:sz="0" w:space="0" w:color="auto"/>
            <w:left w:val="none" w:sz="0" w:space="0" w:color="auto"/>
            <w:bottom w:val="none" w:sz="0" w:space="0" w:color="auto"/>
            <w:right w:val="none" w:sz="0" w:space="0" w:color="auto"/>
          </w:divBdr>
        </w:div>
        <w:div w:id="224024729">
          <w:marLeft w:val="0"/>
          <w:marRight w:val="0"/>
          <w:marTop w:val="0"/>
          <w:marBottom w:val="0"/>
          <w:divBdr>
            <w:top w:val="none" w:sz="0" w:space="0" w:color="auto"/>
            <w:left w:val="none" w:sz="0" w:space="0" w:color="auto"/>
            <w:bottom w:val="none" w:sz="0" w:space="0" w:color="auto"/>
            <w:right w:val="none" w:sz="0" w:space="0" w:color="auto"/>
          </w:divBdr>
        </w:div>
        <w:div w:id="289559033">
          <w:marLeft w:val="0"/>
          <w:marRight w:val="0"/>
          <w:marTop w:val="0"/>
          <w:marBottom w:val="0"/>
          <w:divBdr>
            <w:top w:val="none" w:sz="0" w:space="0" w:color="auto"/>
            <w:left w:val="none" w:sz="0" w:space="0" w:color="auto"/>
            <w:bottom w:val="none" w:sz="0" w:space="0" w:color="auto"/>
            <w:right w:val="none" w:sz="0" w:space="0" w:color="auto"/>
          </w:divBdr>
        </w:div>
        <w:div w:id="1851409626">
          <w:marLeft w:val="0"/>
          <w:marRight w:val="0"/>
          <w:marTop w:val="0"/>
          <w:marBottom w:val="0"/>
          <w:divBdr>
            <w:top w:val="none" w:sz="0" w:space="0" w:color="auto"/>
            <w:left w:val="none" w:sz="0" w:space="0" w:color="auto"/>
            <w:bottom w:val="none" w:sz="0" w:space="0" w:color="auto"/>
            <w:right w:val="none" w:sz="0" w:space="0" w:color="auto"/>
          </w:divBdr>
        </w:div>
      </w:divsChild>
    </w:div>
    <w:div w:id="1835879783">
      <w:bodyDiv w:val="1"/>
      <w:marLeft w:val="0"/>
      <w:marRight w:val="0"/>
      <w:marTop w:val="0"/>
      <w:marBottom w:val="0"/>
      <w:divBdr>
        <w:top w:val="none" w:sz="0" w:space="0" w:color="auto"/>
        <w:left w:val="none" w:sz="0" w:space="0" w:color="auto"/>
        <w:bottom w:val="none" w:sz="0" w:space="0" w:color="auto"/>
        <w:right w:val="none" w:sz="0" w:space="0" w:color="auto"/>
      </w:divBdr>
      <w:divsChild>
        <w:div w:id="228614661">
          <w:marLeft w:val="274"/>
          <w:marRight w:val="0"/>
          <w:marTop w:val="0"/>
          <w:marBottom w:val="0"/>
          <w:divBdr>
            <w:top w:val="none" w:sz="0" w:space="0" w:color="auto"/>
            <w:left w:val="none" w:sz="0" w:space="0" w:color="auto"/>
            <w:bottom w:val="none" w:sz="0" w:space="0" w:color="auto"/>
            <w:right w:val="none" w:sz="0" w:space="0" w:color="auto"/>
          </w:divBdr>
        </w:div>
      </w:divsChild>
    </w:div>
    <w:div w:id="1848858763">
      <w:bodyDiv w:val="1"/>
      <w:marLeft w:val="0"/>
      <w:marRight w:val="0"/>
      <w:marTop w:val="0"/>
      <w:marBottom w:val="0"/>
      <w:divBdr>
        <w:top w:val="none" w:sz="0" w:space="0" w:color="auto"/>
        <w:left w:val="none" w:sz="0" w:space="0" w:color="auto"/>
        <w:bottom w:val="none" w:sz="0" w:space="0" w:color="auto"/>
        <w:right w:val="none" w:sz="0" w:space="0" w:color="auto"/>
      </w:divBdr>
      <w:divsChild>
        <w:div w:id="651299878">
          <w:marLeft w:val="0"/>
          <w:marRight w:val="0"/>
          <w:marTop w:val="0"/>
          <w:marBottom w:val="0"/>
          <w:divBdr>
            <w:top w:val="none" w:sz="0" w:space="0" w:color="auto"/>
            <w:left w:val="none" w:sz="0" w:space="0" w:color="auto"/>
            <w:bottom w:val="none" w:sz="0" w:space="0" w:color="auto"/>
            <w:right w:val="none" w:sz="0" w:space="0" w:color="auto"/>
          </w:divBdr>
        </w:div>
        <w:div w:id="465662895">
          <w:marLeft w:val="0"/>
          <w:marRight w:val="0"/>
          <w:marTop w:val="0"/>
          <w:marBottom w:val="0"/>
          <w:divBdr>
            <w:top w:val="none" w:sz="0" w:space="0" w:color="auto"/>
            <w:left w:val="none" w:sz="0" w:space="0" w:color="auto"/>
            <w:bottom w:val="none" w:sz="0" w:space="0" w:color="auto"/>
            <w:right w:val="none" w:sz="0" w:space="0" w:color="auto"/>
          </w:divBdr>
        </w:div>
        <w:div w:id="88047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D1E4-E801-45E3-8622-5705A3614C6C}">
  <ds:schemaRefs>
    <ds:schemaRef ds:uri="http://purl.org/dc/dcmitype/"/>
    <ds:schemaRef ds:uri="http://schemas.microsoft.com/office/2006/metadata/properties"/>
    <ds:schemaRef ds:uri="11f1cc19-a6a2-4477-822b-8358f9edc374"/>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03fba77-31dd-4780-83f9-c54f26c3a260"/>
    <ds:schemaRef ds:uri="http://purl.org/dc/elements/1.1/"/>
  </ds:schemaRefs>
</ds:datastoreItem>
</file>

<file path=customXml/itemProps2.xml><?xml version="1.0" encoding="utf-8"?>
<ds:datastoreItem xmlns:ds="http://schemas.openxmlformats.org/officeDocument/2006/customXml" ds:itemID="{F9984E04-C76A-414F-BFF7-F2D727583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8477B545-38D8-4FFA-BBEB-3C80118E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6</cp:revision>
  <dcterms:created xsi:type="dcterms:W3CDTF">2021-02-24T16:00:00Z</dcterms:created>
  <dcterms:modified xsi:type="dcterms:W3CDTF">2021-03-01T12:31:00Z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ies>
</file>