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338F590F" w:rsidR="002B2E87" w:rsidRDefault="002B2E87" w:rsidP="00D66C7E"/>
    <w:p w14:paraId="64F07A07" w14:textId="77777777" w:rsidR="000C1358" w:rsidRDefault="000C1358" w:rsidP="000C1358">
      <w:pPr>
        <w:pStyle w:val="Heading2"/>
      </w:pPr>
      <w:r>
        <w:t>DSC Business Evaluation Report (BER)</w:t>
      </w:r>
    </w:p>
    <w:p w14:paraId="1D5870EA" w14:textId="77777777" w:rsidR="000C1358" w:rsidRDefault="000C1358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847"/>
        <w:gridCol w:w="5089"/>
      </w:tblGrid>
      <w:tr w:rsidR="00B13C27" w:rsidRPr="002B2E87" w14:paraId="4E169BE3" w14:textId="77777777" w:rsidTr="00980B8C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305BF276" w:rsidR="00B13C27" w:rsidRPr="002B2E87" w:rsidRDefault="00831B08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Regula</w:t>
            </w:r>
            <w:r w:rsidR="00374FD0">
              <w:rPr>
                <w:rFonts w:eastAsia="Times New Roman" w:cs="Arial"/>
                <w:sz w:val="20"/>
                <w:szCs w:val="16"/>
              </w:rPr>
              <w:t xml:space="preserve">tory Change </w:t>
            </w:r>
            <w:r w:rsidR="002F4110">
              <w:rPr>
                <w:rFonts w:eastAsia="Times New Roman" w:cs="Arial"/>
                <w:sz w:val="20"/>
                <w:szCs w:val="16"/>
              </w:rPr>
              <w:t>FY22</w:t>
            </w:r>
          </w:p>
        </w:tc>
      </w:tr>
      <w:tr w:rsidR="00B13C27" w:rsidRPr="002B2E87" w14:paraId="185696D7" w14:textId="77777777" w:rsidTr="00980B8C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31B72633" w:rsidR="00B13C27" w:rsidRPr="002B2E87" w:rsidRDefault="005F642E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XRN5579</w:t>
            </w:r>
          </w:p>
        </w:tc>
      </w:tr>
      <w:tr w:rsidR="00B13C27" w:rsidRPr="002B2E87" w14:paraId="74B6BF6B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26A270E1" w:rsidR="00B13C27" w:rsidRPr="002B2E87" w:rsidRDefault="005F642E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Rachel Addison</w:t>
            </w:r>
          </w:p>
        </w:tc>
      </w:tr>
      <w:tr w:rsidR="00B13C27" w:rsidRPr="002B2E87" w14:paraId="35655359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3559CAAC" w:rsidR="0093027B" w:rsidRPr="002B2E87" w:rsidRDefault="005F642E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Rachel.Addison@</w:t>
            </w:r>
            <w:r w:rsidR="0093027B">
              <w:rPr>
                <w:rFonts w:eastAsia="Times New Roman" w:cs="Arial"/>
                <w:sz w:val="20"/>
                <w:szCs w:val="16"/>
              </w:rPr>
              <w:t>correla.com</w:t>
            </w:r>
          </w:p>
        </w:tc>
      </w:tr>
      <w:tr w:rsidR="00B13C27" w:rsidRPr="002B2E87" w14:paraId="1C247CD2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7EF227E7" w:rsidR="00B13C27" w:rsidRPr="00C967C0" w:rsidRDefault="0093027B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0121 229 2528</w:t>
            </w:r>
          </w:p>
        </w:tc>
      </w:tr>
      <w:tr w:rsidR="00B13C27" w:rsidRPr="002B2E87" w14:paraId="1271BAA4" w14:textId="77777777" w:rsidTr="00980B8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131B8681" w:rsidR="00B13C27" w:rsidRPr="00C967C0" w:rsidRDefault="00165B25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07/12/2022</w:t>
            </w:r>
          </w:p>
        </w:tc>
      </w:tr>
      <w:tr w:rsidR="002B2E87" w:rsidRPr="002B2E87" w14:paraId="3B4FF6C3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6CE265A0" w:rsidR="0028280D" w:rsidRPr="00CD1BE3" w:rsidRDefault="00444311" w:rsidP="00A107AC">
            <w:pPr>
              <w:spacing w:after="60" w:line="276" w:lineRule="auto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National Grid</w:t>
            </w:r>
            <w:r w:rsidR="00805B57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have moved to a new agile way of working known as </w:t>
            </w:r>
            <w:proofErr w:type="spellStart"/>
            <w:r w:rsidR="00805B57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SAFe</w:t>
            </w:r>
            <w:proofErr w:type="spellEnd"/>
            <w:r w:rsidR="00805B57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A698E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Agile. This framework includes Gemini system </w:t>
            </w:r>
            <w:r w:rsidR="000277B5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development and so requires a </w:t>
            </w:r>
            <w:r w:rsidR="004D1CB2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faster and more flexible governance process</w:t>
            </w:r>
            <w:r w:rsidR="00E74D1F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.</w:t>
            </w:r>
          </w:p>
          <w:p w14:paraId="4FA91111" w14:textId="77777777" w:rsidR="007E3056" w:rsidRPr="00CD1BE3" w:rsidRDefault="007E3056" w:rsidP="00A107AC">
            <w:pPr>
              <w:spacing w:after="60" w:line="276" w:lineRule="auto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14:paraId="46B87F3E" w14:textId="12F1A11D" w:rsidR="007E3056" w:rsidRPr="00CD1BE3" w:rsidRDefault="007E3056" w:rsidP="00A107AC">
            <w:pPr>
              <w:spacing w:after="60" w:line="276" w:lineRule="auto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As a </w:t>
            </w:r>
            <w:proofErr w:type="gramStart"/>
            <w:r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consequence</w:t>
            </w:r>
            <w:proofErr w:type="gramEnd"/>
            <w:r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137EC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National Grid have raised this umbrella Change Proposal intended to cover any</w:t>
            </w:r>
            <w:r w:rsidR="004A42D0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A42D0" w:rsidRPr="004A42D0">
              <w:rPr>
                <w:rFonts w:cs="Arial"/>
                <w:iCs/>
                <w:color w:val="000000" w:themeColor="text1"/>
                <w:sz w:val="20"/>
                <w:szCs w:val="20"/>
              </w:rPr>
              <w:t>changes raised</w:t>
            </w:r>
            <w:r w:rsidR="00ED4235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by the National </w:t>
            </w:r>
            <w:proofErr w:type="spellStart"/>
            <w:r w:rsidR="00ED4235">
              <w:rPr>
                <w:rFonts w:cs="Arial"/>
                <w:iCs/>
                <w:color w:val="000000" w:themeColor="text1"/>
                <w:sz w:val="20"/>
                <w:szCs w:val="20"/>
              </w:rPr>
              <w:t>Grd</w:t>
            </w:r>
            <w:proofErr w:type="spellEnd"/>
            <w:r w:rsidR="00ED4235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A42D0" w:rsidRPr="004A42D0">
              <w:rPr>
                <w:rFonts w:cs="Arial"/>
                <w:iCs/>
                <w:color w:val="000000" w:themeColor="text1"/>
                <w:sz w:val="20"/>
                <w:szCs w:val="20"/>
              </w:rPr>
              <w:t>Regulatory Change programme</w:t>
            </w:r>
            <w:r w:rsidR="00ED4235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, these changes </w:t>
            </w:r>
            <w:r w:rsidR="00417D89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will have to be </w:t>
            </w:r>
            <w:r w:rsidR="002A0B46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initiated during the remainder of FY22/23.</w:t>
            </w:r>
            <w:r w:rsidR="00EB2689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4142E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Approval of this </w:t>
            </w:r>
            <w:r w:rsidR="00EB2689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BER </w:t>
            </w:r>
            <w:r w:rsidR="002F59C1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will reserve £1.18m </w:t>
            </w:r>
            <w:r w:rsidR="0072260C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of the Gemini Regulatory </w:t>
            </w:r>
            <w:r w:rsidR="00C4142E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budget within BP22.</w:t>
            </w:r>
            <w:r w:rsidR="00467602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Where a change is identified</w:t>
            </w:r>
            <w:r w:rsidR="005E30A5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,</w:t>
            </w:r>
            <w:r w:rsidR="005D2DDF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a Change Variation will be raised </w:t>
            </w:r>
            <w:r w:rsidR="00773857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under</w:t>
            </w:r>
            <w:r w:rsidR="005D2DDF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this </w:t>
            </w:r>
            <w:proofErr w:type="gramStart"/>
            <w:r w:rsidR="005D2DDF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BER</w:t>
            </w:r>
            <w:proofErr w:type="gramEnd"/>
            <w:r w:rsidR="005E30A5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and the relevant funds </w:t>
            </w:r>
            <w:r w:rsidR="00505CD0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allocated from the approved reserve of £1.18m.</w:t>
            </w:r>
            <w:r w:rsidR="006511FA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 This change will also better align the governance / sanction processes between </w:t>
            </w:r>
            <w:r w:rsidR="00EB0A9F">
              <w:rPr>
                <w:rFonts w:cs="Arial"/>
                <w:iCs/>
                <w:color w:val="000000" w:themeColor="text1"/>
                <w:sz w:val="20"/>
                <w:szCs w:val="20"/>
              </w:rPr>
              <w:t>National Grid</w:t>
            </w:r>
            <w:r w:rsidR="006511FA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and Correla</w:t>
            </w:r>
          </w:p>
          <w:p w14:paraId="247598E9" w14:textId="77777777" w:rsidR="00773857" w:rsidRPr="00CD1BE3" w:rsidRDefault="00773857" w:rsidP="00A107AC">
            <w:pPr>
              <w:spacing w:after="60" w:line="276" w:lineRule="auto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14:paraId="6700A1A5" w14:textId="336FC45B" w:rsidR="0093027B" w:rsidRPr="00CD1BE3" w:rsidRDefault="00773857" w:rsidP="0093027B">
            <w:pPr>
              <w:spacing w:after="60" w:line="276" w:lineRule="auto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This BER</w:t>
            </w:r>
            <w:r w:rsidR="009D10F2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is</w:t>
            </w:r>
            <w:r w:rsidR="00063BC5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time</w:t>
            </w:r>
            <w:r w:rsidR="009D10F2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limited to </w:t>
            </w:r>
            <w:r w:rsidR="00063BC5">
              <w:rPr>
                <w:rFonts w:cs="Arial"/>
                <w:iCs/>
                <w:color w:val="000000" w:themeColor="text1"/>
                <w:sz w:val="20"/>
                <w:szCs w:val="20"/>
              </w:rPr>
              <w:t>deliver</w:t>
            </w:r>
            <w:r w:rsidR="00287EBC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D10F2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change that is to be initiated within FY22/23. It is recognised that </w:t>
            </w:r>
            <w:r w:rsidR="00CE4970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delivery</w:t>
            </w:r>
            <w:r w:rsidR="00E82B93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of the changes may continue into FY23</w:t>
            </w:r>
            <w:r w:rsidR="00C724EC" w:rsidRPr="00CD1BE3">
              <w:rPr>
                <w:rFonts w:cs="Arial"/>
                <w:iCs/>
                <w:color w:val="000000" w:themeColor="text1"/>
                <w:sz w:val="20"/>
                <w:szCs w:val="20"/>
              </w:rPr>
              <w:t>/24</w:t>
            </w:r>
            <w:r w:rsidR="005F604C">
              <w:rPr>
                <w:rFonts w:cs="Arial"/>
                <w:iCs/>
                <w:color w:val="000000" w:themeColor="text1"/>
                <w:sz w:val="20"/>
                <w:szCs w:val="20"/>
              </w:rPr>
              <w:t>, a</w:t>
            </w:r>
            <w:r w:rsidR="005F604C" w:rsidRPr="009D6A6B">
              <w:rPr>
                <w:rFonts w:cs="Arial"/>
                <w:iCs/>
                <w:color w:val="000000" w:themeColor="text1"/>
                <w:sz w:val="20"/>
                <w:szCs w:val="20"/>
              </w:rPr>
              <w:t>nd that separate approval will be sought for 23/24</w:t>
            </w:r>
            <w:r w:rsidR="005F604C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related costs.</w:t>
            </w:r>
          </w:p>
          <w:p w14:paraId="40201D4D" w14:textId="77777777" w:rsidR="00C724EC" w:rsidRPr="00CD1BE3" w:rsidRDefault="00C724EC" w:rsidP="0093027B">
            <w:pPr>
              <w:spacing w:after="60" w:line="276" w:lineRule="auto"/>
              <w:rPr>
                <w:iCs/>
                <w:color w:val="000000" w:themeColor="text1"/>
                <w:sz w:val="20"/>
                <w:szCs w:val="20"/>
              </w:rPr>
            </w:pPr>
          </w:p>
          <w:p w14:paraId="05BA6E36" w14:textId="1E461F3E" w:rsidR="0093027B" w:rsidRPr="0093027B" w:rsidRDefault="0093027B" w:rsidP="005B0BB7">
            <w:pPr>
              <w:spacing w:after="60"/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00980B8C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980B8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E48B94" w14:textId="5BA9A14E" w:rsidR="001E58AF" w:rsidRPr="00355FDB" w:rsidRDefault="00E326DE" w:rsidP="009D6A6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355FDB">
              <w:rPr>
                <w:rFonts w:cs="Arial"/>
                <w:iCs/>
                <w:color w:val="000000" w:themeColor="text1"/>
                <w:szCs w:val="20"/>
              </w:rPr>
              <w:t xml:space="preserve">Delivery of any regulatory change that is not expected to start </w:t>
            </w:r>
            <w:r w:rsidR="00355FDB" w:rsidRPr="00355FDB">
              <w:rPr>
                <w:rFonts w:cs="Arial"/>
                <w:iCs/>
                <w:color w:val="000000" w:themeColor="text1"/>
                <w:szCs w:val="20"/>
              </w:rPr>
              <w:t>until FY23/24.</w:t>
            </w:r>
          </w:p>
        </w:tc>
      </w:tr>
      <w:tr w:rsidR="002B2E87" w:rsidRPr="002B2E87" w14:paraId="62FBD337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750450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12517682" w14:textId="77777777" w:rsidR="000C1358" w:rsidRPr="002C58D6" w:rsidRDefault="000C1358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6"/>
              <w:gridCol w:w="481"/>
              <w:gridCol w:w="551"/>
              <w:gridCol w:w="471"/>
              <w:gridCol w:w="450"/>
              <w:gridCol w:w="1024"/>
              <w:gridCol w:w="462"/>
              <w:gridCol w:w="466"/>
              <w:gridCol w:w="628"/>
              <w:gridCol w:w="497"/>
              <w:gridCol w:w="574"/>
              <w:gridCol w:w="729"/>
              <w:gridCol w:w="599"/>
              <w:gridCol w:w="418"/>
              <w:gridCol w:w="463"/>
              <w:gridCol w:w="729"/>
              <w:gridCol w:w="702"/>
            </w:tblGrid>
            <w:tr w:rsidR="00AA4B89" w:rsidRPr="00980B8C" w14:paraId="4664C786" w14:textId="77777777" w:rsidTr="00980B8C">
              <w:trPr>
                <w:trHeight w:val="155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6176A6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XRN Ref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B5A9E4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HLSO £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E76088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Design EQR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13289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Build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ADB48A4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Test £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97E96E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Implementation PIS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87078F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MT £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DDD22B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1st Year MTB £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578902B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Delivery Total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3E3B2B6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CSSC </w:t>
                  </w:r>
                  <w:proofErr w:type="spellStart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Imact</w:t>
                  </w:r>
                  <w:proofErr w:type="spellEnd"/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EFE173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Risk Margin £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74CC92C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BER Total for Approval £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6727F6B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Shipper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30D8A0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DN £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03F3153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IGT £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vAlign w:val="bottom"/>
                  <w:hideMark/>
                </w:tcPr>
                <w:p w14:paraId="1F80D2F2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>NTS £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B9BD5"/>
                  <w:noWrap/>
                  <w:vAlign w:val="bottom"/>
                  <w:hideMark/>
                </w:tcPr>
                <w:p w14:paraId="2C2945B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</w:rPr>
                    <w:t xml:space="preserve">Total </w:t>
                  </w:r>
                </w:p>
              </w:tc>
            </w:tr>
            <w:tr w:rsidR="00900BCF" w:rsidRPr="00980B8C" w14:paraId="3BE6B925" w14:textId="77777777" w:rsidTr="00900BCF">
              <w:trPr>
                <w:trHeight w:val="288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44C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117E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B7E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34C5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74A9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B20A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BF709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E018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651F207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0BED34F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3BD2C3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6A58E" w14:textId="08A32D56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037B75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1,180,000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20EC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E85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D71B" w14:textId="77777777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3FDF3" w14:textId="494EFD66" w:rsidR="00980B8C" w:rsidRPr="00980B8C" w:rsidRDefault="00980B8C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 w:rsidRPr="00980B8C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 </w:t>
                  </w:r>
                  <w:r w:rsidR="00037B75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1,180,000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36A1" w14:textId="0688ADAA" w:rsidR="00980B8C" w:rsidRPr="00980B8C" w:rsidRDefault="00037B75" w:rsidP="00980B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1,</w:t>
                  </w:r>
                  <w:r w:rsidR="00AA4B89">
                    <w:rPr>
                      <w:rFonts w:ascii="Calibri" w:eastAsia="Times New Roman" w:hAnsi="Calibri" w:cs="Calibri"/>
                      <w:color w:val="000000"/>
                      <w:sz w:val="12"/>
                    </w:rPr>
                    <w:t>180,000</w:t>
                  </w:r>
                </w:p>
              </w:tc>
            </w:tr>
          </w:tbl>
          <w:p w14:paraId="07E1758A" w14:textId="0C5C61D6" w:rsidR="000C1358" w:rsidRDefault="000C1358" w:rsidP="39712EE9">
            <w:pPr>
              <w:rPr>
                <w:rFonts w:cs="Arial"/>
                <w:b/>
                <w:bCs/>
              </w:rPr>
            </w:pPr>
          </w:p>
          <w:p w14:paraId="58C76C24" w14:textId="77777777" w:rsidR="000C1358" w:rsidRDefault="000C1358" w:rsidP="39712EE9">
            <w:pPr>
              <w:rPr>
                <w:rFonts w:cs="Arial"/>
                <w:b/>
                <w:bCs/>
              </w:rPr>
            </w:pPr>
          </w:p>
          <w:p w14:paraId="2F5BCCF3" w14:textId="0352A454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00980B8C">
        <w:tc>
          <w:tcPr>
            <w:tcW w:w="5000" w:type="pct"/>
            <w:gridSpan w:val="2"/>
            <w:shd w:val="clear" w:color="auto" w:fill="auto"/>
          </w:tcPr>
          <w:p w14:paraId="51BCD4F1" w14:textId="5E37F9CE" w:rsidR="003C6F77" w:rsidRPr="00584538" w:rsidRDefault="003C6F77" w:rsidP="002B2E87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FC46751" w14:textId="77777777" w:rsidR="003C6F77" w:rsidRPr="00584538" w:rsidRDefault="003C6F77" w:rsidP="002B2E87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5B84203F" w14:textId="0081C2E2" w:rsidR="003C6F77" w:rsidRPr="00584538" w:rsidRDefault="003C6F77" w:rsidP="002B2E87">
            <w:pPr>
              <w:contextualSpacing/>
              <w:rPr>
                <w:rFonts w:cs="Arial"/>
                <w:sz w:val="20"/>
                <w:szCs w:val="20"/>
              </w:rPr>
            </w:pPr>
            <w:r w:rsidRPr="00584538">
              <w:rPr>
                <w:rFonts w:cs="Arial"/>
                <w:sz w:val="20"/>
                <w:szCs w:val="20"/>
              </w:rPr>
              <w:t>Any Change Variations raised under this BER will be assessed at the time of request</w:t>
            </w:r>
            <w:r w:rsidR="00584538" w:rsidRPr="00584538">
              <w:rPr>
                <w:rFonts w:cs="Arial"/>
                <w:sz w:val="20"/>
                <w:szCs w:val="20"/>
              </w:rPr>
              <w:t xml:space="preserve"> and any expected increase, if applicable, will be communicated as part of the Change Variation control process.</w:t>
            </w:r>
          </w:p>
          <w:p w14:paraId="064CAF5A" w14:textId="77777777" w:rsidR="003C6F77" w:rsidRPr="00584538" w:rsidRDefault="003C6F77" w:rsidP="002B2E87">
            <w:pPr>
              <w:contextualSpacing/>
              <w:rPr>
                <w:rFonts w:eastAsia="Times New Roman" w:cs="Arial"/>
                <w:iCs/>
                <w:lang w:eastAsia="en-US"/>
              </w:rPr>
            </w:pPr>
          </w:p>
          <w:p w14:paraId="6F8E01C7" w14:textId="132BA8D1" w:rsidR="001E6419" w:rsidRPr="002B2E87" w:rsidRDefault="001E641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C81920">
        <w:tc>
          <w:tcPr>
            <w:tcW w:w="5000" w:type="pct"/>
            <w:gridSpan w:val="2"/>
            <w:shd w:val="clear" w:color="auto" w:fill="auto"/>
          </w:tcPr>
          <w:p w14:paraId="1F3F3330" w14:textId="326C2EDE" w:rsidR="00584538" w:rsidRPr="00C81920" w:rsidRDefault="00750450" w:rsidP="001F7F6F">
            <w:pPr>
              <w:rPr>
                <w:rFonts w:eastAsia="Times New Roman" w:cs="Arial"/>
                <w:sz w:val="20"/>
                <w:szCs w:val="16"/>
              </w:rPr>
            </w:pPr>
            <w:r w:rsidRPr="00C81920">
              <w:rPr>
                <w:rFonts w:eastAsia="Times New Roman" w:cs="Arial"/>
                <w:bCs/>
                <w:sz w:val="20"/>
                <w:szCs w:val="16"/>
              </w:rPr>
              <w:t xml:space="preserve">Delivery </w:t>
            </w:r>
            <w:r w:rsidR="00C81920" w:rsidRPr="00C81920">
              <w:rPr>
                <w:rFonts w:eastAsia="Times New Roman" w:cs="Arial"/>
                <w:bCs/>
                <w:sz w:val="20"/>
                <w:szCs w:val="16"/>
              </w:rPr>
              <w:t>timescales will be provided in the response to any Change Variation.</w:t>
            </w:r>
          </w:p>
          <w:p w14:paraId="23C41EF7" w14:textId="77777777" w:rsidR="00584538" w:rsidRPr="00C81920" w:rsidRDefault="00584538" w:rsidP="001F7F6F">
            <w:pPr>
              <w:rPr>
                <w:rFonts w:eastAsia="Times New Roman" w:cs="Arial"/>
                <w:sz w:val="20"/>
                <w:szCs w:val="16"/>
              </w:rPr>
            </w:pPr>
          </w:p>
          <w:p w14:paraId="22A5BB6E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61EE31AC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2466CFE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5DAABBEB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3C888E22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614B373C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26B2B15A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3734B5B0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17763AE2" w14:textId="77777777" w:rsidR="00584538" w:rsidRDefault="0058453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5FC510E6" w14:textId="77777777" w:rsidR="006B26D1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8BB6042" w14:textId="2E75297B" w:rsidR="006B26D1" w:rsidRPr="002B2E87" w:rsidRDefault="006B26D1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980B8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00980B8C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162FB3" w14:textId="3D308023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</w:t>
            </w:r>
          </w:p>
          <w:p w14:paraId="2399500B" w14:textId="12AD4A20" w:rsidR="00810C5C" w:rsidRDefault="00810C5C" w:rsidP="00C07933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544" w:type="dxa"/>
              <w:tblLook w:val="04A0" w:firstRow="1" w:lastRow="0" w:firstColumn="1" w:lastColumn="0" w:noHBand="0" w:noVBand="1"/>
            </w:tblPr>
            <w:tblGrid>
              <w:gridCol w:w="960"/>
              <w:gridCol w:w="2064"/>
              <w:gridCol w:w="6520"/>
            </w:tblGrid>
            <w:tr w:rsidR="0036721C" w:rsidRPr="0009754E" w14:paraId="305B7992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466D1D21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XRN Ref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630347CA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6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0FE5F132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36721C" w:rsidRPr="0009754E" w14:paraId="2FE615A1" w14:textId="77777777" w:rsidTr="002F15C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B3A0" w14:textId="22BE3294" w:rsidR="0036721C" w:rsidRPr="0009754E" w:rsidRDefault="00F317CB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5579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D5F1" w14:textId="14428FE6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2F15C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</w:t>
                  </w:r>
                  <w:r w:rsidR="002F15CB" w:rsidRPr="002F15C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1,180,000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7011" w14:textId="317346FE" w:rsidR="0036721C" w:rsidRPr="0009754E" w:rsidRDefault="00B37D3B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Funds reserved for any potential regulatory change initiated during FY22/23</w:t>
                  </w:r>
                </w:p>
              </w:tc>
            </w:tr>
            <w:tr w:rsidR="0036721C" w:rsidRPr="0009754E" w14:paraId="5A5B43BB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D88CF1" w14:textId="222A21C3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A3D005" w14:textId="222936DB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701AD2" w14:textId="262630C2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721C" w:rsidRPr="0009754E" w14:paraId="42D64593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4255CA" w14:textId="00B89F55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2260F" w14:textId="42D1ABCD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DAFB12" w14:textId="455E0424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721C" w:rsidRPr="0009754E" w14:paraId="721E6DE4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91945D" w14:textId="71B40CF6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F578CC" w14:textId="3A6C8EEE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27E8BF" w14:textId="45C53AC6" w:rsidR="0036721C" w:rsidRPr="0009754E" w:rsidRDefault="0036721C" w:rsidP="6EEFDF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19A3" w:rsidRPr="0009754E" w14:paraId="55A8484F" w14:textId="77777777" w:rsidTr="00980B8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1C8488F" w14:textId="41A52303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B945F74" w14:textId="07256BCC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61EC640" w14:textId="236224AB" w:rsidR="005F19A3" w:rsidRP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9587C29" w14:textId="77777777" w:rsidR="00F317CB" w:rsidRDefault="00F317CB" w:rsidP="001E58AF">
            <w:pPr>
              <w:rPr>
                <w:rFonts w:cs="Arial"/>
                <w:i/>
                <w:color w:val="0070C0"/>
                <w:sz w:val="20"/>
              </w:rPr>
            </w:pPr>
          </w:p>
          <w:p w14:paraId="007F5CC8" w14:textId="77777777" w:rsidR="00F317CB" w:rsidRPr="00BF753A" w:rsidRDefault="00F317CB" w:rsidP="00F317CB">
            <w:pPr>
              <w:pStyle w:val="Normal2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F753A">
              <w:rPr>
                <w:rFonts w:asciiTheme="majorHAnsi" w:hAnsiTheme="majorHAnsi" w:cstheme="majorHAnsi"/>
                <w:sz w:val="20"/>
                <w:szCs w:val="20"/>
              </w:rPr>
              <w:t xml:space="preserve">Availability of sufficient and suitably skilled National Grid resources to provide support throughout the project lifecycle is essential to ensure successful delivery. </w:t>
            </w:r>
          </w:p>
          <w:p w14:paraId="31171B94" w14:textId="77777777" w:rsidR="00F317CB" w:rsidRPr="009433B6" w:rsidRDefault="00F317CB" w:rsidP="00F317CB">
            <w:pPr>
              <w:pStyle w:val="Normal2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F753A">
              <w:rPr>
                <w:rFonts w:asciiTheme="majorHAnsi" w:hAnsiTheme="majorHAnsi" w:cstheme="majorHAnsi"/>
                <w:sz w:val="20"/>
                <w:szCs w:val="20"/>
              </w:rPr>
              <w:t xml:space="preserve">Availability of sufficient and suitably scaled development and testing environments is required throughout the delivery phases. Relative priorities will need to be agreed with other projects if and when </w:t>
            </w:r>
            <w:r w:rsidRPr="00BF753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there are areas of conflict.</w:t>
            </w:r>
          </w:p>
          <w:p w14:paraId="05EEB966" w14:textId="3B9B22F0" w:rsidR="0009754E" w:rsidRPr="00D24E05" w:rsidRDefault="0009754E" w:rsidP="00F317CB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3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60BD4B3B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54D73FF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09491C81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2A012730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1A00C13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75BC5" w:rsidRPr="002B2E87" w14:paraId="420D8008" w14:textId="77777777" w:rsidTr="002B2E87">
        <w:tc>
          <w:tcPr>
            <w:tcW w:w="902" w:type="pct"/>
          </w:tcPr>
          <w:p w14:paraId="570905FA" w14:textId="51F2A86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0372868" w14:textId="66291AB6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F15D66E" w14:textId="450B8639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3CFF9B9" w14:textId="4564BF4B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CAC1E27" w14:textId="678DC8F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2C639979" w14:textId="77777777" w:rsidTr="002B2E87">
        <w:tc>
          <w:tcPr>
            <w:tcW w:w="902" w:type="pct"/>
          </w:tcPr>
          <w:p w14:paraId="0D1B2E30" w14:textId="1F7968C1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66C7AF5E" w14:textId="15B36D6B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9F9160" w14:textId="184E7A38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598DCC1" w14:textId="2C5A1E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74599986" w14:textId="65348EE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4E78B688" w14:textId="77777777" w:rsidTr="002B2E87">
        <w:tc>
          <w:tcPr>
            <w:tcW w:w="902" w:type="pct"/>
          </w:tcPr>
          <w:p w14:paraId="0B3FDD7E" w14:textId="7651052A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2C20ECC9" w14:textId="0813AFEE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628B5D6" w14:textId="18C992DC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2D48BE9" w14:textId="1BBF66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085A31" w14:textId="0FB48783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14:paraId="46761F7A" w14:textId="77777777" w:rsidTr="002B2E87">
        <w:tc>
          <w:tcPr>
            <w:tcW w:w="902" w:type="pct"/>
          </w:tcPr>
          <w:p w14:paraId="040B495A" w14:textId="6635D3EE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009A2AA" w14:textId="5CFCB843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4CB22A99" w14:textId="324A0709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A191D6D" w14:textId="3E9697CA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08AC360" w14:textId="1D4015F2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F825F9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36F367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12249E59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21DB6D6A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A012E02" w:rsidR="00F825F9" w:rsidRPr="00E52009" w:rsidRDefault="00F825F9" w:rsidP="00F825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1A4EECE7" w:rsidR="00F825F9" w:rsidRPr="00E52009" w:rsidRDefault="00F825F9" w:rsidP="00F825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Template approved at </w:t>
            </w:r>
            <w:proofErr w:type="spellStart"/>
            <w:r>
              <w:rPr>
                <w:rFonts w:cs="Arial"/>
                <w:sz w:val="20"/>
                <w:szCs w:val="20"/>
              </w:rPr>
              <w:t>ChMC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  <w:tr w:rsidR="00F825F9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4ACE8887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F825F9" w:rsidRPr="002B2E87" w:rsidRDefault="00F825F9" w:rsidP="00F825F9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581EE21B" w:rsidR="00F825F9" w:rsidRPr="002B2E87" w:rsidRDefault="008012FE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23/06/2021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7231B80" w:rsidR="00F825F9" w:rsidRPr="002B2E87" w:rsidRDefault="001E58AF" w:rsidP="00F825F9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James Rigby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568B610C" w14:textId="6C1C5343" w:rsidR="00F825F9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to section 1</w:t>
            </w:r>
          </w:p>
          <w:p w14:paraId="7CAA867C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3</w:t>
            </w:r>
          </w:p>
          <w:p w14:paraId="6556CBB1" w14:textId="77777777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More detailed table in section 4</w:t>
            </w:r>
          </w:p>
          <w:p w14:paraId="75D9E50F" w14:textId="433565C9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Inserted a project plan example in section 5</w:t>
            </w:r>
          </w:p>
          <w:p w14:paraId="728EBB3D" w14:textId="4D232952" w:rsidR="008012FE" w:rsidRDefault="008012FE" w:rsidP="00F825F9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Table added in section 6</w:t>
            </w:r>
          </w:p>
          <w:p w14:paraId="28B38E32" w14:textId="4F1F10F2" w:rsidR="008012FE" w:rsidRPr="002B2E87" w:rsidRDefault="008012FE" w:rsidP="00F825F9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/>
    <w:sectPr w:rsidR="00D66C7E" w:rsidRPr="00D66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BE0" w14:textId="77777777" w:rsidR="001A7BC6" w:rsidRDefault="001A7BC6" w:rsidP="00324744">
      <w:pPr>
        <w:spacing w:after="0" w:line="240" w:lineRule="auto"/>
      </w:pPr>
      <w:r>
        <w:separator/>
      </w:r>
    </w:p>
  </w:endnote>
  <w:endnote w:type="continuationSeparator" w:id="0">
    <w:p w14:paraId="321A92B0" w14:textId="77777777" w:rsidR="001A7BC6" w:rsidRDefault="001A7BC6" w:rsidP="00324744">
      <w:pPr>
        <w:spacing w:after="0" w:line="240" w:lineRule="auto"/>
      </w:pPr>
      <w:r>
        <w:continuationSeparator/>
      </w:r>
    </w:p>
  </w:endnote>
  <w:endnote w:type="continuationNotice" w:id="1">
    <w:p w14:paraId="2CAC84CC" w14:textId="77777777" w:rsidR="001A7BC6" w:rsidRDefault="001A7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3CD7F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651C" w14:textId="77777777" w:rsidR="001A7BC6" w:rsidRDefault="001A7BC6" w:rsidP="00324744">
      <w:pPr>
        <w:spacing w:after="0" w:line="240" w:lineRule="auto"/>
      </w:pPr>
      <w:r>
        <w:separator/>
      </w:r>
    </w:p>
  </w:footnote>
  <w:footnote w:type="continuationSeparator" w:id="0">
    <w:p w14:paraId="26C1182F" w14:textId="77777777" w:rsidR="001A7BC6" w:rsidRDefault="001A7BC6" w:rsidP="00324744">
      <w:pPr>
        <w:spacing w:after="0" w:line="240" w:lineRule="auto"/>
      </w:pPr>
      <w:r>
        <w:continuationSeparator/>
      </w:r>
    </w:p>
  </w:footnote>
  <w:footnote w:type="continuationNotice" w:id="1">
    <w:p w14:paraId="452341E5" w14:textId="77777777" w:rsidR="001A7BC6" w:rsidRDefault="001A7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2ED938F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1F42CFE9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A3BCA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406E1"/>
    <w:multiLevelType w:val="hybridMultilevel"/>
    <w:tmpl w:val="121E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AD2"/>
    <w:multiLevelType w:val="hybridMultilevel"/>
    <w:tmpl w:val="4474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1681"/>
    <w:rsid w:val="00014007"/>
    <w:rsid w:val="00014DA2"/>
    <w:rsid w:val="00016736"/>
    <w:rsid w:val="000229F1"/>
    <w:rsid w:val="0002511B"/>
    <w:rsid w:val="00025955"/>
    <w:rsid w:val="000277B5"/>
    <w:rsid w:val="0003136C"/>
    <w:rsid w:val="00035EB2"/>
    <w:rsid w:val="0003758F"/>
    <w:rsid w:val="00037B75"/>
    <w:rsid w:val="00040B7E"/>
    <w:rsid w:val="00042DB8"/>
    <w:rsid w:val="00043629"/>
    <w:rsid w:val="0004427F"/>
    <w:rsid w:val="00045E44"/>
    <w:rsid w:val="000471A3"/>
    <w:rsid w:val="0005209B"/>
    <w:rsid w:val="00055F7C"/>
    <w:rsid w:val="000560C0"/>
    <w:rsid w:val="00057653"/>
    <w:rsid w:val="00057AFE"/>
    <w:rsid w:val="0006032B"/>
    <w:rsid w:val="000608B3"/>
    <w:rsid w:val="000612CE"/>
    <w:rsid w:val="00061BCD"/>
    <w:rsid w:val="00062EB0"/>
    <w:rsid w:val="00063BC5"/>
    <w:rsid w:val="00074FDE"/>
    <w:rsid w:val="0007561C"/>
    <w:rsid w:val="00075669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406F"/>
    <w:rsid w:val="000B411F"/>
    <w:rsid w:val="000B6963"/>
    <w:rsid w:val="000B73EA"/>
    <w:rsid w:val="000B7CF3"/>
    <w:rsid w:val="000C1358"/>
    <w:rsid w:val="000C2924"/>
    <w:rsid w:val="000C3EC6"/>
    <w:rsid w:val="000C6E46"/>
    <w:rsid w:val="000C74D3"/>
    <w:rsid w:val="000D05B9"/>
    <w:rsid w:val="000D16ED"/>
    <w:rsid w:val="000D252F"/>
    <w:rsid w:val="000E0DC2"/>
    <w:rsid w:val="000E1463"/>
    <w:rsid w:val="000E16C9"/>
    <w:rsid w:val="000E3819"/>
    <w:rsid w:val="000E55B0"/>
    <w:rsid w:val="000E5E54"/>
    <w:rsid w:val="000F2D15"/>
    <w:rsid w:val="00103FC5"/>
    <w:rsid w:val="00115508"/>
    <w:rsid w:val="00120018"/>
    <w:rsid w:val="001207D8"/>
    <w:rsid w:val="00122F88"/>
    <w:rsid w:val="00125B61"/>
    <w:rsid w:val="001270A2"/>
    <w:rsid w:val="00127356"/>
    <w:rsid w:val="001353D7"/>
    <w:rsid w:val="00135C0D"/>
    <w:rsid w:val="00136998"/>
    <w:rsid w:val="00137CB9"/>
    <w:rsid w:val="00142F7C"/>
    <w:rsid w:val="00143EFF"/>
    <w:rsid w:val="001446C2"/>
    <w:rsid w:val="00144E00"/>
    <w:rsid w:val="00150D38"/>
    <w:rsid w:val="0015137D"/>
    <w:rsid w:val="001531E7"/>
    <w:rsid w:val="00155C3D"/>
    <w:rsid w:val="00157073"/>
    <w:rsid w:val="0016147C"/>
    <w:rsid w:val="00165B25"/>
    <w:rsid w:val="00174053"/>
    <w:rsid w:val="001742CE"/>
    <w:rsid w:val="00174786"/>
    <w:rsid w:val="001771A2"/>
    <w:rsid w:val="00181F6D"/>
    <w:rsid w:val="00183A53"/>
    <w:rsid w:val="001852E1"/>
    <w:rsid w:val="00186E8F"/>
    <w:rsid w:val="00191D7E"/>
    <w:rsid w:val="00192E27"/>
    <w:rsid w:val="001936FC"/>
    <w:rsid w:val="0019390D"/>
    <w:rsid w:val="00193F34"/>
    <w:rsid w:val="001942F6"/>
    <w:rsid w:val="00195FBE"/>
    <w:rsid w:val="001A4748"/>
    <w:rsid w:val="001A7BC6"/>
    <w:rsid w:val="001B0848"/>
    <w:rsid w:val="001B7DC1"/>
    <w:rsid w:val="001C15F7"/>
    <w:rsid w:val="001C1A4B"/>
    <w:rsid w:val="001D247D"/>
    <w:rsid w:val="001D275E"/>
    <w:rsid w:val="001D668B"/>
    <w:rsid w:val="001D69A1"/>
    <w:rsid w:val="001E398E"/>
    <w:rsid w:val="001E3C5C"/>
    <w:rsid w:val="001E58AF"/>
    <w:rsid w:val="001E6419"/>
    <w:rsid w:val="001E6D34"/>
    <w:rsid w:val="001F350A"/>
    <w:rsid w:val="001F7F6F"/>
    <w:rsid w:val="00203FBC"/>
    <w:rsid w:val="0022126F"/>
    <w:rsid w:val="00221538"/>
    <w:rsid w:val="00223716"/>
    <w:rsid w:val="002251F1"/>
    <w:rsid w:val="00226D34"/>
    <w:rsid w:val="00233305"/>
    <w:rsid w:val="00242C0A"/>
    <w:rsid w:val="002466AB"/>
    <w:rsid w:val="00253465"/>
    <w:rsid w:val="002539AB"/>
    <w:rsid w:val="00254336"/>
    <w:rsid w:val="00255B57"/>
    <w:rsid w:val="00260F79"/>
    <w:rsid w:val="00263B6E"/>
    <w:rsid w:val="0027026C"/>
    <w:rsid w:val="002707BF"/>
    <w:rsid w:val="002765FA"/>
    <w:rsid w:val="0028280D"/>
    <w:rsid w:val="00286D0E"/>
    <w:rsid w:val="00287EBC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A0B46"/>
    <w:rsid w:val="002A1FC5"/>
    <w:rsid w:val="002A4458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D683D"/>
    <w:rsid w:val="002D745C"/>
    <w:rsid w:val="002D74BA"/>
    <w:rsid w:val="002D7A48"/>
    <w:rsid w:val="002E31D5"/>
    <w:rsid w:val="002E511B"/>
    <w:rsid w:val="002F15CB"/>
    <w:rsid w:val="002F4110"/>
    <w:rsid w:val="002F5086"/>
    <w:rsid w:val="002F59C1"/>
    <w:rsid w:val="002F6CC9"/>
    <w:rsid w:val="003016CC"/>
    <w:rsid w:val="00305EE5"/>
    <w:rsid w:val="0030619C"/>
    <w:rsid w:val="00306F47"/>
    <w:rsid w:val="003138F6"/>
    <w:rsid w:val="0031660D"/>
    <w:rsid w:val="00324744"/>
    <w:rsid w:val="00325F3A"/>
    <w:rsid w:val="0032604C"/>
    <w:rsid w:val="003270E3"/>
    <w:rsid w:val="00330CC3"/>
    <w:rsid w:val="00332325"/>
    <w:rsid w:val="0033543C"/>
    <w:rsid w:val="00336F7E"/>
    <w:rsid w:val="00340205"/>
    <w:rsid w:val="0034304D"/>
    <w:rsid w:val="00345850"/>
    <w:rsid w:val="00355FDB"/>
    <w:rsid w:val="0035622F"/>
    <w:rsid w:val="00356379"/>
    <w:rsid w:val="003631E6"/>
    <w:rsid w:val="003650B4"/>
    <w:rsid w:val="0036515E"/>
    <w:rsid w:val="0036721C"/>
    <w:rsid w:val="0037133A"/>
    <w:rsid w:val="00372AF4"/>
    <w:rsid w:val="00373D5C"/>
    <w:rsid w:val="00374984"/>
    <w:rsid w:val="00374FD0"/>
    <w:rsid w:val="003772D6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A698E"/>
    <w:rsid w:val="003B125F"/>
    <w:rsid w:val="003B2395"/>
    <w:rsid w:val="003B3A3F"/>
    <w:rsid w:val="003B52D6"/>
    <w:rsid w:val="003B773D"/>
    <w:rsid w:val="003C04A7"/>
    <w:rsid w:val="003C4226"/>
    <w:rsid w:val="003C5A46"/>
    <w:rsid w:val="003C6F77"/>
    <w:rsid w:val="003D4D97"/>
    <w:rsid w:val="003E04A9"/>
    <w:rsid w:val="003E1EC0"/>
    <w:rsid w:val="003E26B0"/>
    <w:rsid w:val="003E4886"/>
    <w:rsid w:val="003E595D"/>
    <w:rsid w:val="003E76C8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43A"/>
    <w:rsid w:val="00411FB4"/>
    <w:rsid w:val="0041328B"/>
    <w:rsid w:val="00417D89"/>
    <w:rsid w:val="0042046E"/>
    <w:rsid w:val="00420BA0"/>
    <w:rsid w:val="004224DF"/>
    <w:rsid w:val="00426807"/>
    <w:rsid w:val="00434BEE"/>
    <w:rsid w:val="0044312E"/>
    <w:rsid w:val="00443425"/>
    <w:rsid w:val="00444311"/>
    <w:rsid w:val="00445256"/>
    <w:rsid w:val="0045266B"/>
    <w:rsid w:val="0045742C"/>
    <w:rsid w:val="00463EB7"/>
    <w:rsid w:val="0046467E"/>
    <w:rsid w:val="0046499A"/>
    <w:rsid w:val="00467602"/>
    <w:rsid w:val="00470600"/>
    <w:rsid w:val="00473262"/>
    <w:rsid w:val="00475BAB"/>
    <w:rsid w:val="00476907"/>
    <w:rsid w:val="00477D87"/>
    <w:rsid w:val="00487E4D"/>
    <w:rsid w:val="004903EF"/>
    <w:rsid w:val="0049103B"/>
    <w:rsid w:val="00491D60"/>
    <w:rsid w:val="004A42D0"/>
    <w:rsid w:val="004A4941"/>
    <w:rsid w:val="004A7196"/>
    <w:rsid w:val="004B16E0"/>
    <w:rsid w:val="004B34C8"/>
    <w:rsid w:val="004B5DDF"/>
    <w:rsid w:val="004C2371"/>
    <w:rsid w:val="004C3840"/>
    <w:rsid w:val="004C5D53"/>
    <w:rsid w:val="004C7509"/>
    <w:rsid w:val="004D02BC"/>
    <w:rsid w:val="004D06B5"/>
    <w:rsid w:val="004D0B72"/>
    <w:rsid w:val="004D1060"/>
    <w:rsid w:val="004D1CB2"/>
    <w:rsid w:val="004D22D8"/>
    <w:rsid w:val="004E102B"/>
    <w:rsid w:val="004E151D"/>
    <w:rsid w:val="004E5E53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05CD0"/>
    <w:rsid w:val="0051318E"/>
    <w:rsid w:val="005144BB"/>
    <w:rsid w:val="005156C2"/>
    <w:rsid w:val="00515EC5"/>
    <w:rsid w:val="00517F6F"/>
    <w:rsid w:val="00517FA0"/>
    <w:rsid w:val="005230DF"/>
    <w:rsid w:val="005249FC"/>
    <w:rsid w:val="00525557"/>
    <w:rsid w:val="00532937"/>
    <w:rsid w:val="00537435"/>
    <w:rsid w:val="00540FDC"/>
    <w:rsid w:val="00543428"/>
    <w:rsid w:val="00544F5A"/>
    <w:rsid w:val="0055011F"/>
    <w:rsid w:val="00550EFE"/>
    <w:rsid w:val="0055298E"/>
    <w:rsid w:val="005538E6"/>
    <w:rsid w:val="00554A0E"/>
    <w:rsid w:val="0055608D"/>
    <w:rsid w:val="00564566"/>
    <w:rsid w:val="00570041"/>
    <w:rsid w:val="00584538"/>
    <w:rsid w:val="005864A5"/>
    <w:rsid w:val="00592987"/>
    <w:rsid w:val="005931DD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47AA"/>
    <w:rsid w:val="005A680F"/>
    <w:rsid w:val="005A6CEB"/>
    <w:rsid w:val="005B0BB7"/>
    <w:rsid w:val="005B4293"/>
    <w:rsid w:val="005B4A6F"/>
    <w:rsid w:val="005D16CA"/>
    <w:rsid w:val="005D1E7E"/>
    <w:rsid w:val="005D2DDF"/>
    <w:rsid w:val="005D40A8"/>
    <w:rsid w:val="005D4F5D"/>
    <w:rsid w:val="005E1C66"/>
    <w:rsid w:val="005E2260"/>
    <w:rsid w:val="005E2838"/>
    <w:rsid w:val="005E30A5"/>
    <w:rsid w:val="005E4D31"/>
    <w:rsid w:val="005F1990"/>
    <w:rsid w:val="005F19A3"/>
    <w:rsid w:val="005F37C2"/>
    <w:rsid w:val="005F604C"/>
    <w:rsid w:val="005F642E"/>
    <w:rsid w:val="006069BE"/>
    <w:rsid w:val="00607F85"/>
    <w:rsid w:val="00610390"/>
    <w:rsid w:val="00613E31"/>
    <w:rsid w:val="00616DD0"/>
    <w:rsid w:val="00617345"/>
    <w:rsid w:val="0062016E"/>
    <w:rsid w:val="006275B2"/>
    <w:rsid w:val="006300B9"/>
    <w:rsid w:val="0063343D"/>
    <w:rsid w:val="00635874"/>
    <w:rsid w:val="00636B0A"/>
    <w:rsid w:val="0064383D"/>
    <w:rsid w:val="00650B5E"/>
    <w:rsid w:val="006511FA"/>
    <w:rsid w:val="00651354"/>
    <w:rsid w:val="00660CA9"/>
    <w:rsid w:val="00662760"/>
    <w:rsid w:val="006643E9"/>
    <w:rsid w:val="006657A1"/>
    <w:rsid w:val="006668AF"/>
    <w:rsid w:val="00667F77"/>
    <w:rsid w:val="00672C70"/>
    <w:rsid w:val="006769AC"/>
    <w:rsid w:val="00677270"/>
    <w:rsid w:val="00677C69"/>
    <w:rsid w:val="00680861"/>
    <w:rsid w:val="00682C0C"/>
    <w:rsid w:val="006870DE"/>
    <w:rsid w:val="00690D16"/>
    <w:rsid w:val="0069576A"/>
    <w:rsid w:val="006A7370"/>
    <w:rsid w:val="006B1E55"/>
    <w:rsid w:val="006B26D1"/>
    <w:rsid w:val="006B37E7"/>
    <w:rsid w:val="006B5219"/>
    <w:rsid w:val="006C09B4"/>
    <w:rsid w:val="006C228D"/>
    <w:rsid w:val="006C2C66"/>
    <w:rsid w:val="006C6330"/>
    <w:rsid w:val="006C7029"/>
    <w:rsid w:val="006D4434"/>
    <w:rsid w:val="006D44C5"/>
    <w:rsid w:val="006D461D"/>
    <w:rsid w:val="006D5230"/>
    <w:rsid w:val="006D5D08"/>
    <w:rsid w:val="006E5B4C"/>
    <w:rsid w:val="006E6DDA"/>
    <w:rsid w:val="006F062B"/>
    <w:rsid w:val="006F1AE5"/>
    <w:rsid w:val="006F3DB0"/>
    <w:rsid w:val="007004AF"/>
    <w:rsid w:val="00706CBE"/>
    <w:rsid w:val="00707442"/>
    <w:rsid w:val="00707B37"/>
    <w:rsid w:val="007123BF"/>
    <w:rsid w:val="00712B49"/>
    <w:rsid w:val="0071648B"/>
    <w:rsid w:val="007172CE"/>
    <w:rsid w:val="0072260C"/>
    <w:rsid w:val="00724049"/>
    <w:rsid w:val="007243D3"/>
    <w:rsid w:val="00725E9C"/>
    <w:rsid w:val="00735F2C"/>
    <w:rsid w:val="00737013"/>
    <w:rsid w:val="00742128"/>
    <w:rsid w:val="007426F4"/>
    <w:rsid w:val="00743EB3"/>
    <w:rsid w:val="00744317"/>
    <w:rsid w:val="00745D01"/>
    <w:rsid w:val="007460A8"/>
    <w:rsid w:val="0074646A"/>
    <w:rsid w:val="00746EF9"/>
    <w:rsid w:val="00750450"/>
    <w:rsid w:val="00750E30"/>
    <w:rsid w:val="00752C2F"/>
    <w:rsid w:val="00754351"/>
    <w:rsid w:val="007545B7"/>
    <w:rsid w:val="00755B92"/>
    <w:rsid w:val="007647A7"/>
    <w:rsid w:val="00765648"/>
    <w:rsid w:val="00773857"/>
    <w:rsid w:val="0079016D"/>
    <w:rsid w:val="00790295"/>
    <w:rsid w:val="007922AC"/>
    <w:rsid w:val="00794E22"/>
    <w:rsid w:val="00797CAB"/>
    <w:rsid w:val="007A17E4"/>
    <w:rsid w:val="007A27D2"/>
    <w:rsid w:val="007A2935"/>
    <w:rsid w:val="007A56DB"/>
    <w:rsid w:val="007A7F69"/>
    <w:rsid w:val="007B666A"/>
    <w:rsid w:val="007B68F8"/>
    <w:rsid w:val="007B79DF"/>
    <w:rsid w:val="007C0752"/>
    <w:rsid w:val="007C2148"/>
    <w:rsid w:val="007C52CE"/>
    <w:rsid w:val="007D2AFB"/>
    <w:rsid w:val="007D4F26"/>
    <w:rsid w:val="007D5D6C"/>
    <w:rsid w:val="007D68DD"/>
    <w:rsid w:val="007E3056"/>
    <w:rsid w:val="007E79F2"/>
    <w:rsid w:val="007F351A"/>
    <w:rsid w:val="00800F15"/>
    <w:rsid w:val="008012FE"/>
    <w:rsid w:val="00801CE0"/>
    <w:rsid w:val="00802485"/>
    <w:rsid w:val="008026AC"/>
    <w:rsid w:val="0080492D"/>
    <w:rsid w:val="00805B57"/>
    <w:rsid w:val="00810C5C"/>
    <w:rsid w:val="008158C1"/>
    <w:rsid w:val="008177C1"/>
    <w:rsid w:val="00817F39"/>
    <w:rsid w:val="00825094"/>
    <w:rsid w:val="00826CF4"/>
    <w:rsid w:val="00827695"/>
    <w:rsid w:val="00831B08"/>
    <w:rsid w:val="0083252E"/>
    <w:rsid w:val="00834D83"/>
    <w:rsid w:val="00841378"/>
    <w:rsid w:val="00845605"/>
    <w:rsid w:val="00845AC9"/>
    <w:rsid w:val="00846B1C"/>
    <w:rsid w:val="00847195"/>
    <w:rsid w:val="008573DE"/>
    <w:rsid w:val="00857E35"/>
    <w:rsid w:val="008605F5"/>
    <w:rsid w:val="00865076"/>
    <w:rsid w:val="00873B2A"/>
    <w:rsid w:val="008775AF"/>
    <w:rsid w:val="00886946"/>
    <w:rsid w:val="00886E75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B5120"/>
    <w:rsid w:val="008B79C2"/>
    <w:rsid w:val="008C7629"/>
    <w:rsid w:val="008D1540"/>
    <w:rsid w:val="008D6278"/>
    <w:rsid w:val="008E40B3"/>
    <w:rsid w:val="008E458F"/>
    <w:rsid w:val="008E4C82"/>
    <w:rsid w:val="008E9538"/>
    <w:rsid w:val="008F247A"/>
    <w:rsid w:val="008F496C"/>
    <w:rsid w:val="008F611C"/>
    <w:rsid w:val="008F63AC"/>
    <w:rsid w:val="008F7493"/>
    <w:rsid w:val="00900AAB"/>
    <w:rsid w:val="00900BCF"/>
    <w:rsid w:val="009070A3"/>
    <w:rsid w:val="00907531"/>
    <w:rsid w:val="00914CF8"/>
    <w:rsid w:val="009165C9"/>
    <w:rsid w:val="00916754"/>
    <w:rsid w:val="00922F4C"/>
    <w:rsid w:val="00925DCB"/>
    <w:rsid w:val="009278E5"/>
    <w:rsid w:val="0093027B"/>
    <w:rsid w:val="00932034"/>
    <w:rsid w:val="0093540E"/>
    <w:rsid w:val="00935746"/>
    <w:rsid w:val="009364D3"/>
    <w:rsid w:val="009436FD"/>
    <w:rsid w:val="0094462E"/>
    <w:rsid w:val="00944FE0"/>
    <w:rsid w:val="009454A8"/>
    <w:rsid w:val="009567F5"/>
    <w:rsid w:val="00970A73"/>
    <w:rsid w:val="00971142"/>
    <w:rsid w:val="00972082"/>
    <w:rsid w:val="009733BE"/>
    <w:rsid w:val="0097393B"/>
    <w:rsid w:val="009756C0"/>
    <w:rsid w:val="00975BC5"/>
    <w:rsid w:val="0097715D"/>
    <w:rsid w:val="00980B8C"/>
    <w:rsid w:val="00982681"/>
    <w:rsid w:val="009929BD"/>
    <w:rsid w:val="00995536"/>
    <w:rsid w:val="0099595C"/>
    <w:rsid w:val="009A0DD5"/>
    <w:rsid w:val="009A1BEE"/>
    <w:rsid w:val="009B06B4"/>
    <w:rsid w:val="009B6FAF"/>
    <w:rsid w:val="009B7ABC"/>
    <w:rsid w:val="009C19E9"/>
    <w:rsid w:val="009C433B"/>
    <w:rsid w:val="009D10F2"/>
    <w:rsid w:val="009D35A6"/>
    <w:rsid w:val="009D464C"/>
    <w:rsid w:val="009D51E0"/>
    <w:rsid w:val="009D63E3"/>
    <w:rsid w:val="009D6A6B"/>
    <w:rsid w:val="009E1C52"/>
    <w:rsid w:val="009E3962"/>
    <w:rsid w:val="009E7828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060C5"/>
    <w:rsid w:val="00A107AC"/>
    <w:rsid w:val="00A13B7D"/>
    <w:rsid w:val="00A22702"/>
    <w:rsid w:val="00A338AC"/>
    <w:rsid w:val="00A422CD"/>
    <w:rsid w:val="00A451D3"/>
    <w:rsid w:val="00A571D0"/>
    <w:rsid w:val="00A72FB8"/>
    <w:rsid w:val="00A83436"/>
    <w:rsid w:val="00A843C2"/>
    <w:rsid w:val="00A8684A"/>
    <w:rsid w:val="00A920FB"/>
    <w:rsid w:val="00A94845"/>
    <w:rsid w:val="00A96DCE"/>
    <w:rsid w:val="00AA1081"/>
    <w:rsid w:val="00AA2FF8"/>
    <w:rsid w:val="00AA4B89"/>
    <w:rsid w:val="00AB0F5F"/>
    <w:rsid w:val="00AB5B54"/>
    <w:rsid w:val="00AB63DE"/>
    <w:rsid w:val="00AC2244"/>
    <w:rsid w:val="00AC53A8"/>
    <w:rsid w:val="00AC5FC0"/>
    <w:rsid w:val="00AD03E3"/>
    <w:rsid w:val="00AD5778"/>
    <w:rsid w:val="00AE2302"/>
    <w:rsid w:val="00AE298F"/>
    <w:rsid w:val="00AE31DA"/>
    <w:rsid w:val="00AE33C8"/>
    <w:rsid w:val="00AE5F7F"/>
    <w:rsid w:val="00AF3920"/>
    <w:rsid w:val="00AF3B49"/>
    <w:rsid w:val="00AF3E44"/>
    <w:rsid w:val="00AF635B"/>
    <w:rsid w:val="00B02E70"/>
    <w:rsid w:val="00B03E33"/>
    <w:rsid w:val="00B13330"/>
    <w:rsid w:val="00B13C27"/>
    <w:rsid w:val="00B229D6"/>
    <w:rsid w:val="00B33D35"/>
    <w:rsid w:val="00B33E2C"/>
    <w:rsid w:val="00B33EAC"/>
    <w:rsid w:val="00B34CAA"/>
    <w:rsid w:val="00B3593B"/>
    <w:rsid w:val="00B36854"/>
    <w:rsid w:val="00B37D3B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827C6"/>
    <w:rsid w:val="00B91BE7"/>
    <w:rsid w:val="00B945A7"/>
    <w:rsid w:val="00B957D3"/>
    <w:rsid w:val="00B95BC2"/>
    <w:rsid w:val="00BA0DBB"/>
    <w:rsid w:val="00BA3A3F"/>
    <w:rsid w:val="00BA3EE0"/>
    <w:rsid w:val="00BA6734"/>
    <w:rsid w:val="00BB251D"/>
    <w:rsid w:val="00BC1C21"/>
    <w:rsid w:val="00BC4DFE"/>
    <w:rsid w:val="00BD0214"/>
    <w:rsid w:val="00BD0A45"/>
    <w:rsid w:val="00BD1798"/>
    <w:rsid w:val="00BD389E"/>
    <w:rsid w:val="00BE0275"/>
    <w:rsid w:val="00BF3DF4"/>
    <w:rsid w:val="00BF4C6E"/>
    <w:rsid w:val="00BF66FB"/>
    <w:rsid w:val="00C016C4"/>
    <w:rsid w:val="00C07933"/>
    <w:rsid w:val="00C133A0"/>
    <w:rsid w:val="00C147D6"/>
    <w:rsid w:val="00C17454"/>
    <w:rsid w:val="00C202D5"/>
    <w:rsid w:val="00C226CF"/>
    <w:rsid w:val="00C25F07"/>
    <w:rsid w:val="00C279BD"/>
    <w:rsid w:val="00C31751"/>
    <w:rsid w:val="00C3295A"/>
    <w:rsid w:val="00C36EC3"/>
    <w:rsid w:val="00C4142E"/>
    <w:rsid w:val="00C4330F"/>
    <w:rsid w:val="00C50B49"/>
    <w:rsid w:val="00C52D70"/>
    <w:rsid w:val="00C54CBB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24EC"/>
    <w:rsid w:val="00C74383"/>
    <w:rsid w:val="00C75A48"/>
    <w:rsid w:val="00C760B3"/>
    <w:rsid w:val="00C811E7"/>
    <w:rsid w:val="00C81920"/>
    <w:rsid w:val="00C8261C"/>
    <w:rsid w:val="00C83698"/>
    <w:rsid w:val="00C873DC"/>
    <w:rsid w:val="00C87499"/>
    <w:rsid w:val="00C907E2"/>
    <w:rsid w:val="00C92201"/>
    <w:rsid w:val="00C94964"/>
    <w:rsid w:val="00C967C0"/>
    <w:rsid w:val="00C96857"/>
    <w:rsid w:val="00C97875"/>
    <w:rsid w:val="00C97E08"/>
    <w:rsid w:val="00CA3866"/>
    <w:rsid w:val="00CA4840"/>
    <w:rsid w:val="00CA6F57"/>
    <w:rsid w:val="00CB043F"/>
    <w:rsid w:val="00CB0E14"/>
    <w:rsid w:val="00CB27FE"/>
    <w:rsid w:val="00CB3DC0"/>
    <w:rsid w:val="00CB572F"/>
    <w:rsid w:val="00CB6DCB"/>
    <w:rsid w:val="00CB70CD"/>
    <w:rsid w:val="00CC0E20"/>
    <w:rsid w:val="00CC2ADC"/>
    <w:rsid w:val="00CC3D60"/>
    <w:rsid w:val="00CC68F6"/>
    <w:rsid w:val="00CC7F24"/>
    <w:rsid w:val="00CD1BE3"/>
    <w:rsid w:val="00CD3310"/>
    <w:rsid w:val="00CD35A1"/>
    <w:rsid w:val="00CD3B81"/>
    <w:rsid w:val="00CD69CD"/>
    <w:rsid w:val="00CD7E18"/>
    <w:rsid w:val="00CD7F4C"/>
    <w:rsid w:val="00CE01BC"/>
    <w:rsid w:val="00CE4970"/>
    <w:rsid w:val="00CF074C"/>
    <w:rsid w:val="00CF37EC"/>
    <w:rsid w:val="00D0538A"/>
    <w:rsid w:val="00D136FE"/>
    <w:rsid w:val="00D1532C"/>
    <w:rsid w:val="00D162D0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4510D"/>
    <w:rsid w:val="00D47323"/>
    <w:rsid w:val="00D5051B"/>
    <w:rsid w:val="00D52F5C"/>
    <w:rsid w:val="00D56421"/>
    <w:rsid w:val="00D6193F"/>
    <w:rsid w:val="00D61D8C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28FD"/>
    <w:rsid w:val="00D82FD6"/>
    <w:rsid w:val="00D83C1B"/>
    <w:rsid w:val="00D8702E"/>
    <w:rsid w:val="00D87FF7"/>
    <w:rsid w:val="00D904B7"/>
    <w:rsid w:val="00D91870"/>
    <w:rsid w:val="00D97738"/>
    <w:rsid w:val="00DA32E8"/>
    <w:rsid w:val="00DA4910"/>
    <w:rsid w:val="00DB1C70"/>
    <w:rsid w:val="00DB2804"/>
    <w:rsid w:val="00DB488E"/>
    <w:rsid w:val="00DB7344"/>
    <w:rsid w:val="00DD03F7"/>
    <w:rsid w:val="00DD14E1"/>
    <w:rsid w:val="00DD3AD7"/>
    <w:rsid w:val="00DD4309"/>
    <w:rsid w:val="00DD55C4"/>
    <w:rsid w:val="00DD5C08"/>
    <w:rsid w:val="00DD70AB"/>
    <w:rsid w:val="00DE0FE3"/>
    <w:rsid w:val="00DE1870"/>
    <w:rsid w:val="00DE6183"/>
    <w:rsid w:val="00DE6368"/>
    <w:rsid w:val="00DF3483"/>
    <w:rsid w:val="00DF7F79"/>
    <w:rsid w:val="00E01B8D"/>
    <w:rsid w:val="00E05837"/>
    <w:rsid w:val="00E106CA"/>
    <w:rsid w:val="00E1121F"/>
    <w:rsid w:val="00E17CF1"/>
    <w:rsid w:val="00E20E6E"/>
    <w:rsid w:val="00E22F8F"/>
    <w:rsid w:val="00E2459A"/>
    <w:rsid w:val="00E24C85"/>
    <w:rsid w:val="00E27E62"/>
    <w:rsid w:val="00E30722"/>
    <w:rsid w:val="00E31D77"/>
    <w:rsid w:val="00E326DE"/>
    <w:rsid w:val="00E357B8"/>
    <w:rsid w:val="00E41436"/>
    <w:rsid w:val="00E41517"/>
    <w:rsid w:val="00E422EC"/>
    <w:rsid w:val="00E43930"/>
    <w:rsid w:val="00E44E1D"/>
    <w:rsid w:val="00E45748"/>
    <w:rsid w:val="00E46BC0"/>
    <w:rsid w:val="00E52009"/>
    <w:rsid w:val="00E55905"/>
    <w:rsid w:val="00E57EF1"/>
    <w:rsid w:val="00E630B5"/>
    <w:rsid w:val="00E65354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4D1F"/>
    <w:rsid w:val="00E761D3"/>
    <w:rsid w:val="00E82B93"/>
    <w:rsid w:val="00E8669A"/>
    <w:rsid w:val="00E9528A"/>
    <w:rsid w:val="00E97E8D"/>
    <w:rsid w:val="00EA140D"/>
    <w:rsid w:val="00EB0A9F"/>
    <w:rsid w:val="00EB2689"/>
    <w:rsid w:val="00EC0757"/>
    <w:rsid w:val="00EC10E8"/>
    <w:rsid w:val="00EC132B"/>
    <w:rsid w:val="00EC495E"/>
    <w:rsid w:val="00ED04CF"/>
    <w:rsid w:val="00ED16AA"/>
    <w:rsid w:val="00ED1A0C"/>
    <w:rsid w:val="00ED3AC7"/>
    <w:rsid w:val="00ED4235"/>
    <w:rsid w:val="00EE2BF2"/>
    <w:rsid w:val="00EE4571"/>
    <w:rsid w:val="00EE4E3F"/>
    <w:rsid w:val="00EE5435"/>
    <w:rsid w:val="00EF327D"/>
    <w:rsid w:val="00EF6BAA"/>
    <w:rsid w:val="00EF70E9"/>
    <w:rsid w:val="00F0059E"/>
    <w:rsid w:val="00F01272"/>
    <w:rsid w:val="00F0272A"/>
    <w:rsid w:val="00F03D06"/>
    <w:rsid w:val="00F07FF2"/>
    <w:rsid w:val="00F10410"/>
    <w:rsid w:val="00F136F7"/>
    <w:rsid w:val="00F137EC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317CB"/>
    <w:rsid w:val="00F420FC"/>
    <w:rsid w:val="00F427DB"/>
    <w:rsid w:val="00F42E70"/>
    <w:rsid w:val="00F4467F"/>
    <w:rsid w:val="00F44B03"/>
    <w:rsid w:val="00F45E78"/>
    <w:rsid w:val="00F50E2D"/>
    <w:rsid w:val="00F53CA2"/>
    <w:rsid w:val="00F5457A"/>
    <w:rsid w:val="00F54826"/>
    <w:rsid w:val="00F60C1F"/>
    <w:rsid w:val="00F6186F"/>
    <w:rsid w:val="00F648DD"/>
    <w:rsid w:val="00F70FD3"/>
    <w:rsid w:val="00F71999"/>
    <w:rsid w:val="00F7242F"/>
    <w:rsid w:val="00F825F9"/>
    <w:rsid w:val="00F852B3"/>
    <w:rsid w:val="00F87354"/>
    <w:rsid w:val="00F91A2E"/>
    <w:rsid w:val="00F9305F"/>
    <w:rsid w:val="00F93C9B"/>
    <w:rsid w:val="00F95876"/>
    <w:rsid w:val="00FA095D"/>
    <w:rsid w:val="00FA0FAB"/>
    <w:rsid w:val="00FA5B25"/>
    <w:rsid w:val="00FB0DA5"/>
    <w:rsid w:val="00FB108A"/>
    <w:rsid w:val="00FB108C"/>
    <w:rsid w:val="00FB2F9A"/>
    <w:rsid w:val="00FB37A5"/>
    <w:rsid w:val="00FB54E9"/>
    <w:rsid w:val="00FB734A"/>
    <w:rsid w:val="00FC3017"/>
    <w:rsid w:val="00FC3424"/>
    <w:rsid w:val="00FD3D80"/>
    <w:rsid w:val="00FD79A4"/>
    <w:rsid w:val="00FE0B99"/>
    <w:rsid w:val="00FE496F"/>
    <w:rsid w:val="00FE5813"/>
    <w:rsid w:val="00FE70D0"/>
    <w:rsid w:val="00FF05F8"/>
    <w:rsid w:val="00FF573D"/>
    <w:rsid w:val="00FF77FB"/>
    <w:rsid w:val="0B3F3EB3"/>
    <w:rsid w:val="1CAEF634"/>
    <w:rsid w:val="1D2FE75F"/>
    <w:rsid w:val="2095F158"/>
    <w:rsid w:val="29BB1F16"/>
    <w:rsid w:val="3124A265"/>
    <w:rsid w:val="384532EE"/>
    <w:rsid w:val="39712EE9"/>
    <w:rsid w:val="39D36DB0"/>
    <w:rsid w:val="4BC8E631"/>
    <w:rsid w:val="51AB0AC7"/>
    <w:rsid w:val="59D051A9"/>
    <w:rsid w:val="5C3FA2A3"/>
    <w:rsid w:val="5C4D837B"/>
    <w:rsid w:val="5F2EF19A"/>
    <w:rsid w:val="63699548"/>
    <w:rsid w:val="6EEFDFBD"/>
    <w:rsid w:val="706ACD0C"/>
    <w:rsid w:val="727C089B"/>
    <w:rsid w:val="745268C2"/>
    <w:rsid w:val="7497D44B"/>
    <w:rsid w:val="74B0E446"/>
    <w:rsid w:val="7633A4AC"/>
    <w:rsid w:val="776666EA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customStyle="1" w:styleId="ilfuvd">
    <w:name w:val="ilfuvd"/>
    <w:basedOn w:val="DefaultParagraphFont"/>
    <w:rsid w:val="001E58AF"/>
  </w:style>
  <w:style w:type="character" w:styleId="UnresolvedMention">
    <w:name w:val="Unresolved Mention"/>
    <w:basedOn w:val="DefaultParagraphFont"/>
    <w:uiPriority w:val="99"/>
    <w:semiHidden/>
    <w:unhideWhenUsed/>
    <w:rsid w:val="0093027B"/>
    <w:rPr>
      <w:color w:val="605E5C"/>
      <w:shd w:val="clear" w:color="auto" w:fill="E1DFDD"/>
    </w:rPr>
  </w:style>
  <w:style w:type="character" w:customStyle="1" w:styleId="Normal2Char">
    <w:name w:val="Normal 2 Char"/>
    <w:basedOn w:val="DefaultParagraphFont"/>
    <w:link w:val="Normal2"/>
    <w:locked/>
    <w:rsid w:val="00F317CB"/>
    <w:rPr>
      <w:rFonts w:ascii="Tahoma" w:hAnsi="Tahoma" w:cs="Tahoma"/>
    </w:rPr>
  </w:style>
  <w:style w:type="paragraph" w:customStyle="1" w:styleId="Normal2">
    <w:name w:val="Normal 2"/>
    <w:basedOn w:val="Normal"/>
    <w:link w:val="Normal2Char"/>
    <w:rsid w:val="00F317CB"/>
    <w:pPr>
      <w:widowControl w:val="0"/>
      <w:spacing w:after="120" w:line="240" w:lineRule="auto"/>
      <w:ind w:left="454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103fba77-31dd-4780-83f9-c54f26c3a260"/>
    <ds:schemaRef ds:uri="http://schemas.microsoft.com/office/infopath/2007/PartnerControls"/>
    <ds:schemaRef ds:uri="http://schemas.microsoft.com/office/2006/documentManagement/types"/>
    <ds:schemaRef ds:uri="http://purl.org/dc/terms/"/>
    <ds:schemaRef ds:uri="11f1cc19-a6a2-4477-822b-8358f9edc37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41CB-0D7D-4FDB-BF8A-786F7A7A1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57187-FFC3-4C67-8DF4-84EB632ED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Reddy</dc:creator>
  <cp:lastModifiedBy>Kate Lancaster</cp:lastModifiedBy>
  <cp:revision>5</cp:revision>
  <dcterms:created xsi:type="dcterms:W3CDTF">2022-11-23T13:52:00Z</dcterms:created>
  <dcterms:modified xsi:type="dcterms:W3CDTF">2022-11-24T12:37:00Z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