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ook w:val="04A0" w:firstRow="1" w:lastRow="0" w:firstColumn="1" w:lastColumn="0" w:noHBand="0" w:noVBand="1"/>
      </w:tblPr>
      <w:tblGrid>
        <w:gridCol w:w="4847"/>
        <w:gridCol w:w="5089"/>
      </w:tblGrid>
      <w:tr w:rsidR="00B13C27" w:rsidRPr="002B2E87" w14:paraId="4E169BE3" w14:textId="77777777" w:rsidTr="00A92DBC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6F45CE7B" w:rsidR="00B13C27" w:rsidRPr="002B2E87" w:rsidRDefault="00EC5CC6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March</w:t>
            </w:r>
            <w:r w:rsidR="00D565A1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B13C27">
              <w:rPr>
                <w:rFonts w:eastAsia="Times New Roman" w:cs="Arial"/>
                <w:sz w:val="20"/>
                <w:szCs w:val="16"/>
              </w:rPr>
              <w:t>2</w:t>
            </w:r>
            <w:r w:rsidR="003C3B5C">
              <w:rPr>
                <w:rFonts w:eastAsia="Times New Roman" w:cs="Arial"/>
                <w:sz w:val="20"/>
                <w:szCs w:val="16"/>
              </w:rPr>
              <w:t>3</w:t>
            </w:r>
            <w:r w:rsidR="00B13C27">
              <w:rPr>
                <w:rFonts w:eastAsia="Times New Roman" w:cs="Arial"/>
                <w:sz w:val="20"/>
                <w:szCs w:val="16"/>
              </w:rPr>
              <w:t xml:space="preserve"> </w:t>
            </w:r>
            <w:proofErr w:type="spellStart"/>
            <w:r w:rsidR="00E6440E">
              <w:rPr>
                <w:rFonts w:eastAsia="Times New Roman" w:cs="Arial"/>
                <w:sz w:val="20"/>
                <w:szCs w:val="16"/>
              </w:rPr>
              <w:t>Adhoc</w:t>
            </w:r>
            <w:proofErr w:type="spellEnd"/>
            <w:r w:rsidR="00B13C27">
              <w:rPr>
                <w:rFonts w:eastAsia="Times New Roman" w:cs="Arial"/>
                <w:sz w:val="20"/>
                <w:szCs w:val="16"/>
              </w:rPr>
              <w:t xml:space="preserve"> Release </w:t>
            </w:r>
          </w:p>
        </w:tc>
      </w:tr>
      <w:tr w:rsidR="00B13C27" w:rsidRPr="002B2E87" w14:paraId="185696D7" w14:textId="77777777" w:rsidTr="00A92DBC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00B0C17D" w:rsidR="00B13C27" w:rsidRPr="002B2E87" w:rsidRDefault="00411F01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</w:t>
            </w:r>
            <w:r w:rsidR="001516F4">
              <w:rPr>
                <w:rFonts w:eastAsia="Times New Roman" w:cs="Arial"/>
                <w:sz w:val="20"/>
                <w:szCs w:val="20"/>
              </w:rPr>
              <w:t>5575</w:t>
            </w:r>
          </w:p>
        </w:tc>
      </w:tr>
      <w:tr w:rsidR="00B13C27" w:rsidRPr="002B2E87" w14:paraId="74B6BF6B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74415D30" w:rsidR="00B13C27" w:rsidRPr="002B2E87" w:rsidRDefault="00931DE0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Phil Rockminster</w:t>
            </w:r>
          </w:p>
        </w:tc>
      </w:tr>
      <w:tr w:rsidR="00B13C27" w:rsidRPr="002B2E87" w14:paraId="35655359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71289D26" w:rsidR="00B13C27" w:rsidRPr="002B2E87" w:rsidRDefault="002D1F9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Phillip.rockminster</w:t>
            </w:r>
            <w:r w:rsidR="00B13C27">
              <w:rPr>
                <w:rFonts w:eastAsia="Times New Roman" w:cs="Arial"/>
                <w:sz w:val="20"/>
                <w:szCs w:val="16"/>
              </w:rPr>
              <w:t>@correla.com</w:t>
            </w:r>
          </w:p>
        </w:tc>
      </w:tr>
      <w:tr w:rsidR="00B13C27" w:rsidRPr="002B2E87" w14:paraId="1C247CD2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1DB51BA0" w:rsidR="00B13C27" w:rsidRPr="00C967C0" w:rsidRDefault="00931DE0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Teams or </w:t>
            </w:r>
            <w:r w:rsidR="001C0877" w:rsidRPr="001C0877">
              <w:rPr>
                <w:rFonts w:eastAsia="Times New Roman" w:cs="Arial"/>
                <w:sz w:val="20"/>
                <w:szCs w:val="20"/>
              </w:rPr>
              <w:t>+441212292706</w:t>
            </w:r>
            <w:r w:rsidR="001C087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B13C27" w:rsidRPr="002B2E87" w14:paraId="1271BAA4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4ECFBF87" w:rsidR="00B13C27" w:rsidRPr="006D423B" w:rsidRDefault="000E7134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9</w:t>
            </w:r>
            <w:r w:rsidRPr="000E7134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B07780">
              <w:rPr>
                <w:rFonts w:eastAsia="Times New Roman" w:cs="Arial"/>
                <w:sz w:val="20"/>
                <w:szCs w:val="16"/>
              </w:rPr>
              <w:t>November</w:t>
            </w:r>
            <w:r w:rsidR="001C0877" w:rsidRPr="00ED635E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>202</w:t>
            </w:r>
            <w:r w:rsidR="00B07780">
              <w:rPr>
                <w:rFonts w:eastAsia="Times New Roman" w:cs="Arial"/>
                <w:sz w:val="20"/>
                <w:szCs w:val="16"/>
              </w:rPr>
              <w:t>2</w:t>
            </w:r>
          </w:p>
        </w:tc>
      </w:tr>
      <w:tr w:rsidR="002B2E87" w:rsidRPr="002B2E87" w14:paraId="3B4FF6C3" w14:textId="77777777" w:rsidTr="00A92DB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A92DB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Default="0028280D" w:rsidP="001747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B48B50" w14:textId="072F80D3" w:rsidR="001F7621" w:rsidRDefault="00174786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This BER requests approval for funding of th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="00743C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March 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4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Adhoc</w:t>
            </w:r>
            <w:proofErr w:type="spellEnd"/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Release</w:t>
            </w:r>
            <w:r w:rsidR="00806B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(XRN</w:t>
            </w:r>
            <w:r w:rsidR="0005068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5575)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068E151" w14:textId="77777777" w:rsidR="00765AB3" w:rsidRDefault="00765AB3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0BD0A53" w14:textId="77F828AA" w:rsidR="003E3022" w:rsidRDefault="00174786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A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total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delivery cost</w:t>
            </w:r>
            <w:r w:rsidR="008830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including risk margin,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27F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be approved in this </w:t>
            </w:r>
            <w:r w:rsidR="00427F02" w:rsidRPr="003B35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BER is</w:t>
            </w:r>
            <w:r w:rsidRPr="003B35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£</w:t>
            </w:r>
            <w:r w:rsidR="00665C20">
              <w:rPr>
                <w:rFonts w:asciiTheme="minorHAnsi" w:eastAsia="Times New Roman" w:hAnsiTheme="minorHAnsi" w:cstheme="minorHAnsi"/>
                <w:sz w:val="20"/>
                <w:szCs w:val="20"/>
              </w:rPr>
              <w:t>263,809</w:t>
            </w:r>
            <w:r w:rsidR="00427F02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41C768D2" w14:textId="77777777" w:rsidR="0005068E" w:rsidRPr="003B35CD" w:rsidRDefault="0005068E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076502A" w14:textId="4BB781F1" w:rsidR="00B41C64" w:rsidRDefault="00F278FE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This i</w:t>
            </w:r>
            <w:r w:rsidR="003E3022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E3022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to be</w:t>
            </w: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drawn down from the DSC</w:t>
            </w:r>
            <w:r w:rsidR="00A476C8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General Change Budget.</w:t>
            </w:r>
          </w:p>
          <w:p w14:paraId="4E460CBB" w14:textId="77777777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83880C7" w14:textId="32774846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scope</w:t>
            </w:r>
            <w:r w:rsidR="005B7AD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approved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at ChMC on </w:t>
            </w:r>
            <w:r w:rsidR="007B63A1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  <w:r w:rsidR="007B63A1" w:rsidRPr="007B63A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="007B63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October 202</w:t>
            </w:r>
            <w:r w:rsidR="00707200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6843DD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>th</w:t>
            </w:r>
            <w:r w:rsidR="0005068E">
              <w:rPr>
                <w:rFonts w:asciiTheme="minorHAnsi" w:eastAsia="Times New Roman" w:hAnsiTheme="minorHAnsi" w:cstheme="minorHAnsi"/>
                <w:sz w:val="20"/>
                <w:szCs w:val="20"/>
              </w:rPr>
              <w:t>is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release </w:t>
            </w:r>
            <w:r w:rsidR="002F1120">
              <w:rPr>
                <w:rFonts w:asciiTheme="minorHAnsi" w:eastAsia="Times New Roman" w:hAnsiTheme="minorHAnsi" w:cstheme="minorHAnsi"/>
                <w:sz w:val="20"/>
                <w:szCs w:val="20"/>
              </w:rPr>
              <w:t>contains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following </w:t>
            </w:r>
            <w:r w:rsidR="004D5721">
              <w:rPr>
                <w:rFonts w:asciiTheme="minorHAnsi" w:eastAsia="Times New Roman" w:hAnsiTheme="minorHAnsi" w:cstheme="minorHAnsi"/>
                <w:sz w:val="20"/>
                <w:szCs w:val="20"/>
              </w:rPr>
              <w:t>three</w:t>
            </w:r>
            <w:r w:rsidR="00743C5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>XRNs that are to be funded from this BER: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3114"/>
              <w:gridCol w:w="2410"/>
              <w:gridCol w:w="992"/>
            </w:tblGrid>
            <w:tr w:rsidR="00A83436" w:rsidRPr="00C25F07" w14:paraId="6E5EC3E0" w14:textId="77777777" w:rsidTr="00A92DBC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BB42E9" w:rsidRPr="00C25F07" w14:paraId="4897152D" w14:textId="77777777" w:rsidTr="00A92DBC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FC9074" w14:textId="5041EED8" w:rsidR="00BB42E9" w:rsidRPr="00806B17" w:rsidRDefault="00BB42E9" w:rsidP="00BB42E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06B17">
                    <w:rPr>
                      <w:rFonts w:cs="Arial"/>
                      <w:b/>
                      <w:sz w:val="18"/>
                      <w:szCs w:val="18"/>
                    </w:rPr>
                    <w:t>5379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3E7C06" w14:textId="0C74C191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DM Class 1 Read Service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28A968" w14:textId="76329D22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7A93C" w14:textId="0EC309CE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 xml:space="preserve">The appointment of a Service Provider on behalf of Shippers, to provide the Class 1 read service from 1st April 2023 to meet the obligations of UNC Modification 0710S implementation and </w:t>
                  </w:r>
                  <w:proofErr w:type="spellStart"/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iGT</w:t>
                  </w:r>
                  <w:proofErr w:type="spellEnd"/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 xml:space="preserve"> Modification 148.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45450" w14:textId="6B5BDF67" w:rsidR="00BB42E9" w:rsidRDefault="003F4AED" w:rsidP="00BB42E9">
                  <w:pPr>
                    <w:spacing w:after="0" w:line="240" w:lineRule="auto"/>
                    <w:jc w:val="center"/>
                  </w:pPr>
                  <w:hyperlink r:id="rId12" w:history="1">
                    <w:r w:rsidR="00BB42E9" w:rsidRPr="00806B17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xrn5379-singular-cp.pdf (xoserve.com)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36219" w14:textId="3E965BC4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All</w:t>
                  </w:r>
                </w:p>
              </w:tc>
            </w:tr>
            <w:tr w:rsidR="00CE3DA9" w:rsidRPr="00C25F07" w14:paraId="28EFBD94" w14:textId="77777777" w:rsidTr="00A92DBC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CD95AD" w14:textId="5B28883B" w:rsidR="00CE3DA9" w:rsidRPr="00806B17" w:rsidRDefault="00CE3DA9" w:rsidP="00CE3DA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06B17">
                    <w:rPr>
                      <w:rFonts w:cs="Arial"/>
                      <w:b/>
                      <w:sz w:val="18"/>
                      <w:szCs w:val="18"/>
                    </w:rPr>
                    <w:t>5143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F406B5" w14:textId="4AA0A043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Transfer of NDM sampling obligations from Cadent, WWU, and NGN to the CDSP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B22724" w14:textId="517583B1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484AB" w14:textId="5EC6F435" w:rsidR="00CE3DA9" w:rsidRPr="00806B17" w:rsidRDefault="0089305E" w:rsidP="00CE3DA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Transfer the EUC Bands 3-9 NDM Sampling UNC obligations, currently incumbent on Transporters (as per UNC TPD Section H1.6) to the CDSP. Note the CDSP already carries out NDM sampling for EUC Bands 1 and 2 so this change is simply an extension to the current CDSP process.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25FE0" w14:textId="4EF42761" w:rsidR="00CE3DA9" w:rsidRPr="00806B17" w:rsidRDefault="003F4AED" w:rsidP="00CE3DA9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hyperlink r:id="rId13" w:history="1">
                    <w:r w:rsidR="0089305E" w:rsidRPr="00806B17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xrn5143-singular-cp.pdf (xoserve.com)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E05A" w14:textId="3CA4C8B0" w:rsidR="00CE3DA9" w:rsidRPr="00806B17" w:rsidRDefault="00A94562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Shippers, DNOs</w:t>
                  </w:r>
                </w:p>
              </w:tc>
            </w:tr>
            <w:tr w:rsidR="00CE3DA9" w:rsidRPr="00C25F07" w14:paraId="298A8B26" w14:textId="77777777" w:rsidTr="00A92DBC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19E134" w14:textId="58178314" w:rsidR="00CE3DA9" w:rsidRPr="00806B17" w:rsidRDefault="00CE3DA9" w:rsidP="00CE3DA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cs="Arial"/>
                      <w:b/>
                      <w:sz w:val="18"/>
                      <w:szCs w:val="18"/>
                    </w:rPr>
                    <w:t>5472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E175BD" w14:textId="5A63C86C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Creation of a UK Link API to consume daily weather data for Demand Estimation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6E9213" w14:textId="134BC856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E6C881" w14:textId="1668B3C4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The change required is to move away from receiving weather data by FTP in a specific file format to 'pulling' the data needed from the Weather Data Service Provider, via APIs, into the relevant weather data table in UK Link.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A6E264" w14:textId="0FB6E388" w:rsidR="00CE3DA9" w:rsidRPr="00806B17" w:rsidRDefault="003F4AED" w:rsidP="00CE3DA9">
                  <w:pPr>
                    <w:spacing w:after="0" w:line="240" w:lineRule="auto"/>
                    <w:jc w:val="center"/>
                    <w:rPr>
                      <w:rStyle w:val="Hyperlink"/>
                      <w:rFonts w:eastAsia="Times New Roman" w:cs="Arial"/>
                      <w:sz w:val="18"/>
                      <w:szCs w:val="18"/>
                    </w:rPr>
                  </w:pPr>
                  <w:hyperlink r:id="rId14" w:history="1">
                    <w:r w:rsidR="00CE3DA9" w:rsidRPr="00806B17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xrn5472-singular-cp.pdf (xoserve.com)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7F4E2" w14:textId="75A07F14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All</w:t>
                  </w:r>
                </w:p>
              </w:tc>
            </w:tr>
          </w:tbl>
          <w:p w14:paraId="34F3AD9F" w14:textId="77777777" w:rsidR="00A8007D" w:rsidRDefault="00A8007D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5BA6E36" w14:textId="69752D5F" w:rsidR="00CC755B" w:rsidRPr="00907531" w:rsidRDefault="00CC755B" w:rsidP="004D5721">
            <w:pPr>
              <w:rPr>
                <w:b/>
                <w:szCs w:val="20"/>
              </w:rPr>
            </w:pPr>
          </w:p>
        </w:tc>
      </w:tr>
      <w:tr w:rsidR="002B2E87" w:rsidRPr="002B2E87" w14:paraId="356D084F" w14:textId="77777777" w:rsidTr="00A92DBC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A92DB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EDBD36" w14:textId="77777777" w:rsidR="00C6529A" w:rsidRDefault="00C6529A" w:rsidP="00C6529A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  <w:p w14:paraId="6B14F14C" w14:textId="08F8AE3E" w:rsidR="00C6529A" w:rsidRPr="00C6529A" w:rsidRDefault="00BA0DBB" w:rsidP="00C652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642536F6" w14:textId="38D47738" w:rsidR="00F8594D" w:rsidRDefault="00BA0DBB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1C6875B6">
              <w:rPr>
                <w:rFonts w:cs="Arial"/>
              </w:rPr>
              <w:t>Market Trials</w:t>
            </w:r>
          </w:p>
          <w:p w14:paraId="28C150B9" w14:textId="2C16DEDD" w:rsidR="00F72776" w:rsidRDefault="00F72776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 XRN5379</w:t>
            </w:r>
            <w:r w:rsidR="000825B6">
              <w:rPr>
                <w:rFonts w:cs="Arial"/>
              </w:rPr>
              <w:t xml:space="preserve">, ongoing </w:t>
            </w:r>
            <w:r w:rsidR="00541792">
              <w:rPr>
                <w:rFonts w:cs="Arial"/>
              </w:rPr>
              <w:t xml:space="preserve">service and operate costs are being </w:t>
            </w:r>
            <w:r w:rsidR="002E5DA3">
              <w:rPr>
                <w:rFonts w:cs="Arial"/>
              </w:rPr>
              <w:t>included within the annual charging statement to be issued in January 2023 for financial year 23/24 and are therefore not included in the scope of this BER</w:t>
            </w:r>
          </w:p>
          <w:p w14:paraId="73F5BB8F" w14:textId="492A0107" w:rsidR="002A78BC" w:rsidRDefault="00485DB1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Pr="00485DB1">
              <w:rPr>
                <w:rFonts w:cs="Arial"/>
              </w:rPr>
              <w:t>XRN5379</w:t>
            </w:r>
            <w:r w:rsidR="009369E4">
              <w:rPr>
                <w:rFonts w:cs="Arial"/>
              </w:rPr>
              <w:t xml:space="preserve">, </w:t>
            </w:r>
            <w:r w:rsidR="00BB1A00" w:rsidRPr="00BB1A00">
              <w:rPr>
                <w:rFonts w:cs="Arial"/>
              </w:rPr>
              <w:t>we are anticipating a</w:t>
            </w:r>
            <w:r w:rsidRPr="00485DB1">
              <w:rPr>
                <w:rFonts w:cs="Arial"/>
              </w:rPr>
              <w:t xml:space="preserve"> Class 1 Read Service Provider implementation </w:t>
            </w:r>
            <w:r w:rsidR="00BB1A00" w:rsidRPr="00BB1A00">
              <w:rPr>
                <w:rFonts w:cs="Arial"/>
              </w:rPr>
              <w:t xml:space="preserve">cost which </w:t>
            </w:r>
            <w:r w:rsidRPr="00485DB1">
              <w:rPr>
                <w:rFonts w:cs="Arial"/>
              </w:rPr>
              <w:t xml:space="preserve">are not </w:t>
            </w:r>
            <w:r w:rsidR="00BB1A00" w:rsidRPr="00BB1A00">
              <w:rPr>
                <w:rFonts w:cs="Arial"/>
              </w:rPr>
              <w:t>included</w:t>
            </w:r>
            <w:r w:rsidRPr="00485DB1">
              <w:rPr>
                <w:rFonts w:cs="Arial"/>
              </w:rPr>
              <w:t xml:space="preserve"> </w:t>
            </w:r>
            <w:r w:rsidR="009369E4">
              <w:rPr>
                <w:rFonts w:cs="Arial"/>
              </w:rPr>
              <w:t>within scope of this</w:t>
            </w:r>
            <w:r w:rsidRPr="00485DB1">
              <w:rPr>
                <w:rFonts w:cs="Arial"/>
              </w:rPr>
              <w:t xml:space="preserve"> BER</w:t>
            </w:r>
            <w:r w:rsidR="00345DA8">
              <w:rPr>
                <w:rFonts w:cs="Arial"/>
              </w:rPr>
              <w:t>,</w:t>
            </w:r>
            <w:r w:rsidR="00BB1A00" w:rsidRPr="00BB1A00">
              <w:rPr>
                <w:rFonts w:cs="Arial"/>
              </w:rPr>
              <w:t xml:space="preserve"> which focuses on the CDSP </w:t>
            </w:r>
            <w:r w:rsidR="007C4968">
              <w:rPr>
                <w:rFonts w:cs="Arial"/>
              </w:rPr>
              <w:t xml:space="preserve">implementation </w:t>
            </w:r>
            <w:r w:rsidRPr="00485DB1">
              <w:rPr>
                <w:rFonts w:cs="Arial"/>
              </w:rPr>
              <w:t>costs</w:t>
            </w:r>
            <w:r w:rsidR="0008015E">
              <w:rPr>
                <w:rFonts w:cs="Arial"/>
              </w:rPr>
              <w:t xml:space="preserve"> </w:t>
            </w:r>
            <w:r w:rsidR="00BB1A00" w:rsidRPr="00BB1A00">
              <w:rPr>
                <w:rFonts w:cs="Arial"/>
              </w:rPr>
              <w:t>for XRN5379. The procurement exercise to appoint the Class 1 Read Service Provider is ongoing but will be finalised before the end of the year. With this in mind,</w:t>
            </w:r>
            <w:r w:rsidRPr="00485DB1">
              <w:rPr>
                <w:rFonts w:cs="Arial"/>
              </w:rPr>
              <w:t xml:space="preserve"> we </w:t>
            </w:r>
            <w:r w:rsidR="00BB1A00" w:rsidRPr="00BB1A00">
              <w:rPr>
                <w:rFonts w:cs="Arial"/>
              </w:rPr>
              <w:t>cannot provide the firm</w:t>
            </w:r>
            <w:r w:rsidRPr="00485DB1">
              <w:rPr>
                <w:rFonts w:cs="Arial"/>
              </w:rPr>
              <w:t xml:space="preserve"> Service Provider</w:t>
            </w:r>
            <w:r w:rsidR="00BB1A00" w:rsidRPr="00BB1A00">
              <w:rPr>
                <w:rFonts w:cs="Arial"/>
              </w:rPr>
              <w:t xml:space="preserve"> implementation cost until the procurement is finalised but can advise that this is not </w:t>
            </w:r>
            <w:r w:rsidRPr="00485DB1">
              <w:rPr>
                <w:rFonts w:cs="Arial"/>
              </w:rPr>
              <w:t xml:space="preserve">expected </w:t>
            </w:r>
            <w:r w:rsidR="00BB1A00" w:rsidRPr="00BB1A00">
              <w:rPr>
                <w:rFonts w:cs="Arial"/>
              </w:rPr>
              <w:t xml:space="preserve">to </w:t>
            </w:r>
            <w:r w:rsidRPr="00485DB1">
              <w:rPr>
                <w:rFonts w:cs="Arial"/>
              </w:rPr>
              <w:t>exceed £</w:t>
            </w:r>
            <w:r w:rsidR="00BB1A00" w:rsidRPr="00BB1A00">
              <w:rPr>
                <w:rFonts w:cs="Arial"/>
              </w:rPr>
              <w:t>165k.</w:t>
            </w:r>
            <w:r w:rsidRPr="00485DB1">
              <w:rPr>
                <w:rFonts w:cs="Arial"/>
              </w:rPr>
              <w:t xml:space="preserve"> It is proposed that </w:t>
            </w:r>
            <w:r w:rsidR="00BB1A00">
              <w:rPr>
                <w:rFonts w:cs="Arial"/>
              </w:rPr>
              <w:t xml:space="preserve">exact </w:t>
            </w:r>
            <w:r w:rsidR="00F21EC9">
              <w:rPr>
                <w:rFonts w:cs="Arial"/>
              </w:rPr>
              <w:t xml:space="preserve">for this element </w:t>
            </w:r>
            <w:r w:rsidR="00BB1A00">
              <w:rPr>
                <w:rFonts w:cs="Arial"/>
              </w:rPr>
              <w:t xml:space="preserve">will </w:t>
            </w:r>
            <w:r w:rsidRPr="00485DB1">
              <w:rPr>
                <w:rFonts w:cs="Arial"/>
              </w:rPr>
              <w:t>be brought to a future ChMC once know</w:t>
            </w:r>
            <w:r>
              <w:rPr>
                <w:rFonts w:cs="Arial"/>
              </w:rPr>
              <w:t>n.</w:t>
            </w:r>
          </w:p>
          <w:p w14:paraId="32E48B94" w14:textId="3FF63A3E" w:rsidR="00835E78" w:rsidRPr="00094AA2" w:rsidRDefault="00835E78" w:rsidP="00835E78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2B2E87" w:rsidRPr="002B2E87" w14:paraId="62FBD337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A92DBC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0120E211" w14:textId="0012B331" w:rsidR="00D347FB" w:rsidRDefault="000D252F" w:rsidP="000D252F">
            <w:pPr>
              <w:rPr>
                <w:rFonts w:eastAsia="Times New Roman" w:cs="Arial"/>
                <w:sz w:val="20"/>
                <w:szCs w:val="20"/>
              </w:rPr>
            </w:pPr>
            <w:r w:rsidRPr="6182FE2B">
              <w:rPr>
                <w:rFonts w:eastAsia="Times New Roman" w:cs="Arial"/>
                <w:sz w:val="20"/>
                <w:szCs w:val="20"/>
              </w:rPr>
              <w:t>The following section outlines the proposed costs for XRN</w:t>
            </w:r>
            <w:r w:rsidR="002B44AE">
              <w:rPr>
                <w:rFonts w:eastAsia="Times New Roman" w:cs="Arial"/>
                <w:sz w:val="20"/>
                <w:szCs w:val="20"/>
              </w:rPr>
              <w:t>5575</w:t>
            </w:r>
            <w:r w:rsidRPr="6182FE2B">
              <w:rPr>
                <w:rFonts w:eastAsia="Times New Roman" w:cs="Arial"/>
                <w:sz w:val="20"/>
                <w:szCs w:val="20"/>
              </w:rPr>
              <w:t>, including the previously agreed EQR</w:t>
            </w:r>
            <w:r w:rsidR="00E8386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6182FE2B">
              <w:rPr>
                <w:rFonts w:eastAsia="Times New Roman" w:cs="Arial"/>
                <w:sz w:val="20"/>
                <w:szCs w:val="20"/>
              </w:rPr>
              <w:t>for Design</w:t>
            </w:r>
            <w:r w:rsidR="00E8386F">
              <w:rPr>
                <w:rFonts w:eastAsia="Times New Roman" w:cs="Arial"/>
                <w:sz w:val="20"/>
                <w:szCs w:val="20"/>
              </w:rPr>
              <w:t xml:space="preserve"> where applicable</w:t>
            </w:r>
            <w:r w:rsidRPr="6182FE2B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785F483D" w14:textId="77777777" w:rsidR="00D347FB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</w:p>
          <w:p w14:paraId="242C1446" w14:textId="579DA68F" w:rsidR="000D252F" w:rsidRPr="00E37B03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BER </w:t>
            </w:r>
            <w:r w:rsidR="00095B8A">
              <w:rPr>
                <w:rFonts w:eastAsia="Times New Roman" w:cs="Arial"/>
                <w:sz w:val="20"/>
                <w:szCs w:val="20"/>
              </w:rPr>
              <w:t>c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>osts</w:t>
            </w:r>
            <w:r w:rsidR="00896A0D">
              <w:rPr>
                <w:rFonts w:eastAsia="Times New Roman" w:cs="Arial"/>
                <w:sz w:val="20"/>
                <w:szCs w:val="20"/>
              </w:rPr>
              <w:t xml:space="preserve"> for approval are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 xml:space="preserve"> highlighted in amber</w:t>
            </w:r>
            <w:r w:rsidR="004817E2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EF4182">
              <w:rPr>
                <w:rFonts w:eastAsia="Times New Roman" w:cs="Arial"/>
                <w:sz w:val="20"/>
                <w:szCs w:val="20"/>
              </w:rPr>
              <w:t>the total for which is £</w:t>
            </w:r>
            <w:r w:rsidR="00665C20">
              <w:rPr>
                <w:rFonts w:eastAsia="Times New Roman" w:cs="Arial"/>
                <w:sz w:val="20"/>
                <w:szCs w:val="20"/>
              </w:rPr>
              <w:t>263,809</w:t>
            </w:r>
            <w:r w:rsidR="00EF4182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35DBCEA" w14:textId="77777777" w:rsidR="00D92BA2" w:rsidRPr="002C58D6" w:rsidRDefault="00D92BA2" w:rsidP="000D252F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3A1E20AC" w14:textId="77777777" w:rsidR="005A3503" w:rsidRDefault="000D252F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1D2FE75F">
              <w:rPr>
                <w:rFonts w:cs="Arial"/>
                <w:b/>
                <w:bCs/>
                <w:sz w:val="18"/>
                <w:szCs w:val="18"/>
                <w:u w:val="single"/>
              </w:rPr>
              <w:t>BER Costs</w:t>
            </w:r>
          </w:p>
          <w:p w14:paraId="119D5643" w14:textId="77777777" w:rsidR="00F3508D" w:rsidRDefault="00F3508D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9650" w:type="dxa"/>
              <w:jc w:val="center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557"/>
              <w:gridCol w:w="556"/>
              <w:gridCol w:w="535"/>
              <w:gridCol w:w="601"/>
              <w:gridCol w:w="535"/>
              <w:gridCol w:w="279"/>
              <w:gridCol w:w="365"/>
              <w:gridCol w:w="601"/>
              <w:gridCol w:w="535"/>
              <w:gridCol w:w="621"/>
              <w:gridCol w:w="548"/>
              <w:gridCol w:w="410"/>
              <w:gridCol w:w="305"/>
              <w:gridCol w:w="344"/>
              <w:gridCol w:w="600"/>
              <w:gridCol w:w="557"/>
              <w:gridCol w:w="305"/>
              <w:gridCol w:w="344"/>
              <w:gridCol w:w="601"/>
            </w:tblGrid>
            <w:tr w:rsidR="00E71CDA" w:rsidRPr="002C6572" w14:paraId="542CAAE7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3E5AA8" w:themeFill="accent1"/>
                  <w:vAlign w:val="center"/>
                </w:tcPr>
                <w:p w14:paraId="16BDC8FE" w14:textId="77777777" w:rsidR="002C6572" w:rsidRPr="00A92DBC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XRN</w:t>
                  </w:r>
                </w:p>
                <w:p w14:paraId="4C7C9DC7" w14:textId="034204C6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Ref</w:t>
                  </w:r>
                </w:p>
              </w:tc>
              <w:tc>
                <w:tcPr>
                  <w:tcW w:w="557" w:type="dxa"/>
                  <w:shd w:val="clear" w:color="auto" w:fill="FFFF00"/>
                  <w:vAlign w:val="center"/>
                </w:tcPr>
                <w:p w14:paraId="60C4F30B" w14:textId="57576C13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HLSO £</w:t>
                  </w:r>
                </w:p>
              </w:tc>
              <w:tc>
                <w:tcPr>
                  <w:tcW w:w="557" w:type="dxa"/>
                  <w:shd w:val="clear" w:color="auto" w:fill="FFFF00"/>
                  <w:vAlign w:val="center"/>
                </w:tcPr>
                <w:p w14:paraId="3414B18E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35EA0B6A" w14:textId="35D7D50A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EQR</w:t>
                  </w:r>
                </w:p>
              </w:tc>
              <w:tc>
                <w:tcPr>
                  <w:tcW w:w="536" w:type="dxa"/>
                  <w:shd w:val="clear" w:color="auto" w:fill="3E5AA8" w:themeFill="accent1"/>
                  <w:vAlign w:val="center"/>
                </w:tcPr>
                <w:p w14:paraId="3FA6A250" w14:textId="7A7FDFED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Build</w:t>
                  </w:r>
                </w:p>
              </w:tc>
              <w:tc>
                <w:tcPr>
                  <w:tcW w:w="602" w:type="dxa"/>
                  <w:shd w:val="clear" w:color="auto" w:fill="3E5AA8" w:themeFill="accent1"/>
                  <w:vAlign w:val="center"/>
                </w:tcPr>
                <w:p w14:paraId="0F123961" w14:textId="16BE88E0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Test</w:t>
                  </w:r>
                </w:p>
              </w:tc>
              <w:tc>
                <w:tcPr>
                  <w:tcW w:w="536" w:type="dxa"/>
                  <w:shd w:val="clear" w:color="auto" w:fill="3E5AA8" w:themeFill="accent1"/>
                  <w:vAlign w:val="center"/>
                </w:tcPr>
                <w:p w14:paraId="4DAF4C83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proofErr w:type="spellStart"/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Impl</w:t>
                  </w:r>
                  <w:r w:rsid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’</w:t>
                  </w: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n</w:t>
                  </w:r>
                  <w:proofErr w:type="spellEnd"/>
                </w:p>
                <w:p w14:paraId="1B28188A" w14:textId="656ACFB5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PIS</w:t>
                  </w:r>
                </w:p>
              </w:tc>
              <w:tc>
                <w:tcPr>
                  <w:tcW w:w="280" w:type="dxa"/>
                  <w:shd w:val="clear" w:color="auto" w:fill="3E5AA8" w:themeFill="accent1"/>
                  <w:vAlign w:val="center"/>
                </w:tcPr>
                <w:p w14:paraId="0903B4DB" w14:textId="5A8A5109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MT</w:t>
                  </w:r>
                </w:p>
              </w:tc>
              <w:tc>
                <w:tcPr>
                  <w:tcW w:w="366" w:type="dxa"/>
                  <w:shd w:val="clear" w:color="auto" w:fill="3E5AA8" w:themeFill="accent1"/>
                  <w:vAlign w:val="center"/>
                </w:tcPr>
                <w:p w14:paraId="5EEFD8D4" w14:textId="07539C5E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1st Year MTB</w:t>
                  </w:r>
                </w:p>
              </w:tc>
              <w:tc>
                <w:tcPr>
                  <w:tcW w:w="602" w:type="dxa"/>
                  <w:shd w:val="clear" w:color="auto" w:fill="3E5AA8" w:themeFill="accent1"/>
                  <w:vAlign w:val="center"/>
                </w:tcPr>
                <w:p w14:paraId="59CB7821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Delivery</w:t>
                  </w:r>
                </w:p>
                <w:p w14:paraId="2F1C9676" w14:textId="0253896B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36" w:type="dxa"/>
                  <w:shd w:val="clear" w:color="auto" w:fill="3E5AA8" w:themeFill="accent1"/>
                  <w:vAlign w:val="center"/>
                </w:tcPr>
                <w:p w14:paraId="3CC95819" w14:textId="77777777" w:rsidR="00E71CDA" w:rsidRDefault="00206F95" w:rsidP="00E71CDA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Risk</w:t>
                  </w:r>
                </w:p>
                <w:p w14:paraId="29B76F40" w14:textId="03610A00" w:rsidR="00206F95" w:rsidRPr="00E71CDA" w:rsidRDefault="00206F95" w:rsidP="00E71CDA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Margin</w:t>
                  </w:r>
                </w:p>
              </w:tc>
              <w:tc>
                <w:tcPr>
                  <w:tcW w:w="622" w:type="dxa"/>
                  <w:shd w:val="clear" w:color="auto" w:fill="FFC000"/>
                  <w:vAlign w:val="center"/>
                </w:tcPr>
                <w:p w14:paraId="6874A341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BER Total</w:t>
                  </w:r>
                </w:p>
                <w:p w14:paraId="6A80392E" w14:textId="3E6A4847" w:rsidR="00206F95" w:rsidRPr="00A92DBC" w:rsidRDefault="00E71CDA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F</w:t>
                  </w:r>
                  <w:r w:rsidR="00206F95" w:rsidRPr="00A92DBC">
                    <w:rPr>
                      <w:b/>
                      <w:bCs/>
                      <w:sz w:val="12"/>
                      <w:szCs w:val="12"/>
                    </w:rPr>
                    <w:t>or</w:t>
                  </w:r>
                  <w:r>
                    <w:rPr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206F95" w:rsidRPr="00A92DBC">
                    <w:rPr>
                      <w:b/>
                      <w:bCs/>
                      <w:sz w:val="12"/>
                      <w:szCs w:val="12"/>
                    </w:rPr>
                    <w:t>Approval</w:t>
                  </w:r>
                </w:p>
              </w:tc>
              <w:tc>
                <w:tcPr>
                  <w:tcW w:w="549" w:type="dxa"/>
                  <w:shd w:val="clear" w:color="auto" w:fill="3E5AA8" w:themeFill="accent1"/>
                  <w:vAlign w:val="center"/>
                </w:tcPr>
                <w:p w14:paraId="396532BA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Shipper</w:t>
                  </w:r>
                </w:p>
                <w:p w14:paraId="63BDC491" w14:textId="757234EC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411" w:type="dxa"/>
                  <w:shd w:val="clear" w:color="auto" w:fill="3E5AA8" w:themeFill="accent1"/>
                  <w:vAlign w:val="center"/>
                </w:tcPr>
                <w:p w14:paraId="056F664C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DN</w:t>
                  </w:r>
                </w:p>
                <w:p w14:paraId="022AD063" w14:textId="74694455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06" w:type="dxa"/>
                  <w:shd w:val="clear" w:color="auto" w:fill="3E5AA8" w:themeFill="accent1"/>
                  <w:vAlign w:val="center"/>
                </w:tcPr>
                <w:p w14:paraId="2569F171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proofErr w:type="spellStart"/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iGT</w:t>
                  </w:r>
                  <w:proofErr w:type="spellEnd"/>
                </w:p>
                <w:p w14:paraId="3F89140C" w14:textId="64016AC5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45" w:type="dxa"/>
                  <w:shd w:val="clear" w:color="auto" w:fill="3E5AA8" w:themeFill="accent1"/>
                  <w:vAlign w:val="center"/>
                </w:tcPr>
                <w:p w14:paraId="1FBB6782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NTS</w:t>
                  </w:r>
                </w:p>
                <w:p w14:paraId="08D2DF0A" w14:textId="4CEF9F34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602" w:type="dxa"/>
                  <w:shd w:val="clear" w:color="auto" w:fill="FFC000"/>
                  <w:vAlign w:val="center"/>
                </w:tcPr>
                <w:p w14:paraId="2573EC46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Shipper</w:t>
                  </w:r>
                </w:p>
                <w:p w14:paraId="1CC34279" w14:textId="6B0E7A3A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36" w:type="dxa"/>
                  <w:shd w:val="clear" w:color="auto" w:fill="FFC000"/>
                  <w:vAlign w:val="center"/>
                </w:tcPr>
                <w:p w14:paraId="7F540DE6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DN</w:t>
                  </w:r>
                </w:p>
                <w:p w14:paraId="09D9EC82" w14:textId="4183FB7F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06" w:type="dxa"/>
                  <w:shd w:val="clear" w:color="auto" w:fill="FFC000"/>
                  <w:vAlign w:val="center"/>
                </w:tcPr>
                <w:p w14:paraId="0BECC016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A92DBC">
                    <w:rPr>
                      <w:b/>
                      <w:bCs/>
                      <w:sz w:val="12"/>
                      <w:szCs w:val="12"/>
                    </w:rPr>
                    <w:t>iGT</w:t>
                  </w:r>
                  <w:proofErr w:type="spellEnd"/>
                </w:p>
                <w:p w14:paraId="0852F4D2" w14:textId="7ED9FDDB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45" w:type="dxa"/>
                  <w:shd w:val="clear" w:color="auto" w:fill="FFC000"/>
                  <w:vAlign w:val="center"/>
                </w:tcPr>
                <w:p w14:paraId="5E0B5A90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NTS</w:t>
                  </w:r>
                </w:p>
                <w:p w14:paraId="7186DB9A" w14:textId="6FD51ECC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602" w:type="dxa"/>
                  <w:shd w:val="clear" w:color="auto" w:fill="3E5AA8" w:themeFill="accent1"/>
                  <w:vAlign w:val="center"/>
                </w:tcPr>
                <w:p w14:paraId="5DA38F71" w14:textId="0CF5A992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Total</w:t>
                  </w:r>
                </w:p>
              </w:tc>
            </w:tr>
            <w:tr w:rsidR="00756292" w:rsidRPr="002C6572" w14:paraId="07432E36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57C5EA77" w14:textId="641C2C1A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5379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156062E8" w14:textId="27D4D1C4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6D5E2FC4" w14:textId="2A800A65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£7,100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1939C208" w14:textId="0D1B9565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£30,666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6396B118" w14:textId="763EE8DA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£80,969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478A7F13" w14:textId="6677F6FE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£11,644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4AA28F73" w14:textId="234B5B99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28F1F8F5" w14:textId="1D05B096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157FC635" w14:textId="7E542036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£123,279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32960549" w14:textId="7C64C0E2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£30,000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3BD3FE73" w14:textId="4048955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£153,279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5EC0B603" w14:textId="5CE2DB57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33</w:t>
                  </w:r>
                  <w:r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221388AD" w14:textId="00CC23C2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67</w:t>
                  </w:r>
                  <w:r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626F2ACA" w14:textId="581014AE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14:paraId="5DC96E55" w14:textId="7BF64A4C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602" w:type="dxa"/>
                  <w:shd w:val="clear" w:color="auto" w:fill="FFC000"/>
                </w:tcPr>
                <w:p w14:paraId="139AA2C0" w14:textId="601D319E" w:rsidR="00756292" w:rsidRPr="0075629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£50,582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2E625A7F" w14:textId="79DBD308" w:rsidR="00756292" w:rsidRPr="0075629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£102,697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0E367D33" w14:textId="797DCD0E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5B6DD6CE" w14:textId="6A3082B3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1FD68F67" w14:textId="62130D87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£160,379</w:t>
                  </w:r>
                </w:p>
              </w:tc>
            </w:tr>
            <w:tr w:rsidR="00756292" w:rsidRPr="002C6572" w14:paraId="2608D423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3DACF3A0" w14:textId="0FFAE197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5143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128380D1" w14:textId="26AD26C3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£75,000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3FFB077E" w14:textId="5BB4D69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2EB1BA91" w14:textId="43983658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£9,958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57F1C759" w14:textId="4169944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£8,800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16D6D38F" w14:textId="0A6943A1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254CA470" w14:textId="03542BF1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3ECD7E11" w14:textId="4F2675B8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7CE0EC97" w14:textId="117F0464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£18,758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37E95354" w14:textId="50D8341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£15,000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5110D39F" w14:textId="11522B72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£33,758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2F0B17E5" w14:textId="185981E5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57A06CB4" w14:textId="3CD8DAA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40771E4A" w14:textId="6647FAF3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14:paraId="34D1E21D" w14:textId="72731969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602" w:type="dxa"/>
                  <w:shd w:val="clear" w:color="auto" w:fill="FFC000"/>
                </w:tcPr>
                <w:p w14:paraId="72DC3538" w14:textId="6ECC85B2" w:rsidR="00756292" w:rsidRPr="0075629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04F29883" w14:textId="0FBA9AD8" w:rsidR="00756292" w:rsidRPr="0075629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£33,758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69D1941B" w14:textId="2F91A2DA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282BCAB1" w14:textId="01214736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330BBDF2" w14:textId="74B5971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£33,758</w:t>
                  </w:r>
                </w:p>
              </w:tc>
            </w:tr>
            <w:tr w:rsidR="00756292" w:rsidRPr="002C6572" w14:paraId="2CB24C8E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05D96544" w14:textId="757146B5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5472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6456CB67" w14:textId="15B289EA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£75,000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66A37E62" w14:textId="7D6188BB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£15,700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3579C1F7" w14:textId="21C76D04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£13,479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C63EF7A" w14:textId="7AADE853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£45,554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0879B30F" w14:textId="7CB6A8FE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£9,055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6574D949" w14:textId="067E0765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495CC5C3" w14:textId="2BEE6F8E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A3C4F09" w14:textId="753A6776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£68,089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0115D891" w14:textId="5CA001A4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£8,684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036CF84A" w14:textId="016BE073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£76,773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000E9AF4" w14:textId="0E728546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50</w:t>
                  </w:r>
                  <w:r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4B5B2D6D" w14:textId="660DE0B0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50</w:t>
                  </w:r>
                  <w:r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03EA7D94" w14:textId="3740EECE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14:paraId="55E042BF" w14:textId="51162FA6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602" w:type="dxa"/>
                  <w:shd w:val="clear" w:color="auto" w:fill="FFC000"/>
                </w:tcPr>
                <w:p w14:paraId="176D8B21" w14:textId="2D3A18E0" w:rsidR="00756292" w:rsidRPr="0075629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£38,386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607F407C" w14:textId="28859C11" w:rsidR="00756292" w:rsidRPr="0075629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£38,386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0CD9CA8A" w14:textId="7F8A5F9D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1A3BBC6B" w14:textId="7A82F4BB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00B815C3" w14:textId="0CF39CF4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£92,473</w:t>
                  </w:r>
                </w:p>
              </w:tc>
            </w:tr>
            <w:tr w:rsidR="00756292" w:rsidRPr="002C6572" w14:paraId="0561D1DE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4CD5E6EB" w14:textId="56991C8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4508AB93" w14:textId="4AE84FF1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£300,000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78AAF6F2" w14:textId="4D4FB5C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£22,800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51D0AC3B" w14:textId="05FD7C59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£54,103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D6C3943" w14:textId="689808C5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£135,323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4BDD9369" w14:textId="2B954E60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£20,700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0E6CF558" w14:textId="19EC866E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050CEE6A" w14:textId="21EDDD5D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5C2309E2" w14:textId="3D52037D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£210,125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473F17D7" w14:textId="0E5CAFED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£53,684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5A826CCB" w14:textId="14D5BE96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£263,809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589491D8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56ABED19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14:paraId="1CB3CBEC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38A2EF88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2" w:type="dxa"/>
                  <w:shd w:val="clear" w:color="auto" w:fill="FFC000"/>
                </w:tcPr>
                <w:p w14:paraId="5DCC033B" w14:textId="0E257FEF" w:rsidR="00756292" w:rsidRPr="002911B5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911B5">
                    <w:rPr>
                      <w:b/>
                      <w:bCs/>
                      <w:sz w:val="12"/>
                      <w:szCs w:val="12"/>
                    </w:rPr>
                    <w:t>£88,968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76A4CB91" w14:textId="3DA60290" w:rsidR="00756292" w:rsidRPr="002911B5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911B5">
                    <w:rPr>
                      <w:b/>
                      <w:bCs/>
                      <w:sz w:val="12"/>
                      <w:szCs w:val="12"/>
                    </w:rPr>
                    <w:t>£174,841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2B22716A" w14:textId="1013E808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6365AD2C" w14:textId="66B93AAB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EB15DA1" w14:textId="6B0CA210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£286,609</w:t>
                  </w:r>
                </w:p>
              </w:tc>
            </w:tr>
          </w:tbl>
          <w:p w14:paraId="787309B7" w14:textId="77777777" w:rsidR="00F3508D" w:rsidRDefault="00F3508D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74584C5" w14:textId="40706BFF" w:rsidR="00C11DBE" w:rsidRDefault="00C11DBE" w:rsidP="00607F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NB </w:t>
            </w:r>
            <w:r w:rsidR="0007385F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th</w:t>
            </w:r>
            <w:r w:rsidR="0007385F">
              <w:rPr>
                <w:rFonts w:cs="Arial"/>
                <w:sz w:val="18"/>
                <w:szCs w:val="18"/>
              </w:rPr>
              <w:t xml:space="preserve">e above includes additional </w:t>
            </w:r>
            <w:r w:rsidR="00C04AEC">
              <w:rPr>
                <w:rFonts w:cs="Arial"/>
                <w:sz w:val="18"/>
                <w:szCs w:val="18"/>
              </w:rPr>
              <w:t xml:space="preserve">£20k </w:t>
            </w:r>
            <w:r w:rsidR="0007385F">
              <w:rPr>
                <w:rFonts w:cs="Arial"/>
                <w:sz w:val="18"/>
                <w:szCs w:val="18"/>
              </w:rPr>
              <w:t>environmental costs</w:t>
            </w:r>
            <w:r w:rsidR="00797529">
              <w:rPr>
                <w:rFonts w:cs="Arial"/>
                <w:sz w:val="18"/>
                <w:szCs w:val="18"/>
              </w:rPr>
              <w:t xml:space="preserve"> incurred as a result</w:t>
            </w:r>
            <w:r w:rsidR="00C04AEC">
              <w:rPr>
                <w:rFonts w:cs="Arial"/>
                <w:sz w:val="18"/>
                <w:szCs w:val="18"/>
              </w:rPr>
              <w:t xml:space="preserve"> of </w:t>
            </w:r>
            <w:r w:rsidR="005D4B41">
              <w:rPr>
                <w:rFonts w:cs="Arial"/>
                <w:sz w:val="18"/>
                <w:szCs w:val="18"/>
              </w:rPr>
              <w:t xml:space="preserve">standing up </w:t>
            </w:r>
            <w:r w:rsidR="00616A27">
              <w:rPr>
                <w:rFonts w:cs="Arial"/>
                <w:sz w:val="18"/>
                <w:szCs w:val="18"/>
              </w:rPr>
              <w:t xml:space="preserve">development and test landscape to support this </w:t>
            </w:r>
            <w:proofErr w:type="spellStart"/>
            <w:r w:rsidR="00616A27">
              <w:rPr>
                <w:rFonts w:cs="Arial"/>
                <w:sz w:val="18"/>
                <w:szCs w:val="18"/>
              </w:rPr>
              <w:t>adhoc</w:t>
            </w:r>
            <w:proofErr w:type="spellEnd"/>
            <w:r w:rsidR="00616A27">
              <w:rPr>
                <w:rFonts w:cs="Arial"/>
                <w:sz w:val="18"/>
                <w:szCs w:val="18"/>
              </w:rPr>
              <w:t xml:space="preserve"> release</w:t>
            </w:r>
            <w:r w:rsidR="00E950E1">
              <w:rPr>
                <w:rFonts w:cs="Arial"/>
                <w:sz w:val="18"/>
                <w:szCs w:val="18"/>
              </w:rPr>
              <w:t>.</w:t>
            </w:r>
          </w:p>
          <w:p w14:paraId="3A443044" w14:textId="77777777" w:rsidR="00C11DBE" w:rsidRDefault="00C11DBE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A204B58" w14:textId="77777777" w:rsidR="00407373" w:rsidRDefault="00C760B3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CCF3" w14:textId="4379FE5F" w:rsidR="00B9672F" w:rsidRPr="00982681" w:rsidRDefault="00B9672F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2B2E87" w:rsidRPr="002B2E87" w14:paraId="6755CD90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14:paraId="35E72947" w14:textId="77777777" w:rsidTr="00A92DBC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2AD0AA15" w14:textId="18192D9F" w:rsidR="002B04DD" w:rsidRDefault="002B04DD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u w:val="single"/>
              </w:rPr>
              <w:t>Impacts to Ongoing Cost</w:t>
            </w:r>
            <w:r w:rsidR="00C9295D">
              <w:rPr>
                <w:rFonts w:eastAsia="Times New Roman" w:cs="Arial"/>
                <w:b/>
                <w:sz w:val="20"/>
                <w:u w:val="single"/>
              </w:rPr>
              <w:t>s</w:t>
            </w:r>
          </w:p>
          <w:p w14:paraId="039AC0C9" w14:textId="66755E0D" w:rsidR="00A04AD5" w:rsidRDefault="00A04AD5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0D1CFDF8" w14:textId="218F64AD" w:rsidR="009A42C3" w:rsidRPr="00C413BC" w:rsidRDefault="009A42C3" w:rsidP="00C413BC">
            <w:pPr>
              <w:rPr>
                <w:rFonts w:cs="Arial"/>
                <w:bCs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704" w:type="dxa"/>
              <w:tblLook w:val="04A0" w:firstRow="1" w:lastRow="0" w:firstColumn="1" w:lastColumn="0" w:noHBand="0" w:noVBand="1"/>
            </w:tblPr>
            <w:tblGrid>
              <w:gridCol w:w="906"/>
              <w:gridCol w:w="2751"/>
              <w:gridCol w:w="3638"/>
              <w:gridCol w:w="2409"/>
            </w:tblGrid>
            <w:tr w:rsidR="00BB713C" w:rsidRPr="00E946F9" w14:paraId="4B2978DF" w14:textId="77777777" w:rsidTr="00A92DBC">
              <w:trPr>
                <w:trHeight w:val="520"/>
              </w:trPr>
              <w:tc>
                <w:tcPr>
                  <w:tcW w:w="906" w:type="dxa"/>
                  <w:shd w:val="clear" w:color="auto" w:fill="4472C4"/>
                  <w:vAlign w:val="center"/>
                  <w:hideMark/>
                </w:tcPr>
                <w:p w14:paraId="7277D181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751" w:type="dxa"/>
                  <w:shd w:val="clear" w:color="auto" w:fill="4472C4"/>
                  <w:vAlign w:val="center"/>
                  <w:hideMark/>
                </w:tcPr>
                <w:p w14:paraId="79AD36AC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3638" w:type="dxa"/>
                  <w:shd w:val="clear" w:color="auto" w:fill="4472C4"/>
                  <w:vAlign w:val="center"/>
                  <w:hideMark/>
                </w:tcPr>
                <w:p w14:paraId="05176B96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409" w:type="dxa"/>
                  <w:shd w:val="clear" w:color="auto" w:fill="4472C4"/>
                  <w:vAlign w:val="center"/>
                  <w:hideMark/>
                </w:tcPr>
                <w:p w14:paraId="6E86F9C9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E56E1C" w:rsidRPr="00E946F9" w14:paraId="06E653AA" w14:textId="77777777" w:rsidTr="00A92DBC">
              <w:trPr>
                <w:trHeight w:val="290"/>
              </w:trPr>
              <w:tc>
                <w:tcPr>
                  <w:tcW w:w="906" w:type="dxa"/>
                </w:tcPr>
                <w:p w14:paraId="110EEFBC" w14:textId="665D3F91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2751" w:type="dxa"/>
                  <w:vAlign w:val="center"/>
                </w:tcPr>
                <w:p w14:paraId="050FC848" w14:textId="40751152" w:rsidR="00E56E1C" w:rsidRPr="00861793" w:rsidRDefault="00E56E1C" w:rsidP="00E56E1C">
                  <w:pPr>
                    <w:pStyle w:val="NormalWeb"/>
                    <w:spacing w:before="0" w:beforeAutospacing="0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See risks below</w:t>
                  </w:r>
                </w:p>
              </w:tc>
              <w:tc>
                <w:tcPr>
                  <w:tcW w:w="3638" w:type="dxa"/>
                  <w:vAlign w:val="center"/>
                </w:tcPr>
                <w:p w14:paraId="4983227C" w14:textId="7C186880" w:rsidR="00E56E1C" w:rsidRPr="00C90F4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See risks below</w:t>
                  </w:r>
                </w:p>
              </w:tc>
              <w:tc>
                <w:tcPr>
                  <w:tcW w:w="2409" w:type="dxa"/>
                  <w:vAlign w:val="center"/>
                </w:tcPr>
                <w:p w14:paraId="46CECEF4" w14:textId="183C576A" w:rsidR="00E56E1C" w:rsidRPr="00E946F9" w:rsidRDefault="00E56E1C" w:rsidP="00E56E1C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£0</w:t>
                  </w:r>
                </w:p>
              </w:tc>
            </w:tr>
            <w:tr w:rsidR="00E56E1C" w:rsidRPr="00E946F9" w14:paraId="4CBCE2ED" w14:textId="77777777" w:rsidTr="00A92DBC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4D245F3F" w14:textId="44EAD863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0766E076" w14:textId="4C3268CA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38" w:type="dxa"/>
                  <w:shd w:val="clear" w:color="auto" w:fill="D9E1F2"/>
                  <w:vAlign w:val="center"/>
                </w:tcPr>
                <w:p w14:paraId="10BDC9EA" w14:textId="2857D27A" w:rsidR="00E56E1C" w:rsidRPr="00823757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5BF7CE94" w14:textId="1C23E6BE" w:rsidR="00E56E1C" w:rsidRPr="00823757" w:rsidRDefault="00E56E1C" w:rsidP="00E56E1C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56E1C" w:rsidRPr="00E946F9" w14:paraId="5E7DB8E1" w14:textId="77777777" w:rsidTr="00A92DBC">
              <w:trPr>
                <w:trHeight w:val="290"/>
              </w:trPr>
              <w:tc>
                <w:tcPr>
                  <w:tcW w:w="7295" w:type="dxa"/>
                  <w:gridSpan w:val="3"/>
                  <w:vAlign w:val="center"/>
                </w:tcPr>
                <w:p w14:paraId="2FD89981" w14:textId="77777777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09" w:type="dxa"/>
                  <w:vAlign w:val="center"/>
                </w:tcPr>
                <w:p w14:paraId="2385C906" w14:textId="5DF24E0E" w:rsidR="00E56E1C" w:rsidRPr="00E946F9" w:rsidRDefault="00E56E1C" w:rsidP="00E56E1C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£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7ADE6BE" w14:textId="376D2D83" w:rsidR="00BB713C" w:rsidRPr="00BB713C" w:rsidRDefault="00BB713C" w:rsidP="002B2E87">
            <w:pPr>
              <w:contextualSpacing/>
              <w:rPr>
                <w:rFonts w:eastAsia="Times New Roman" w:cs="Arial"/>
                <w:bCs/>
                <w:sz w:val="20"/>
              </w:rPr>
            </w:pPr>
          </w:p>
          <w:p w14:paraId="0246DA4C" w14:textId="77777777" w:rsidR="009408F0" w:rsidRDefault="009408F0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6F8E01C7" w14:textId="5192DF92" w:rsidR="00A04AD5" w:rsidRPr="002B2E87" w:rsidRDefault="00A04AD5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A92DBC">
        <w:tc>
          <w:tcPr>
            <w:tcW w:w="5000" w:type="pct"/>
            <w:gridSpan w:val="2"/>
            <w:shd w:val="clear" w:color="auto" w:fill="auto"/>
          </w:tcPr>
          <w:p w14:paraId="5B1C7F27" w14:textId="77777777" w:rsidR="00BB713C" w:rsidRDefault="00BB713C" w:rsidP="004F226A">
            <w:pPr>
              <w:rPr>
                <w:rFonts w:eastAsia="Times New Roman" w:cs="Arial"/>
                <w:bCs/>
                <w:sz w:val="20"/>
                <w:szCs w:val="16"/>
              </w:rPr>
            </w:pPr>
          </w:p>
          <w:p w14:paraId="4BF0156F" w14:textId="5A9471CB" w:rsidR="00E947D5" w:rsidRPr="00BB713C" w:rsidRDefault="00352185" w:rsidP="004F226A">
            <w:pPr>
              <w:rPr>
                <w:rFonts w:eastAsia="Times New Roman" w:cs="Arial"/>
                <w:bCs/>
                <w:sz w:val="20"/>
                <w:szCs w:val="16"/>
              </w:rPr>
            </w:pPr>
            <w:r w:rsidRPr="00352185">
              <w:rPr>
                <w:rFonts w:eastAsia="Times New Roman" w:cs="Arial"/>
                <w:bCs/>
                <w:noProof/>
                <w:sz w:val="20"/>
                <w:szCs w:val="16"/>
              </w:rPr>
              <w:drawing>
                <wp:inline distT="0" distB="0" distL="0" distR="0" wp14:anchorId="0BDE5CB4" wp14:editId="6C9724B4">
                  <wp:extent cx="6165215" cy="122491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B6042" w14:textId="76F428EF" w:rsidR="00A04AD5" w:rsidRPr="002B2E87" w:rsidRDefault="00A04AD5" w:rsidP="00BB713C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672865BF" w:rsidR="002B2E87" w:rsidRPr="002B2E87" w:rsidRDefault="00EB1713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>
              <w:rPr>
                <w:rFonts w:eastAsia="Times New Roman" w:cs="Arial"/>
                <w:b/>
                <w:color w:val="FFFFFF"/>
                <w:sz w:val="20"/>
                <w:szCs w:val="16"/>
              </w:rPr>
              <w:t>S</w:t>
            </w:r>
            <w:r w:rsidR="002B2E87"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ection 6: Additional information relevant to the proposed service change</w:t>
            </w:r>
          </w:p>
        </w:tc>
      </w:tr>
      <w:tr w:rsidR="002B2E87" w:rsidRPr="002B2E87" w14:paraId="324B2E3C" w14:textId="77777777" w:rsidTr="00A92DBC">
        <w:tc>
          <w:tcPr>
            <w:tcW w:w="5000" w:type="pct"/>
            <w:gridSpan w:val="2"/>
            <w:shd w:val="clear" w:color="auto" w:fill="auto"/>
          </w:tcPr>
          <w:p w14:paraId="16028FC7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p w14:paraId="2F162FB3" w14:textId="64E70909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Risk </w:t>
            </w:r>
            <w:r w:rsidR="000932A6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argin</w:t>
            </w:r>
            <w:r w:rsidR="000932A6">
              <w:rPr>
                <w:rFonts w:cs="Arial"/>
                <w:b/>
                <w:sz w:val="20"/>
                <w:szCs w:val="20"/>
              </w:rPr>
              <w:t xml:space="preserve"> included for approval in this BER:</w:t>
            </w:r>
          </w:p>
          <w:p w14:paraId="28C44EA6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1295"/>
              <w:gridCol w:w="7057"/>
            </w:tblGrid>
            <w:tr w:rsidR="0036721C" w:rsidRPr="00E946F9" w14:paraId="305B7992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4472C4"/>
                  <w:noWrap/>
                  <w:vAlign w:val="center"/>
                  <w:hideMark/>
                </w:tcPr>
                <w:p w14:paraId="466D1D21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295" w:type="dxa"/>
                  <w:shd w:val="clear" w:color="auto" w:fill="4472C4"/>
                  <w:noWrap/>
                  <w:vAlign w:val="center"/>
                  <w:hideMark/>
                </w:tcPr>
                <w:p w14:paraId="630347CA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Risk Margin</w:t>
                  </w:r>
                </w:p>
              </w:tc>
              <w:tc>
                <w:tcPr>
                  <w:tcW w:w="7057" w:type="dxa"/>
                  <w:shd w:val="clear" w:color="auto" w:fill="4472C4"/>
                  <w:noWrap/>
                  <w:vAlign w:val="center"/>
                  <w:hideMark/>
                </w:tcPr>
                <w:p w14:paraId="0FE5F132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Description</w:t>
                  </w:r>
                </w:p>
              </w:tc>
            </w:tr>
            <w:tr w:rsidR="00854D64" w:rsidRPr="00E946F9" w14:paraId="4C15F1A4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73665F98" w14:textId="42FB5EC1" w:rsidR="00854D64" w:rsidRPr="008770BB" w:rsidRDefault="00854D64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770B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="00526CE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396E3C8F" w14:textId="32535232" w:rsidR="00854D64" w:rsidRPr="00584C20" w:rsidRDefault="008770BB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526CED"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8,684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55161AFB" w14:textId="56228A33" w:rsidR="00854D64" w:rsidRPr="008770BB" w:rsidRDefault="00526CED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26CE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There is a risk that for XRN 5472 that during design, build, test it is determined that a MTB is required to support the ongoing service</w:t>
                  </w:r>
                </w:p>
              </w:tc>
            </w:tr>
            <w:tr w:rsidR="000027A4" w:rsidRPr="00E946F9" w14:paraId="0C928DFF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053AF435" w14:textId="516AD08B" w:rsidR="000027A4" w:rsidRPr="008770BB" w:rsidRDefault="00584C2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770B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5379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41B7425C" w14:textId="44416B9A" w:rsidR="000027A4" w:rsidRPr="00584C20" w:rsidRDefault="00584C2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£30,000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2E79AA99" w14:textId="482C4B79" w:rsidR="000027A4" w:rsidRPr="008770BB" w:rsidRDefault="00584C2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There is a risk that new requirements are identified following the onboarding and transitioning to the appointed Daily Metered Service Provider</w:t>
                  </w:r>
                </w:p>
              </w:tc>
            </w:tr>
            <w:tr w:rsidR="00854D64" w:rsidRPr="00E946F9" w14:paraId="2FE615A1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4053B3A0" w14:textId="677362B8" w:rsidR="00854D64" w:rsidRPr="00E946F9" w:rsidRDefault="004A31F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5143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661ED5F1" w14:textId="2E98B95F" w:rsidR="00854D64" w:rsidRPr="00E946F9" w:rsidRDefault="004A31F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£15,000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48027011" w14:textId="390B9740" w:rsidR="00854D64" w:rsidRPr="00E946F9" w:rsidRDefault="004A31F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There is a risk that new requirements are identified following the onboarding and transitioning to the appointed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Non-</w:t>
                  </w: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Daily Metered Service Provider</w:t>
                  </w: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625836F7" w14:textId="01C2E29C" w:rsidR="000932A6" w:rsidRDefault="000932A6" w:rsidP="000932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risks to be monitored throughout the </w:t>
            </w:r>
            <w:r w:rsidR="008B2B47">
              <w:rPr>
                <w:rFonts w:cs="Arial"/>
                <w:b/>
                <w:sz w:val="20"/>
                <w:szCs w:val="20"/>
              </w:rPr>
              <w:t>delivery of this release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E40D704" w14:textId="77777777" w:rsidR="0009754E" w:rsidRDefault="0009754E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64B54F24" w14:textId="3903F9C5" w:rsidR="00A602B2" w:rsidRPr="00BD662A" w:rsidRDefault="003F6E17" w:rsidP="00BD662A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</w:t>
            </w:r>
            <w:r w:rsidR="00FC60A9">
              <w:rPr>
                <w:szCs w:val="20"/>
                <w:lang w:val="en-US"/>
              </w:rPr>
              <w:t>is a risk that code changes</w:t>
            </w:r>
            <w:r w:rsidR="006F3E55">
              <w:rPr>
                <w:szCs w:val="20"/>
                <w:lang w:val="en-US"/>
              </w:rPr>
              <w:t xml:space="preserve"> made for different XRNs within the release will become </w:t>
            </w:r>
            <w:r w:rsidR="006C1B6E">
              <w:rPr>
                <w:szCs w:val="20"/>
                <w:lang w:val="en-US"/>
              </w:rPr>
              <w:t>interdependent</w:t>
            </w:r>
            <w:r w:rsidR="005531A4">
              <w:rPr>
                <w:szCs w:val="20"/>
                <w:lang w:val="en-US"/>
              </w:rPr>
              <w:t xml:space="preserve"> because they will be affecting commons objects in the system(s).</w:t>
            </w:r>
            <w:r w:rsidR="0058353E">
              <w:rPr>
                <w:szCs w:val="20"/>
                <w:lang w:val="en-US"/>
              </w:rPr>
              <w:t xml:space="preserve"> This could lead to delays to </w:t>
            </w:r>
            <w:r w:rsidR="00395B9D">
              <w:rPr>
                <w:szCs w:val="20"/>
                <w:lang w:val="en-US"/>
              </w:rPr>
              <w:t xml:space="preserve">other XRNs if one particular change is deferred or descoped as the </w:t>
            </w:r>
            <w:r w:rsidR="00723079">
              <w:rPr>
                <w:szCs w:val="20"/>
                <w:lang w:val="en-US"/>
              </w:rPr>
              <w:t xml:space="preserve">code objects will have to </w:t>
            </w:r>
            <w:r w:rsidR="00A602B2">
              <w:rPr>
                <w:szCs w:val="20"/>
                <w:lang w:val="en-US"/>
              </w:rPr>
              <w:t xml:space="preserve">be </w:t>
            </w:r>
            <w:r w:rsidR="00723079">
              <w:rPr>
                <w:szCs w:val="20"/>
                <w:lang w:val="en-US"/>
              </w:rPr>
              <w:t>reworked</w:t>
            </w:r>
            <w:r w:rsidR="00A602B2">
              <w:rPr>
                <w:szCs w:val="20"/>
                <w:lang w:val="en-US"/>
              </w:rPr>
              <w:t>.</w:t>
            </w:r>
          </w:p>
          <w:p w14:paraId="29FF59CF" w14:textId="2AECDB4D" w:rsidR="007E5EC3" w:rsidRDefault="00C23DCF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Following the </w:t>
            </w:r>
            <w:r w:rsidR="00C8254B">
              <w:rPr>
                <w:szCs w:val="20"/>
                <w:lang w:val="en-US"/>
              </w:rPr>
              <w:t>go live of REC</w:t>
            </w:r>
            <w:r w:rsidR="00ED3EB3">
              <w:rPr>
                <w:szCs w:val="20"/>
                <w:lang w:val="en-US"/>
              </w:rPr>
              <w:t xml:space="preserve">, </w:t>
            </w:r>
            <w:r w:rsidR="00D85F8B">
              <w:rPr>
                <w:szCs w:val="20"/>
                <w:lang w:val="en-US"/>
              </w:rPr>
              <w:t xml:space="preserve">urgent changes may well be raised </w:t>
            </w:r>
            <w:r w:rsidR="00705C13">
              <w:rPr>
                <w:szCs w:val="20"/>
                <w:lang w:val="en-US"/>
              </w:rPr>
              <w:t>that could be added into this release</w:t>
            </w:r>
            <w:r w:rsidR="007C119E">
              <w:rPr>
                <w:szCs w:val="20"/>
                <w:lang w:val="en-US"/>
              </w:rPr>
              <w:t xml:space="preserve"> prior to go live. Whilst these additions would result in a</w:t>
            </w:r>
            <w:r w:rsidR="00A81F1A">
              <w:rPr>
                <w:szCs w:val="20"/>
                <w:lang w:val="en-US"/>
              </w:rPr>
              <w:t xml:space="preserve">n updated BER being presented, </w:t>
            </w:r>
            <w:r w:rsidR="00F022DC">
              <w:rPr>
                <w:szCs w:val="20"/>
                <w:lang w:val="en-US"/>
              </w:rPr>
              <w:t>so there would be no cost impact</w:t>
            </w:r>
            <w:r w:rsidR="005B19C1">
              <w:rPr>
                <w:szCs w:val="20"/>
                <w:lang w:val="en-US"/>
              </w:rPr>
              <w:t xml:space="preserve"> to what has been approved</w:t>
            </w:r>
            <w:r w:rsidR="00667D87">
              <w:rPr>
                <w:szCs w:val="20"/>
                <w:lang w:val="en-US"/>
              </w:rPr>
              <w:t>, they could cause delays to the release</w:t>
            </w:r>
            <w:r w:rsidR="00703F5A">
              <w:rPr>
                <w:szCs w:val="20"/>
                <w:lang w:val="en-US"/>
              </w:rPr>
              <w:t xml:space="preserve"> as a whole.</w:t>
            </w:r>
          </w:p>
          <w:p w14:paraId="03E5FAD7" w14:textId="25704DCE" w:rsidR="00703F5A" w:rsidRDefault="007C264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This </w:t>
            </w:r>
            <w:r w:rsidR="00DA28CC">
              <w:rPr>
                <w:szCs w:val="20"/>
                <w:lang w:val="en-US"/>
              </w:rPr>
              <w:t>release will have to accommodate the impact of</w:t>
            </w:r>
            <w:r w:rsidR="00C82898">
              <w:rPr>
                <w:szCs w:val="20"/>
                <w:lang w:val="en-US"/>
              </w:rPr>
              <w:t xml:space="preserve"> </w:t>
            </w:r>
            <w:r w:rsidR="004250C5">
              <w:rPr>
                <w:szCs w:val="20"/>
                <w:lang w:val="en-US"/>
              </w:rPr>
              <w:t xml:space="preserve">Christmas holidays on resource availability and </w:t>
            </w:r>
            <w:r w:rsidR="004467DB">
              <w:rPr>
                <w:szCs w:val="20"/>
                <w:lang w:val="en-US"/>
              </w:rPr>
              <w:t xml:space="preserve">also the Christmas systems moratorium that </w:t>
            </w:r>
            <w:r w:rsidR="00903B63">
              <w:rPr>
                <w:szCs w:val="20"/>
                <w:lang w:val="en-US"/>
              </w:rPr>
              <w:t xml:space="preserve">could delay progression </w:t>
            </w:r>
            <w:r w:rsidR="00C82898">
              <w:rPr>
                <w:szCs w:val="20"/>
                <w:lang w:val="en-US"/>
              </w:rPr>
              <w:t>through the planned timeline</w:t>
            </w:r>
            <w:r w:rsidR="00903B63">
              <w:rPr>
                <w:szCs w:val="20"/>
                <w:lang w:val="en-US"/>
              </w:rPr>
              <w:t xml:space="preserve"> in </w:t>
            </w:r>
            <w:r w:rsidR="00DA28CC">
              <w:rPr>
                <w:szCs w:val="20"/>
                <w:lang w:val="en-US"/>
              </w:rPr>
              <w:t xml:space="preserve">December 2022 &amp; </w:t>
            </w:r>
            <w:r w:rsidR="00903B63">
              <w:rPr>
                <w:szCs w:val="20"/>
                <w:lang w:val="en-US"/>
              </w:rPr>
              <w:t>January/February 2023.</w:t>
            </w:r>
          </w:p>
          <w:p w14:paraId="2462F122" w14:textId="06599FBF" w:rsidR="00903B63" w:rsidRDefault="005609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significant instability within the </w:t>
            </w:r>
            <w:r w:rsidR="00AD3715">
              <w:rPr>
                <w:szCs w:val="20"/>
                <w:lang w:val="en-US"/>
              </w:rPr>
              <w:t xml:space="preserve">current market and as winter approaches there is </w:t>
            </w:r>
            <w:r w:rsidR="00A7688A">
              <w:rPr>
                <w:szCs w:val="20"/>
                <w:lang w:val="en-US"/>
              </w:rPr>
              <w:t xml:space="preserve">a risk of further </w:t>
            </w:r>
            <w:r w:rsidR="00C23BE7">
              <w:rPr>
                <w:szCs w:val="20"/>
                <w:lang w:val="en-US"/>
              </w:rPr>
              <w:t>crisis in the industry</w:t>
            </w:r>
            <w:r w:rsidR="00EC1289">
              <w:rPr>
                <w:szCs w:val="20"/>
                <w:lang w:val="en-US"/>
              </w:rPr>
              <w:t xml:space="preserve"> or significant </w:t>
            </w:r>
            <w:r w:rsidR="00FA64AC">
              <w:rPr>
                <w:szCs w:val="20"/>
                <w:lang w:val="en-US"/>
              </w:rPr>
              <w:t>events that could impact the delivery of this release.</w:t>
            </w:r>
          </w:p>
          <w:p w14:paraId="37520515" w14:textId="4766D4C2" w:rsidR="00840BF5" w:rsidRDefault="00840BF5" w:rsidP="00B46CE1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a risk that the </w:t>
            </w:r>
            <w:r w:rsidR="00A36430">
              <w:rPr>
                <w:szCs w:val="20"/>
                <w:lang w:val="en-US"/>
              </w:rPr>
              <w:t xml:space="preserve">delivery </w:t>
            </w:r>
            <w:r>
              <w:rPr>
                <w:szCs w:val="20"/>
                <w:lang w:val="en-US"/>
              </w:rPr>
              <w:t xml:space="preserve">cost associated with </w:t>
            </w:r>
            <w:r w:rsidR="00B46CE1">
              <w:rPr>
                <w:szCs w:val="20"/>
                <w:lang w:val="en-US"/>
              </w:rPr>
              <w:t>the XRNs within this release</w:t>
            </w:r>
            <w:r>
              <w:rPr>
                <w:szCs w:val="20"/>
                <w:lang w:val="en-US"/>
              </w:rPr>
              <w:t xml:space="preserve"> are significantly different to those captured within this BER, </w:t>
            </w:r>
            <w:r w:rsidR="00A36430">
              <w:rPr>
                <w:szCs w:val="20"/>
                <w:lang w:val="en-US"/>
              </w:rPr>
              <w:t>once design has been completed. I</w:t>
            </w:r>
            <w:r>
              <w:rPr>
                <w:szCs w:val="20"/>
                <w:lang w:val="en-US"/>
              </w:rPr>
              <w:t>f this is the case then a revised BER will be submitted.</w:t>
            </w:r>
          </w:p>
          <w:p w14:paraId="4EFCE97F" w14:textId="55EEFF19" w:rsidR="00831A7A" w:rsidRPr="00B46CE1" w:rsidRDefault="00831A7A" w:rsidP="00B46CE1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a risk of </w:t>
            </w:r>
            <w:r w:rsidR="00B35999">
              <w:rPr>
                <w:szCs w:val="20"/>
                <w:lang w:val="en-US"/>
              </w:rPr>
              <w:t>regret spend associated with the build and test of XRN5143, this is due to the procurement process relating to the NDM not yet being concluded</w:t>
            </w:r>
            <w:r w:rsidR="000D654C">
              <w:rPr>
                <w:szCs w:val="20"/>
                <w:lang w:val="en-US"/>
              </w:rPr>
              <w:t xml:space="preserve"> and therefore the charge methodology relating to this service is not yet known.</w:t>
            </w:r>
          </w:p>
          <w:p w14:paraId="71512791" w14:textId="77777777" w:rsidR="000932A6" w:rsidRDefault="000932A6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05EEB966" w14:textId="7915BE71" w:rsidR="008B3815" w:rsidRPr="00D24E05" w:rsidRDefault="008B3815" w:rsidP="00831A7A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None of the above have a quantifiable cost that can be included in the risk margin for this delivery but all have been recorded here for visibility and acknowledgement of </w:t>
            </w:r>
            <w:r w:rsidR="00C801A7">
              <w:rPr>
                <w:szCs w:val="20"/>
                <w:lang w:val="en-US"/>
              </w:rPr>
              <w:t>ChMC</w:t>
            </w:r>
            <w:r w:rsidR="00943D13">
              <w:rPr>
                <w:szCs w:val="20"/>
                <w:lang w:val="en-US"/>
              </w:rPr>
              <w:t xml:space="preserve">. They will be reported on through the monthly </w:t>
            </w:r>
            <w:r w:rsidR="008613DB">
              <w:rPr>
                <w:szCs w:val="20"/>
                <w:lang w:val="en-US"/>
              </w:rPr>
              <w:t>project progress reports to ChMC</w:t>
            </w:r>
            <w:r w:rsidR="00951E68">
              <w:rPr>
                <w:szCs w:val="20"/>
                <w:lang w:val="en-US"/>
              </w:rPr>
              <w:t>.</w:t>
            </w: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05B8A49" w14:textId="77777777" w:rsidR="0022604D" w:rsidRDefault="0022604D">
      <w:pPr>
        <w:rPr>
          <w:rFonts w:eastAsia="Arial" w:cs="Times New Roman"/>
          <w:b/>
          <w:sz w:val="20"/>
          <w:szCs w:val="20"/>
        </w:rPr>
      </w:pPr>
      <w:r>
        <w:rPr>
          <w:rFonts w:eastAsia="Arial" w:cs="Times New Roman"/>
          <w:b/>
          <w:sz w:val="20"/>
          <w:szCs w:val="20"/>
        </w:rPr>
        <w:br w:type="page"/>
      </w:r>
    </w:p>
    <w:p w14:paraId="3251AA56" w14:textId="436C6495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19" w:type="pct"/>
        <w:tblInd w:w="-459" w:type="dxa"/>
        <w:tblLook w:val="04A0" w:firstRow="1" w:lastRow="0" w:firstColumn="1" w:lastColumn="0" w:noHBand="0" w:noVBand="1"/>
      </w:tblPr>
      <w:tblGrid>
        <w:gridCol w:w="1065"/>
        <w:gridCol w:w="2649"/>
        <w:gridCol w:w="1278"/>
        <w:gridCol w:w="1560"/>
        <w:gridCol w:w="3400"/>
      </w:tblGrid>
      <w:tr w:rsidR="00E947D5" w:rsidRPr="002B2E87" w14:paraId="05C01B9A" w14:textId="77777777" w:rsidTr="00C0520E">
        <w:trPr>
          <w:trHeight w:val="611"/>
        </w:trPr>
        <w:tc>
          <w:tcPr>
            <w:tcW w:w="535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31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2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4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08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C0520E">
        <w:tc>
          <w:tcPr>
            <w:tcW w:w="535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331" w:type="pct"/>
          </w:tcPr>
          <w:p w14:paraId="434AE054" w14:textId="3D89FC6F" w:rsidR="002B2E87" w:rsidRPr="002B2E87" w:rsidRDefault="0032604C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642" w:type="pct"/>
          </w:tcPr>
          <w:p w14:paraId="2A8CD6E0" w14:textId="195D5AD5" w:rsidR="002B2E87" w:rsidRPr="002B2E87" w:rsidRDefault="002233F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</w:t>
            </w:r>
            <w:r w:rsidR="00D56421">
              <w:rPr>
                <w:rFonts w:eastAsia="Times New Roman" w:cs="Arial"/>
                <w:sz w:val="20"/>
                <w:szCs w:val="20"/>
              </w:rPr>
              <w:t>/</w:t>
            </w:r>
            <w:r>
              <w:rPr>
                <w:rFonts w:eastAsia="Times New Roman" w:cs="Arial"/>
                <w:sz w:val="20"/>
                <w:szCs w:val="20"/>
              </w:rPr>
              <w:t>10</w:t>
            </w:r>
            <w:r w:rsidR="00014007">
              <w:rPr>
                <w:rFonts w:eastAsia="Times New Roman" w:cs="Arial"/>
                <w:sz w:val="20"/>
                <w:szCs w:val="20"/>
              </w:rPr>
              <w:t>/202</w:t>
            </w:r>
            <w:r w:rsidR="0042165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14:paraId="781C197A" w14:textId="31DB9BB0" w:rsidR="002B2E87" w:rsidRPr="002B2E87" w:rsidRDefault="002233F5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690A4FCF" w14:textId="0AB8685A" w:rsidR="002B2E87" w:rsidRPr="002B2E87" w:rsidRDefault="00DE7399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of BER</w:t>
            </w:r>
          </w:p>
        </w:tc>
      </w:tr>
      <w:tr w:rsidR="00975BC5" w:rsidRPr="002B2E87" w14:paraId="420D8008" w14:textId="77777777" w:rsidTr="00C0520E">
        <w:tc>
          <w:tcPr>
            <w:tcW w:w="535" w:type="pct"/>
          </w:tcPr>
          <w:p w14:paraId="570905FA" w14:textId="5F8D79E2" w:rsidR="00975BC5" w:rsidRDefault="007F6CB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1331" w:type="pct"/>
          </w:tcPr>
          <w:p w14:paraId="10372868" w14:textId="150E4F61" w:rsidR="00975BC5" w:rsidRDefault="007F6CBE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42" w:type="pct"/>
          </w:tcPr>
          <w:p w14:paraId="2F15D66E" w14:textId="73EC8B2E" w:rsidR="00975BC5" w:rsidRDefault="007F6CB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17/10/2022</w:t>
            </w:r>
          </w:p>
        </w:tc>
        <w:tc>
          <w:tcPr>
            <w:tcW w:w="784" w:type="pct"/>
          </w:tcPr>
          <w:p w14:paraId="73CFF9B9" w14:textId="724B46CC" w:rsidR="00975BC5" w:rsidRDefault="007F6CBE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0CAC1E27" w14:textId="50812AA2" w:rsidR="00975BC5" w:rsidRDefault="007F6CBE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with Correla review comments</w:t>
            </w:r>
          </w:p>
        </w:tc>
      </w:tr>
      <w:tr w:rsidR="009617C5" w:rsidRPr="002B2E87" w14:paraId="4E78B688" w14:textId="77777777" w:rsidTr="00C0520E">
        <w:tc>
          <w:tcPr>
            <w:tcW w:w="535" w:type="pct"/>
          </w:tcPr>
          <w:p w14:paraId="0B3FDD7E" w14:textId="2AF9CF28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0.3</w:t>
            </w:r>
          </w:p>
        </w:tc>
        <w:tc>
          <w:tcPr>
            <w:tcW w:w="1331" w:type="pct"/>
          </w:tcPr>
          <w:p w14:paraId="2C20ECC9" w14:textId="0D4D58A1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42" w:type="pct"/>
          </w:tcPr>
          <w:p w14:paraId="0628B5D6" w14:textId="22DE6D5F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24/10/2022</w:t>
            </w:r>
          </w:p>
        </w:tc>
        <w:tc>
          <w:tcPr>
            <w:tcW w:w="784" w:type="pct"/>
          </w:tcPr>
          <w:p w14:paraId="62D48BE9" w14:textId="45811439" w:rsidR="009617C5" w:rsidRDefault="009617C5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0F085A31" w14:textId="036894C1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with further Correla review comments</w:t>
            </w:r>
          </w:p>
        </w:tc>
      </w:tr>
      <w:tr w:rsidR="009617C5" w:rsidRPr="002B2E87" w14:paraId="46761F7A" w14:textId="77777777" w:rsidTr="00C0520E">
        <w:tc>
          <w:tcPr>
            <w:tcW w:w="535" w:type="pct"/>
          </w:tcPr>
          <w:p w14:paraId="040B495A" w14:textId="60B671C6" w:rsidR="009617C5" w:rsidRDefault="004D5721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0.4</w:t>
            </w:r>
          </w:p>
        </w:tc>
        <w:tc>
          <w:tcPr>
            <w:tcW w:w="1331" w:type="pct"/>
          </w:tcPr>
          <w:p w14:paraId="4009A2AA" w14:textId="2E2CFB17" w:rsidR="009617C5" w:rsidRDefault="004D5721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42" w:type="pct"/>
          </w:tcPr>
          <w:p w14:paraId="4CB22A99" w14:textId="5ED413FA" w:rsidR="009617C5" w:rsidRDefault="004D5721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27/10/2022</w:t>
            </w:r>
          </w:p>
        </w:tc>
        <w:tc>
          <w:tcPr>
            <w:tcW w:w="784" w:type="pct"/>
          </w:tcPr>
          <w:p w14:paraId="6A191D6D" w14:textId="62A4FFD0" w:rsidR="009617C5" w:rsidRDefault="004D5721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608AC360" w14:textId="2796E3DF" w:rsidR="009617C5" w:rsidRDefault="004D5721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following Xoserve review</w:t>
            </w:r>
          </w:p>
        </w:tc>
      </w:tr>
      <w:tr w:rsidR="009617C5" w:rsidRPr="002B2E87" w14:paraId="349233CC" w14:textId="77777777" w:rsidTr="00C0520E">
        <w:tc>
          <w:tcPr>
            <w:tcW w:w="535" w:type="pct"/>
          </w:tcPr>
          <w:p w14:paraId="695FFAD4" w14:textId="570B4B71" w:rsidR="009617C5" w:rsidRDefault="001C44B6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1331" w:type="pct"/>
          </w:tcPr>
          <w:p w14:paraId="222678A7" w14:textId="7B10C797" w:rsidR="009617C5" w:rsidRDefault="001C44B6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to ChMC</w:t>
            </w:r>
          </w:p>
        </w:tc>
        <w:tc>
          <w:tcPr>
            <w:tcW w:w="642" w:type="pct"/>
          </w:tcPr>
          <w:p w14:paraId="38EF542B" w14:textId="0480B4F0" w:rsidR="009617C5" w:rsidRDefault="001C44B6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28/10/2022</w:t>
            </w:r>
          </w:p>
        </w:tc>
        <w:tc>
          <w:tcPr>
            <w:tcW w:w="784" w:type="pct"/>
          </w:tcPr>
          <w:p w14:paraId="507CC39F" w14:textId="29946849" w:rsidR="009617C5" w:rsidRDefault="001C44B6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Rockminster</w:t>
            </w:r>
            <w:proofErr w:type="spellEnd"/>
          </w:p>
        </w:tc>
        <w:tc>
          <w:tcPr>
            <w:tcW w:w="1708" w:type="pct"/>
          </w:tcPr>
          <w:p w14:paraId="5D6987F9" w14:textId="3D06299E" w:rsidR="009617C5" w:rsidRDefault="007D4170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 updates prior to submission</w:t>
            </w:r>
          </w:p>
        </w:tc>
      </w:tr>
      <w:tr w:rsidR="009617C5" w:rsidRPr="002B2E87" w14:paraId="1D323AED" w14:textId="77777777" w:rsidTr="00C0520E">
        <w:tc>
          <w:tcPr>
            <w:tcW w:w="535" w:type="pct"/>
          </w:tcPr>
          <w:p w14:paraId="6EA9F33D" w14:textId="6CFB261E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1" w:type="pct"/>
          </w:tcPr>
          <w:p w14:paraId="08E56A2B" w14:textId="0B26DD0E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14:paraId="6426A299" w14:textId="663144BC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3938C384" w14:textId="079B26EF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14:paraId="51B16310" w14:textId="0F27DECD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617C5" w:rsidRPr="002B2E87" w14:paraId="2F037CB0" w14:textId="77777777" w:rsidTr="00C0520E">
        <w:tc>
          <w:tcPr>
            <w:tcW w:w="535" w:type="pct"/>
          </w:tcPr>
          <w:p w14:paraId="4BAC1086" w14:textId="4F5F27E2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1" w:type="pct"/>
          </w:tcPr>
          <w:p w14:paraId="2302BC93" w14:textId="40210F92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14:paraId="3B09095A" w14:textId="7E81442B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64B89324" w14:textId="5F1D34D9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14:paraId="17F1B6EE" w14:textId="79F24A66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sectPr w:rsidR="002B2E87" w:rsidRPr="002B2E8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DBFE" w14:textId="77777777" w:rsidR="003F4AED" w:rsidRDefault="003F4AED" w:rsidP="00324744">
      <w:pPr>
        <w:spacing w:after="0" w:line="240" w:lineRule="auto"/>
      </w:pPr>
      <w:r>
        <w:separator/>
      </w:r>
    </w:p>
  </w:endnote>
  <w:endnote w:type="continuationSeparator" w:id="0">
    <w:p w14:paraId="40D2351F" w14:textId="77777777" w:rsidR="003F4AED" w:rsidRDefault="003F4AED" w:rsidP="00324744">
      <w:pPr>
        <w:spacing w:after="0" w:line="240" w:lineRule="auto"/>
      </w:pPr>
      <w:r>
        <w:continuationSeparator/>
      </w:r>
    </w:p>
  </w:endnote>
  <w:endnote w:type="continuationNotice" w:id="1">
    <w:p w14:paraId="2B4FCD29" w14:textId="77777777" w:rsidR="003F4AED" w:rsidRDefault="003F4A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6E8D71E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D445" w14:textId="77777777" w:rsidR="003F4AED" w:rsidRDefault="003F4AED" w:rsidP="00324744">
      <w:pPr>
        <w:spacing w:after="0" w:line="240" w:lineRule="auto"/>
      </w:pPr>
      <w:r>
        <w:separator/>
      </w:r>
    </w:p>
  </w:footnote>
  <w:footnote w:type="continuationSeparator" w:id="0">
    <w:p w14:paraId="56F195E3" w14:textId="77777777" w:rsidR="003F4AED" w:rsidRDefault="003F4AED" w:rsidP="00324744">
      <w:pPr>
        <w:spacing w:after="0" w:line="240" w:lineRule="auto"/>
      </w:pPr>
      <w:r>
        <w:continuationSeparator/>
      </w:r>
    </w:p>
  </w:footnote>
  <w:footnote w:type="continuationNotice" w:id="1">
    <w:p w14:paraId="3ADBD856" w14:textId="77777777" w:rsidR="003F4AED" w:rsidRDefault="003F4A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7EEC532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6510"/>
    <w:multiLevelType w:val="hybridMultilevel"/>
    <w:tmpl w:val="C362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B69"/>
    <w:multiLevelType w:val="hybridMultilevel"/>
    <w:tmpl w:val="648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D5"/>
    <w:multiLevelType w:val="hybridMultilevel"/>
    <w:tmpl w:val="078E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3490">
    <w:abstractNumId w:val="5"/>
  </w:num>
  <w:num w:numId="2" w16cid:durableId="92240687">
    <w:abstractNumId w:val="6"/>
  </w:num>
  <w:num w:numId="3" w16cid:durableId="303853229">
    <w:abstractNumId w:val="4"/>
  </w:num>
  <w:num w:numId="4" w16cid:durableId="572469659">
    <w:abstractNumId w:val="9"/>
  </w:num>
  <w:num w:numId="5" w16cid:durableId="921329722">
    <w:abstractNumId w:val="0"/>
  </w:num>
  <w:num w:numId="6" w16cid:durableId="1417902854">
    <w:abstractNumId w:val="14"/>
  </w:num>
  <w:num w:numId="7" w16cid:durableId="1819153252">
    <w:abstractNumId w:val="1"/>
  </w:num>
  <w:num w:numId="8" w16cid:durableId="312682557">
    <w:abstractNumId w:val="11"/>
  </w:num>
  <w:num w:numId="9" w16cid:durableId="1910648864">
    <w:abstractNumId w:val="17"/>
  </w:num>
  <w:num w:numId="10" w16cid:durableId="79955215">
    <w:abstractNumId w:val="10"/>
  </w:num>
  <w:num w:numId="11" w16cid:durableId="1095397717">
    <w:abstractNumId w:val="3"/>
  </w:num>
  <w:num w:numId="12" w16cid:durableId="326638473">
    <w:abstractNumId w:val="2"/>
  </w:num>
  <w:num w:numId="13" w16cid:durableId="2076933293">
    <w:abstractNumId w:val="16"/>
  </w:num>
  <w:num w:numId="14" w16cid:durableId="1352418102">
    <w:abstractNumId w:val="8"/>
  </w:num>
  <w:num w:numId="15" w16cid:durableId="771900100">
    <w:abstractNumId w:val="15"/>
  </w:num>
  <w:num w:numId="16" w16cid:durableId="696934076">
    <w:abstractNumId w:val="7"/>
  </w:num>
  <w:num w:numId="17" w16cid:durableId="492373549">
    <w:abstractNumId w:val="13"/>
  </w:num>
  <w:num w:numId="18" w16cid:durableId="720523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7A4"/>
    <w:rsid w:val="0000299E"/>
    <w:rsid w:val="000041D6"/>
    <w:rsid w:val="00006BB6"/>
    <w:rsid w:val="00006E29"/>
    <w:rsid w:val="00010986"/>
    <w:rsid w:val="00010EB6"/>
    <w:rsid w:val="00011681"/>
    <w:rsid w:val="00013365"/>
    <w:rsid w:val="00014007"/>
    <w:rsid w:val="00014747"/>
    <w:rsid w:val="00014DA2"/>
    <w:rsid w:val="00016736"/>
    <w:rsid w:val="00016CD3"/>
    <w:rsid w:val="0001772D"/>
    <w:rsid w:val="000223FF"/>
    <w:rsid w:val="000229F1"/>
    <w:rsid w:val="0002511B"/>
    <w:rsid w:val="000251F2"/>
    <w:rsid w:val="000257F7"/>
    <w:rsid w:val="00025955"/>
    <w:rsid w:val="0003136C"/>
    <w:rsid w:val="00035EB2"/>
    <w:rsid w:val="00036325"/>
    <w:rsid w:val="00036423"/>
    <w:rsid w:val="000368F5"/>
    <w:rsid w:val="0003758F"/>
    <w:rsid w:val="00040B7E"/>
    <w:rsid w:val="0004141D"/>
    <w:rsid w:val="00042DB8"/>
    <w:rsid w:val="000433BD"/>
    <w:rsid w:val="00043629"/>
    <w:rsid w:val="0004417B"/>
    <w:rsid w:val="0004427F"/>
    <w:rsid w:val="00045346"/>
    <w:rsid w:val="00045E44"/>
    <w:rsid w:val="000471A3"/>
    <w:rsid w:val="000503C6"/>
    <w:rsid w:val="0005068E"/>
    <w:rsid w:val="0005209B"/>
    <w:rsid w:val="00055749"/>
    <w:rsid w:val="0005577C"/>
    <w:rsid w:val="00055F7C"/>
    <w:rsid w:val="000560C0"/>
    <w:rsid w:val="00057653"/>
    <w:rsid w:val="000579FD"/>
    <w:rsid w:val="00057AFE"/>
    <w:rsid w:val="00057F11"/>
    <w:rsid w:val="0006032B"/>
    <w:rsid w:val="000608B3"/>
    <w:rsid w:val="00060E2B"/>
    <w:rsid w:val="000612CE"/>
    <w:rsid w:val="00061BCD"/>
    <w:rsid w:val="000620C4"/>
    <w:rsid w:val="0006230E"/>
    <w:rsid w:val="00062E9C"/>
    <w:rsid w:val="00062EB0"/>
    <w:rsid w:val="00065105"/>
    <w:rsid w:val="00065459"/>
    <w:rsid w:val="00066EA4"/>
    <w:rsid w:val="0007385F"/>
    <w:rsid w:val="00074E0A"/>
    <w:rsid w:val="00074FDE"/>
    <w:rsid w:val="0007561C"/>
    <w:rsid w:val="00075669"/>
    <w:rsid w:val="000759A1"/>
    <w:rsid w:val="000774B8"/>
    <w:rsid w:val="000778AE"/>
    <w:rsid w:val="00077DB3"/>
    <w:rsid w:val="0008015E"/>
    <w:rsid w:val="000807EF"/>
    <w:rsid w:val="000818D5"/>
    <w:rsid w:val="000825B6"/>
    <w:rsid w:val="0008363C"/>
    <w:rsid w:val="00083E49"/>
    <w:rsid w:val="00084714"/>
    <w:rsid w:val="00086F14"/>
    <w:rsid w:val="000870F3"/>
    <w:rsid w:val="000909E7"/>
    <w:rsid w:val="000932A6"/>
    <w:rsid w:val="00093D54"/>
    <w:rsid w:val="0009489D"/>
    <w:rsid w:val="00094AA2"/>
    <w:rsid w:val="000958A5"/>
    <w:rsid w:val="00095B8A"/>
    <w:rsid w:val="000972CB"/>
    <w:rsid w:val="0009754E"/>
    <w:rsid w:val="00097557"/>
    <w:rsid w:val="000A09DA"/>
    <w:rsid w:val="000A1AD1"/>
    <w:rsid w:val="000A4611"/>
    <w:rsid w:val="000A4EFA"/>
    <w:rsid w:val="000A5402"/>
    <w:rsid w:val="000A66E9"/>
    <w:rsid w:val="000A6A9E"/>
    <w:rsid w:val="000A71BB"/>
    <w:rsid w:val="000A7C5C"/>
    <w:rsid w:val="000B1B5B"/>
    <w:rsid w:val="000B1D95"/>
    <w:rsid w:val="000B26DE"/>
    <w:rsid w:val="000B2E95"/>
    <w:rsid w:val="000B332E"/>
    <w:rsid w:val="000B406F"/>
    <w:rsid w:val="000B411F"/>
    <w:rsid w:val="000B6963"/>
    <w:rsid w:val="000B7262"/>
    <w:rsid w:val="000B73EA"/>
    <w:rsid w:val="000B7CF3"/>
    <w:rsid w:val="000C16E1"/>
    <w:rsid w:val="000C2380"/>
    <w:rsid w:val="000C2924"/>
    <w:rsid w:val="000C3EC6"/>
    <w:rsid w:val="000C6E46"/>
    <w:rsid w:val="000C74D3"/>
    <w:rsid w:val="000D05B9"/>
    <w:rsid w:val="000D16ED"/>
    <w:rsid w:val="000D252F"/>
    <w:rsid w:val="000D654C"/>
    <w:rsid w:val="000E0DC2"/>
    <w:rsid w:val="000E0F2A"/>
    <w:rsid w:val="000E0F8B"/>
    <w:rsid w:val="000E1463"/>
    <w:rsid w:val="000E16C9"/>
    <w:rsid w:val="000E2279"/>
    <w:rsid w:val="000E3819"/>
    <w:rsid w:val="000E44D6"/>
    <w:rsid w:val="000E55B0"/>
    <w:rsid w:val="000E5E54"/>
    <w:rsid w:val="000E6261"/>
    <w:rsid w:val="000E6BC8"/>
    <w:rsid w:val="000E7134"/>
    <w:rsid w:val="000F2D15"/>
    <w:rsid w:val="000F4E5A"/>
    <w:rsid w:val="000F6542"/>
    <w:rsid w:val="00101151"/>
    <w:rsid w:val="00103179"/>
    <w:rsid w:val="00103FC5"/>
    <w:rsid w:val="00104664"/>
    <w:rsid w:val="001067A1"/>
    <w:rsid w:val="001078EA"/>
    <w:rsid w:val="001105B3"/>
    <w:rsid w:val="00110FBF"/>
    <w:rsid w:val="0011133F"/>
    <w:rsid w:val="001123AF"/>
    <w:rsid w:val="00112D74"/>
    <w:rsid w:val="00115508"/>
    <w:rsid w:val="001175BE"/>
    <w:rsid w:val="00120018"/>
    <w:rsid w:val="001207D8"/>
    <w:rsid w:val="001228C7"/>
    <w:rsid w:val="00122F88"/>
    <w:rsid w:val="00123D49"/>
    <w:rsid w:val="00125B61"/>
    <w:rsid w:val="001270A2"/>
    <w:rsid w:val="00127356"/>
    <w:rsid w:val="00127D07"/>
    <w:rsid w:val="0013031C"/>
    <w:rsid w:val="00130457"/>
    <w:rsid w:val="00130C4B"/>
    <w:rsid w:val="00131FD0"/>
    <w:rsid w:val="00134E0E"/>
    <w:rsid w:val="001353D7"/>
    <w:rsid w:val="00135C0D"/>
    <w:rsid w:val="00136998"/>
    <w:rsid w:val="00137CB9"/>
    <w:rsid w:val="00143EFF"/>
    <w:rsid w:val="001446C2"/>
    <w:rsid w:val="00144E00"/>
    <w:rsid w:val="00146DE4"/>
    <w:rsid w:val="00150CFF"/>
    <w:rsid w:val="00150D38"/>
    <w:rsid w:val="0015137D"/>
    <w:rsid w:val="001516F4"/>
    <w:rsid w:val="001525F1"/>
    <w:rsid w:val="001531E7"/>
    <w:rsid w:val="001535E6"/>
    <w:rsid w:val="001540DC"/>
    <w:rsid w:val="00154AE1"/>
    <w:rsid w:val="001556A4"/>
    <w:rsid w:val="00157073"/>
    <w:rsid w:val="0016147C"/>
    <w:rsid w:val="00164810"/>
    <w:rsid w:val="00165114"/>
    <w:rsid w:val="0016553E"/>
    <w:rsid w:val="0016617B"/>
    <w:rsid w:val="0016667F"/>
    <w:rsid w:val="001709C2"/>
    <w:rsid w:val="00172D81"/>
    <w:rsid w:val="001742CE"/>
    <w:rsid w:val="00174786"/>
    <w:rsid w:val="00175116"/>
    <w:rsid w:val="001771A2"/>
    <w:rsid w:val="00180F82"/>
    <w:rsid w:val="00181F6D"/>
    <w:rsid w:val="00182A46"/>
    <w:rsid w:val="00183A53"/>
    <w:rsid w:val="001852E1"/>
    <w:rsid w:val="00186E8F"/>
    <w:rsid w:val="001916E5"/>
    <w:rsid w:val="00191D7E"/>
    <w:rsid w:val="00192E23"/>
    <w:rsid w:val="00192E27"/>
    <w:rsid w:val="001936FC"/>
    <w:rsid w:val="0019390D"/>
    <w:rsid w:val="00193F34"/>
    <w:rsid w:val="001942F6"/>
    <w:rsid w:val="00195FBE"/>
    <w:rsid w:val="00196973"/>
    <w:rsid w:val="001A0C4E"/>
    <w:rsid w:val="001A1531"/>
    <w:rsid w:val="001A303F"/>
    <w:rsid w:val="001A30AA"/>
    <w:rsid w:val="001A4748"/>
    <w:rsid w:val="001A6A59"/>
    <w:rsid w:val="001A6D80"/>
    <w:rsid w:val="001A73D2"/>
    <w:rsid w:val="001B0848"/>
    <w:rsid w:val="001B706C"/>
    <w:rsid w:val="001B7D77"/>
    <w:rsid w:val="001B7DC1"/>
    <w:rsid w:val="001C0877"/>
    <w:rsid w:val="001C107B"/>
    <w:rsid w:val="001C13D3"/>
    <w:rsid w:val="001C15F7"/>
    <w:rsid w:val="001C1A4B"/>
    <w:rsid w:val="001C2BA4"/>
    <w:rsid w:val="001C2DB1"/>
    <w:rsid w:val="001C44B6"/>
    <w:rsid w:val="001C627D"/>
    <w:rsid w:val="001C6C3E"/>
    <w:rsid w:val="001C7566"/>
    <w:rsid w:val="001D0FA0"/>
    <w:rsid w:val="001D247D"/>
    <w:rsid w:val="001D275E"/>
    <w:rsid w:val="001D5B76"/>
    <w:rsid w:val="001D5C9C"/>
    <w:rsid w:val="001D668B"/>
    <w:rsid w:val="001D69A1"/>
    <w:rsid w:val="001E0531"/>
    <w:rsid w:val="001E0B85"/>
    <w:rsid w:val="001E18B0"/>
    <w:rsid w:val="001E2626"/>
    <w:rsid w:val="001E26D5"/>
    <w:rsid w:val="001E329A"/>
    <w:rsid w:val="001E373F"/>
    <w:rsid w:val="001E398E"/>
    <w:rsid w:val="001E3C5C"/>
    <w:rsid w:val="001E4F06"/>
    <w:rsid w:val="001E6419"/>
    <w:rsid w:val="001E6D34"/>
    <w:rsid w:val="001F350A"/>
    <w:rsid w:val="001F7621"/>
    <w:rsid w:val="001F7F6F"/>
    <w:rsid w:val="00203FBC"/>
    <w:rsid w:val="002041D0"/>
    <w:rsid w:val="00204973"/>
    <w:rsid w:val="00204B36"/>
    <w:rsid w:val="00206F95"/>
    <w:rsid w:val="0021305D"/>
    <w:rsid w:val="00220376"/>
    <w:rsid w:val="0022126F"/>
    <w:rsid w:val="00221538"/>
    <w:rsid w:val="00223385"/>
    <w:rsid w:val="002233F5"/>
    <w:rsid w:val="00223716"/>
    <w:rsid w:val="002251F1"/>
    <w:rsid w:val="0022604D"/>
    <w:rsid w:val="00226D34"/>
    <w:rsid w:val="00230C12"/>
    <w:rsid w:val="002317F2"/>
    <w:rsid w:val="0023324C"/>
    <w:rsid w:val="00233305"/>
    <w:rsid w:val="00234F5A"/>
    <w:rsid w:val="00236472"/>
    <w:rsid w:val="00240A00"/>
    <w:rsid w:val="00242C0A"/>
    <w:rsid w:val="002466AB"/>
    <w:rsid w:val="002468DD"/>
    <w:rsid w:val="00246F5D"/>
    <w:rsid w:val="00247A8B"/>
    <w:rsid w:val="002512D9"/>
    <w:rsid w:val="00251F1C"/>
    <w:rsid w:val="002528DB"/>
    <w:rsid w:val="00253465"/>
    <w:rsid w:val="002539AB"/>
    <w:rsid w:val="00254336"/>
    <w:rsid w:val="0026046A"/>
    <w:rsid w:val="00260F79"/>
    <w:rsid w:val="002617C6"/>
    <w:rsid w:val="00263B6E"/>
    <w:rsid w:val="002658DF"/>
    <w:rsid w:val="00265EE3"/>
    <w:rsid w:val="0026663B"/>
    <w:rsid w:val="00266EF3"/>
    <w:rsid w:val="002677DA"/>
    <w:rsid w:val="0027026C"/>
    <w:rsid w:val="002707BF"/>
    <w:rsid w:val="0027091E"/>
    <w:rsid w:val="00270B01"/>
    <w:rsid w:val="00273F45"/>
    <w:rsid w:val="002753CD"/>
    <w:rsid w:val="002765FA"/>
    <w:rsid w:val="00281B23"/>
    <w:rsid w:val="0028280B"/>
    <w:rsid w:val="0028280D"/>
    <w:rsid w:val="00283C33"/>
    <w:rsid w:val="00283FD9"/>
    <w:rsid w:val="00286D0E"/>
    <w:rsid w:val="00287F2C"/>
    <w:rsid w:val="00290735"/>
    <w:rsid w:val="00290C3C"/>
    <w:rsid w:val="00290CDA"/>
    <w:rsid w:val="00290F15"/>
    <w:rsid w:val="002911B5"/>
    <w:rsid w:val="00291315"/>
    <w:rsid w:val="00291A42"/>
    <w:rsid w:val="00291D86"/>
    <w:rsid w:val="00292474"/>
    <w:rsid w:val="00294684"/>
    <w:rsid w:val="00294CA5"/>
    <w:rsid w:val="00294DE9"/>
    <w:rsid w:val="00295370"/>
    <w:rsid w:val="00295D27"/>
    <w:rsid w:val="00296239"/>
    <w:rsid w:val="00296772"/>
    <w:rsid w:val="002A090D"/>
    <w:rsid w:val="002A1FC5"/>
    <w:rsid w:val="002A2143"/>
    <w:rsid w:val="002A43D6"/>
    <w:rsid w:val="002A554E"/>
    <w:rsid w:val="002A5FD3"/>
    <w:rsid w:val="002A66F7"/>
    <w:rsid w:val="002A6742"/>
    <w:rsid w:val="002A78BC"/>
    <w:rsid w:val="002A7EB5"/>
    <w:rsid w:val="002B04DD"/>
    <w:rsid w:val="002B11B2"/>
    <w:rsid w:val="002B27C5"/>
    <w:rsid w:val="002B2B02"/>
    <w:rsid w:val="002B2E87"/>
    <w:rsid w:val="002B4221"/>
    <w:rsid w:val="002B44AE"/>
    <w:rsid w:val="002B4FD7"/>
    <w:rsid w:val="002B5742"/>
    <w:rsid w:val="002B57B1"/>
    <w:rsid w:val="002B69C7"/>
    <w:rsid w:val="002C3BF9"/>
    <w:rsid w:val="002C58D6"/>
    <w:rsid w:val="002C6572"/>
    <w:rsid w:val="002C7B8F"/>
    <w:rsid w:val="002C7DFB"/>
    <w:rsid w:val="002D1F9D"/>
    <w:rsid w:val="002D653F"/>
    <w:rsid w:val="002D683D"/>
    <w:rsid w:val="002D7018"/>
    <w:rsid w:val="002D7026"/>
    <w:rsid w:val="002D745C"/>
    <w:rsid w:val="002D74BA"/>
    <w:rsid w:val="002D7A48"/>
    <w:rsid w:val="002E24A2"/>
    <w:rsid w:val="002E31D5"/>
    <w:rsid w:val="002E511B"/>
    <w:rsid w:val="002E5DA3"/>
    <w:rsid w:val="002E7662"/>
    <w:rsid w:val="002F1120"/>
    <w:rsid w:val="002F16E5"/>
    <w:rsid w:val="002F1B28"/>
    <w:rsid w:val="002F2BA9"/>
    <w:rsid w:val="002F5086"/>
    <w:rsid w:val="002F51C1"/>
    <w:rsid w:val="002F5CD5"/>
    <w:rsid w:val="002F5DCA"/>
    <w:rsid w:val="002F6CC9"/>
    <w:rsid w:val="003016CC"/>
    <w:rsid w:val="00302F1A"/>
    <w:rsid w:val="00303A14"/>
    <w:rsid w:val="00303E07"/>
    <w:rsid w:val="003045B1"/>
    <w:rsid w:val="0030619C"/>
    <w:rsid w:val="0030630D"/>
    <w:rsid w:val="00306F47"/>
    <w:rsid w:val="00311365"/>
    <w:rsid w:val="003138F6"/>
    <w:rsid w:val="003141B1"/>
    <w:rsid w:val="0031660D"/>
    <w:rsid w:val="003167FE"/>
    <w:rsid w:val="003171BA"/>
    <w:rsid w:val="00323EF3"/>
    <w:rsid w:val="00324744"/>
    <w:rsid w:val="00325F3A"/>
    <w:rsid w:val="0032604C"/>
    <w:rsid w:val="003270E3"/>
    <w:rsid w:val="00327CA0"/>
    <w:rsid w:val="00330CC3"/>
    <w:rsid w:val="00330F6D"/>
    <w:rsid w:val="00331F8E"/>
    <w:rsid w:val="00332325"/>
    <w:rsid w:val="0033543C"/>
    <w:rsid w:val="00336F7E"/>
    <w:rsid w:val="00337E5B"/>
    <w:rsid w:val="00340205"/>
    <w:rsid w:val="0034298D"/>
    <w:rsid w:val="0034304D"/>
    <w:rsid w:val="00345850"/>
    <w:rsid w:val="00345937"/>
    <w:rsid w:val="00345DA8"/>
    <w:rsid w:val="00351DBF"/>
    <w:rsid w:val="003520F8"/>
    <w:rsid w:val="00352185"/>
    <w:rsid w:val="003536C6"/>
    <w:rsid w:val="0035622F"/>
    <w:rsid w:val="00356379"/>
    <w:rsid w:val="00361571"/>
    <w:rsid w:val="00361C67"/>
    <w:rsid w:val="00362DF5"/>
    <w:rsid w:val="003631E6"/>
    <w:rsid w:val="00363F91"/>
    <w:rsid w:val="00364E89"/>
    <w:rsid w:val="00365051"/>
    <w:rsid w:val="003650B4"/>
    <w:rsid w:val="0036515E"/>
    <w:rsid w:val="0036721C"/>
    <w:rsid w:val="0036771B"/>
    <w:rsid w:val="00370FBF"/>
    <w:rsid w:val="0037133A"/>
    <w:rsid w:val="0037145E"/>
    <w:rsid w:val="00372AF4"/>
    <w:rsid w:val="00373D5C"/>
    <w:rsid w:val="00374984"/>
    <w:rsid w:val="003772D6"/>
    <w:rsid w:val="00377544"/>
    <w:rsid w:val="003822CA"/>
    <w:rsid w:val="00383052"/>
    <w:rsid w:val="00383D4F"/>
    <w:rsid w:val="00385069"/>
    <w:rsid w:val="00385ADF"/>
    <w:rsid w:val="00386C13"/>
    <w:rsid w:val="00386DD6"/>
    <w:rsid w:val="003910C0"/>
    <w:rsid w:val="003917D7"/>
    <w:rsid w:val="00391B4E"/>
    <w:rsid w:val="00392806"/>
    <w:rsid w:val="00392D22"/>
    <w:rsid w:val="00395B9D"/>
    <w:rsid w:val="0039741E"/>
    <w:rsid w:val="00397A48"/>
    <w:rsid w:val="003A00F7"/>
    <w:rsid w:val="003A0A81"/>
    <w:rsid w:val="003A56B0"/>
    <w:rsid w:val="003A57E3"/>
    <w:rsid w:val="003A68F3"/>
    <w:rsid w:val="003B125F"/>
    <w:rsid w:val="003B2395"/>
    <w:rsid w:val="003B35CD"/>
    <w:rsid w:val="003B52D6"/>
    <w:rsid w:val="003C04A7"/>
    <w:rsid w:val="003C1098"/>
    <w:rsid w:val="003C2BA1"/>
    <w:rsid w:val="003C3B5C"/>
    <w:rsid w:val="003C3D6B"/>
    <w:rsid w:val="003C4226"/>
    <w:rsid w:val="003C4FE1"/>
    <w:rsid w:val="003C56A2"/>
    <w:rsid w:val="003C5A46"/>
    <w:rsid w:val="003C79B7"/>
    <w:rsid w:val="003D3C55"/>
    <w:rsid w:val="003D486E"/>
    <w:rsid w:val="003E04A9"/>
    <w:rsid w:val="003E1EC0"/>
    <w:rsid w:val="003E26B0"/>
    <w:rsid w:val="003E3022"/>
    <w:rsid w:val="003E4886"/>
    <w:rsid w:val="003E595D"/>
    <w:rsid w:val="003E6D41"/>
    <w:rsid w:val="003E76C8"/>
    <w:rsid w:val="003F1189"/>
    <w:rsid w:val="003F2791"/>
    <w:rsid w:val="003F3198"/>
    <w:rsid w:val="003F3251"/>
    <w:rsid w:val="003F338D"/>
    <w:rsid w:val="003F4AED"/>
    <w:rsid w:val="003F509A"/>
    <w:rsid w:val="003F51E3"/>
    <w:rsid w:val="003F568E"/>
    <w:rsid w:val="003F6B37"/>
    <w:rsid w:val="003F6E17"/>
    <w:rsid w:val="004002B1"/>
    <w:rsid w:val="00401A1F"/>
    <w:rsid w:val="004020FB"/>
    <w:rsid w:val="004023BF"/>
    <w:rsid w:val="0040241C"/>
    <w:rsid w:val="004037F9"/>
    <w:rsid w:val="004038F0"/>
    <w:rsid w:val="00407371"/>
    <w:rsid w:val="00407373"/>
    <w:rsid w:val="00407E5B"/>
    <w:rsid w:val="004101BA"/>
    <w:rsid w:val="0041043A"/>
    <w:rsid w:val="00411DD9"/>
    <w:rsid w:val="00411F01"/>
    <w:rsid w:val="00411FB4"/>
    <w:rsid w:val="0041328B"/>
    <w:rsid w:val="004133E3"/>
    <w:rsid w:val="004134DD"/>
    <w:rsid w:val="00413659"/>
    <w:rsid w:val="0041534E"/>
    <w:rsid w:val="00417C23"/>
    <w:rsid w:val="0042046E"/>
    <w:rsid w:val="004206E8"/>
    <w:rsid w:val="00420BA0"/>
    <w:rsid w:val="00420CFB"/>
    <w:rsid w:val="0042165F"/>
    <w:rsid w:val="004224DF"/>
    <w:rsid w:val="00422C7A"/>
    <w:rsid w:val="004250C5"/>
    <w:rsid w:val="00426807"/>
    <w:rsid w:val="0042704B"/>
    <w:rsid w:val="00427F02"/>
    <w:rsid w:val="00431E5E"/>
    <w:rsid w:val="00432201"/>
    <w:rsid w:val="004324AF"/>
    <w:rsid w:val="00433764"/>
    <w:rsid w:val="004345AE"/>
    <w:rsid w:val="00434AC6"/>
    <w:rsid w:val="00434BEE"/>
    <w:rsid w:val="00436C36"/>
    <w:rsid w:val="00441315"/>
    <w:rsid w:val="0044312D"/>
    <w:rsid w:val="0044312E"/>
    <w:rsid w:val="00443425"/>
    <w:rsid w:val="00443694"/>
    <w:rsid w:val="00445256"/>
    <w:rsid w:val="00445D18"/>
    <w:rsid w:val="004461BC"/>
    <w:rsid w:val="004467DB"/>
    <w:rsid w:val="00450D37"/>
    <w:rsid w:val="0045266B"/>
    <w:rsid w:val="0045742C"/>
    <w:rsid w:val="00460DA0"/>
    <w:rsid w:val="00463EB7"/>
    <w:rsid w:val="0046467E"/>
    <w:rsid w:val="0046499A"/>
    <w:rsid w:val="004650A2"/>
    <w:rsid w:val="00465538"/>
    <w:rsid w:val="0046780A"/>
    <w:rsid w:val="00470600"/>
    <w:rsid w:val="00470A39"/>
    <w:rsid w:val="00473262"/>
    <w:rsid w:val="00475661"/>
    <w:rsid w:val="00475BAB"/>
    <w:rsid w:val="00476907"/>
    <w:rsid w:val="00477C07"/>
    <w:rsid w:val="00477D87"/>
    <w:rsid w:val="004817E2"/>
    <w:rsid w:val="004822B0"/>
    <w:rsid w:val="00485DB1"/>
    <w:rsid w:val="00487C4F"/>
    <w:rsid w:val="00487E4D"/>
    <w:rsid w:val="004903EF"/>
    <w:rsid w:val="004903FD"/>
    <w:rsid w:val="0049103B"/>
    <w:rsid w:val="00491D60"/>
    <w:rsid w:val="00492F06"/>
    <w:rsid w:val="00492F86"/>
    <w:rsid w:val="00493083"/>
    <w:rsid w:val="00494E5C"/>
    <w:rsid w:val="00497DE7"/>
    <w:rsid w:val="004A0A34"/>
    <w:rsid w:val="004A24D8"/>
    <w:rsid w:val="004A31F0"/>
    <w:rsid w:val="004A35CC"/>
    <w:rsid w:val="004A4941"/>
    <w:rsid w:val="004A5084"/>
    <w:rsid w:val="004A5384"/>
    <w:rsid w:val="004A6524"/>
    <w:rsid w:val="004A675A"/>
    <w:rsid w:val="004A7196"/>
    <w:rsid w:val="004B0977"/>
    <w:rsid w:val="004B0CB9"/>
    <w:rsid w:val="004B16E0"/>
    <w:rsid w:val="004B2CAB"/>
    <w:rsid w:val="004B34C8"/>
    <w:rsid w:val="004B5879"/>
    <w:rsid w:val="004B5DDF"/>
    <w:rsid w:val="004C2371"/>
    <w:rsid w:val="004C3277"/>
    <w:rsid w:val="004C3840"/>
    <w:rsid w:val="004C3A76"/>
    <w:rsid w:val="004C4382"/>
    <w:rsid w:val="004C4A01"/>
    <w:rsid w:val="004C5D53"/>
    <w:rsid w:val="004C6FFA"/>
    <w:rsid w:val="004C7509"/>
    <w:rsid w:val="004C7C75"/>
    <w:rsid w:val="004D02BC"/>
    <w:rsid w:val="004D06B5"/>
    <w:rsid w:val="004D0B72"/>
    <w:rsid w:val="004D0C0E"/>
    <w:rsid w:val="004D1060"/>
    <w:rsid w:val="004D22D8"/>
    <w:rsid w:val="004D32E8"/>
    <w:rsid w:val="004D5721"/>
    <w:rsid w:val="004D68A7"/>
    <w:rsid w:val="004E0869"/>
    <w:rsid w:val="004E102B"/>
    <w:rsid w:val="004E151D"/>
    <w:rsid w:val="004E3EFE"/>
    <w:rsid w:val="004E4855"/>
    <w:rsid w:val="004E604B"/>
    <w:rsid w:val="004E630F"/>
    <w:rsid w:val="004E6C88"/>
    <w:rsid w:val="004E78CA"/>
    <w:rsid w:val="004F095D"/>
    <w:rsid w:val="004F1627"/>
    <w:rsid w:val="004F226A"/>
    <w:rsid w:val="004F2953"/>
    <w:rsid w:val="004F3362"/>
    <w:rsid w:val="004F48AC"/>
    <w:rsid w:val="004F5FAD"/>
    <w:rsid w:val="004F7AC5"/>
    <w:rsid w:val="00502BD0"/>
    <w:rsid w:val="00504147"/>
    <w:rsid w:val="00505225"/>
    <w:rsid w:val="00505A92"/>
    <w:rsid w:val="00506384"/>
    <w:rsid w:val="0051318E"/>
    <w:rsid w:val="00513D37"/>
    <w:rsid w:val="005144BB"/>
    <w:rsid w:val="005156C2"/>
    <w:rsid w:val="00515EC5"/>
    <w:rsid w:val="00517F6F"/>
    <w:rsid w:val="00520780"/>
    <w:rsid w:val="005230DF"/>
    <w:rsid w:val="0052496E"/>
    <w:rsid w:val="005249FC"/>
    <w:rsid w:val="00525557"/>
    <w:rsid w:val="00526CED"/>
    <w:rsid w:val="00527333"/>
    <w:rsid w:val="00531E79"/>
    <w:rsid w:val="00532937"/>
    <w:rsid w:val="00533EC4"/>
    <w:rsid w:val="00536416"/>
    <w:rsid w:val="00537435"/>
    <w:rsid w:val="00537DCD"/>
    <w:rsid w:val="00537FFA"/>
    <w:rsid w:val="0054088A"/>
    <w:rsid w:val="00540CC7"/>
    <w:rsid w:val="00540FDC"/>
    <w:rsid w:val="00541792"/>
    <w:rsid w:val="00541A57"/>
    <w:rsid w:val="00543428"/>
    <w:rsid w:val="00543672"/>
    <w:rsid w:val="00544F5A"/>
    <w:rsid w:val="00545BDD"/>
    <w:rsid w:val="00546939"/>
    <w:rsid w:val="005470B9"/>
    <w:rsid w:val="0055011F"/>
    <w:rsid w:val="00550EFE"/>
    <w:rsid w:val="00550F57"/>
    <w:rsid w:val="0055298E"/>
    <w:rsid w:val="005531A4"/>
    <w:rsid w:val="005538E6"/>
    <w:rsid w:val="00554A0E"/>
    <w:rsid w:val="0055528B"/>
    <w:rsid w:val="00555A8E"/>
    <w:rsid w:val="0055608D"/>
    <w:rsid w:val="00560924"/>
    <w:rsid w:val="005617E4"/>
    <w:rsid w:val="00563280"/>
    <w:rsid w:val="00563377"/>
    <w:rsid w:val="00564566"/>
    <w:rsid w:val="00564777"/>
    <w:rsid w:val="00570041"/>
    <w:rsid w:val="00572355"/>
    <w:rsid w:val="00572B62"/>
    <w:rsid w:val="0057305B"/>
    <w:rsid w:val="0057592B"/>
    <w:rsid w:val="005768BD"/>
    <w:rsid w:val="0058353E"/>
    <w:rsid w:val="005845CC"/>
    <w:rsid w:val="00584722"/>
    <w:rsid w:val="00584C20"/>
    <w:rsid w:val="0058602E"/>
    <w:rsid w:val="005864A5"/>
    <w:rsid w:val="00586C9D"/>
    <w:rsid w:val="0058700B"/>
    <w:rsid w:val="00590448"/>
    <w:rsid w:val="00591949"/>
    <w:rsid w:val="00591CEA"/>
    <w:rsid w:val="00592987"/>
    <w:rsid w:val="005931DD"/>
    <w:rsid w:val="00595C56"/>
    <w:rsid w:val="005964A0"/>
    <w:rsid w:val="005966B6"/>
    <w:rsid w:val="00597E73"/>
    <w:rsid w:val="00597F80"/>
    <w:rsid w:val="005A00C0"/>
    <w:rsid w:val="005A0A28"/>
    <w:rsid w:val="005A0ACF"/>
    <w:rsid w:val="005A153A"/>
    <w:rsid w:val="005A2B58"/>
    <w:rsid w:val="005A3503"/>
    <w:rsid w:val="005A3993"/>
    <w:rsid w:val="005A47AA"/>
    <w:rsid w:val="005A53C3"/>
    <w:rsid w:val="005A5C2D"/>
    <w:rsid w:val="005A6114"/>
    <w:rsid w:val="005A660B"/>
    <w:rsid w:val="005A680F"/>
    <w:rsid w:val="005A6CEB"/>
    <w:rsid w:val="005B08CE"/>
    <w:rsid w:val="005B19C1"/>
    <w:rsid w:val="005B3BAA"/>
    <w:rsid w:val="005B407D"/>
    <w:rsid w:val="005B4293"/>
    <w:rsid w:val="005B4A6F"/>
    <w:rsid w:val="005B7AD6"/>
    <w:rsid w:val="005C059D"/>
    <w:rsid w:val="005C325D"/>
    <w:rsid w:val="005C446F"/>
    <w:rsid w:val="005C44B3"/>
    <w:rsid w:val="005D0CC1"/>
    <w:rsid w:val="005D16CA"/>
    <w:rsid w:val="005D1E7E"/>
    <w:rsid w:val="005D1F1B"/>
    <w:rsid w:val="005D1F43"/>
    <w:rsid w:val="005D3AC7"/>
    <w:rsid w:val="005D40A8"/>
    <w:rsid w:val="005D4B41"/>
    <w:rsid w:val="005D4F5D"/>
    <w:rsid w:val="005D55A3"/>
    <w:rsid w:val="005E1C66"/>
    <w:rsid w:val="005E2260"/>
    <w:rsid w:val="005E2838"/>
    <w:rsid w:val="005E4D31"/>
    <w:rsid w:val="005E6DE5"/>
    <w:rsid w:val="005F1990"/>
    <w:rsid w:val="005F19A3"/>
    <w:rsid w:val="005F23D7"/>
    <w:rsid w:val="005F37C2"/>
    <w:rsid w:val="005F418D"/>
    <w:rsid w:val="005F59E0"/>
    <w:rsid w:val="005F5B67"/>
    <w:rsid w:val="005F673F"/>
    <w:rsid w:val="005F7D44"/>
    <w:rsid w:val="00603820"/>
    <w:rsid w:val="006069BE"/>
    <w:rsid w:val="00607F85"/>
    <w:rsid w:val="00610390"/>
    <w:rsid w:val="0061348C"/>
    <w:rsid w:val="00613E31"/>
    <w:rsid w:val="00616A27"/>
    <w:rsid w:val="00616DD0"/>
    <w:rsid w:val="00617345"/>
    <w:rsid w:val="00617A3C"/>
    <w:rsid w:val="0062016E"/>
    <w:rsid w:val="006204A2"/>
    <w:rsid w:val="0062085B"/>
    <w:rsid w:val="00622202"/>
    <w:rsid w:val="00622783"/>
    <w:rsid w:val="00622A6D"/>
    <w:rsid w:val="006238F8"/>
    <w:rsid w:val="00623F98"/>
    <w:rsid w:val="0062593D"/>
    <w:rsid w:val="00626FC5"/>
    <w:rsid w:val="006275B2"/>
    <w:rsid w:val="006300B9"/>
    <w:rsid w:val="00632AF8"/>
    <w:rsid w:val="0063343D"/>
    <w:rsid w:val="00634A05"/>
    <w:rsid w:val="00635874"/>
    <w:rsid w:val="00635B86"/>
    <w:rsid w:val="006363F3"/>
    <w:rsid w:val="00636B0A"/>
    <w:rsid w:val="00642AD7"/>
    <w:rsid w:val="0064383D"/>
    <w:rsid w:val="00644F7A"/>
    <w:rsid w:val="00646043"/>
    <w:rsid w:val="006507A0"/>
    <w:rsid w:val="006507DD"/>
    <w:rsid w:val="00650B5E"/>
    <w:rsid w:val="00651354"/>
    <w:rsid w:val="00653173"/>
    <w:rsid w:val="00655A41"/>
    <w:rsid w:val="00656367"/>
    <w:rsid w:val="00660CA9"/>
    <w:rsid w:val="00662760"/>
    <w:rsid w:val="006643E9"/>
    <w:rsid w:val="006657A1"/>
    <w:rsid w:val="00665C20"/>
    <w:rsid w:val="00666035"/>
    <w:rsid w:val="0066616B"/>
    <w:rsid w:val="006668AF"/>
    <w:rsid w:val="00667D87"/>
    <w:rsid w:val="00667F77"/>
    <w:rsid w:val="00672C70"/>
    <w:rsid w:val="0067549F"/>
    <w:rsid w:val="00676453"/>
    <w:rsid w:val="006769AC"/>
    <w:rsid w:val="00677270"/>
    <w:rsid w:val="006777C8"/>
    <w:rsid w:val="00677C69"/>
    <w:rsid w:val="00680861"/>
    <w:rsid w:val="006810CF"/>
    <w:rsid w:val="00681F46"/>
    <w:rsid w:val="00682C0C"/>
    <w:rsid w:val="00684003"/>
    <w:rsid w:val="006842A9"/>
    <w:rsid w:val="006843DD"/>
    <w:rsid w:val="0068628A"/>
    <w:rsid w:val="006870DE"/>
    <w:rsid w:val="00687F1E"/>
    <w:rsid w:val="00690D16"/>
    <w:rsid w:val="00691B44"/>
    <w:rsid w:val="00692D9E"/>
    <w:rsid w:val="006936E1"/>
    <w:rsid w:val="0069454C"/>
    <w:rsid w:val="006A0B23"/>
    <w:rsid w:val="006A2BA0"/>
    <w:rsid w:val="006A3A0E"/>
    <w:rsid w:val="006A7370"/>
    <w:rsid w:val="006B1E55"/>
    <w:rsid w:val="006B37E7"/>
    <w:rsid w:val="006B3854"/>
    <w:rsid w:val="006B5219"/>
    <w:rsid w:val="006B5C3C"/>
    <w:rsid w:val="006B5E4F"/>
    <w:rsid w:val="006C06F2"/>
    <w:rsid w:val="006C09B4"/>
    <w:rsid w:val="006C0F13"/>
    <w:rsid w:val="006C1B6E"/>
    <w:rsid w:val="006C228D"/>
    <w:rsid w:val="006C2C66"/>
    <w:rsid w:val="006C3805"/>
    <w:rsid w:val="006C542E"/>
    <w:rsid w:val="006C6330"/>
    <w:rsid w:val="006C7029"/>
    <w:rsid w:val="006D423B"/>
    <w:rsid w:val="006D433E"/>
    <w:rsid w:val="006D4434"/>
    <w:rsid w:val="006D44C5"/>
    <w:rsid w:val="006D461D"/>
    <w:rsid w:val="006D4B3E"/>
    <w:rsid w:val="006D5230"/>
    <w:rsid w:val="006D5D08"/>
    <w:rsid w:val="006D5E6F"/>
    <w:rsid w:val="006E43D9"/>
    <w:rsid w:val="006E583D"/>
    <w:rsid w:val="006E5B4C"/>
    <w:rsid w:val="006E6DDA"/>
    <w:rsid w:val="006E7218"/>
    <w:rsid w:val="006F062B"/>
    <w:rsid w:val="006F11A4"/>
    <w:rsid w:val="006F1AE5"/>
    <w:rsid w:val="006F307C"/>
    <w:rsid w:val="006F3DB0"/>
    <w:rsid w:val="006F3E55"/>
    <w:rsid w:val="007004AF"/>
    <w:rsid w:val="00701329"/>
    <w:rsid w:val="00702702"/>
    <w:rsid w:val="00703F5A"/>
    <w:rsid w:val="00705C13"/>
    <w:rsid w:val="00705C86"/>
    <w:rsid w:val="00706010"/>
    <w:rsid w:val="00706CBE"/>
    <w:rsid w:val="00707200"/>
    <w:rsid w:val="00707442"/>
    <w:rsid w:val="00707B37"/>
    <w:rsid w:val="00711D5B"/>
    <w:rsid w:val="00711DA8"/>
    <w:rsid w:val="00712243"/>
    <w:rsid w:val="007123BF"/>
    <w:rsid w:val="00712B49"/>
    <w:rsid w:val="0071648B"/>
    <w:rsid w:val="007172CE"/>
    <w:rsid w:val="00717699"/>
    <w:rsid w:val="00722648"/>
    <w:rsid w:val="00723079"/>
    <w:rsid w:val="00724049"/>
    <w:rsid w:val="007243D3"/>
    <w:rsid w:val="00725E9C"/>
    <w:rsid w:val="007265CA"/>
    <w:rsid w:val="00730ACF"/>
    <w:rsid w:val="00734B40"/>
    <w:rsid w:val="00735F2C"/>
    <w:rsid w:val="00737013"/>
    <w:rsid w:val="00741098"/>
    <w:rsid w:val="00742128"/>
    <w:rsid w:val="007426F4"/>
    <w:rsid w:val="00743C50"/>
    <w:rsid w:val="00743EB3"/>
    <w:rsid w:val="00744317"/>
    <w:rsid w:val="00745D01"/>
    <w:rsid w:val="0074646A"/>
    <w:rsid w:val="00746EF9"/>
    <w:rsid w:val="00750E30"/>
    <w:rsid w:val="007516E1"/>
    <w:rsid w:val="00754351"/>
    <w:rsid w:val="007545B7"/>
    <w:rsid w:val="007549BA"/>
    <w:rsid w:val="00755B92"/>
    <w:rsid w:val="00756292"/>
    <w:rsid w:val="00756D08"/>
    <w:rsid w:val="00760FCA"/>
    <w:rsid w:val="007647A7"/>
    <w:rsid w:val="0076501F"/>
    <w:rsid w:val="00765648"/>
    <w:rsid w:val="00765AB3"/>
    <w:rsid w:val="00765CC3"/>
    <w:rsid w:val="00772BC2"/>
    <w:rsid w:val="0077431A"/>
    <w:rsid w:val="007766FC"/>
    <w:rsid w:val="00781263"/>
    <w:rsid w:val="00785B00"/>
    <w:rsid w:val="0079016D"/>
    <w:rsid w:val="00790295"/>
    <w:rsid w:val="00791386"/>
    <w:rsid w:val="007922AC"/>
    <w:rsid w:val="00793374"/>
    <w:rsid w:val="00793CC8"/>
    <w:rsid w:val="00794E22"/>
    <w:rsid w:val="00795ACE"/>
    <w:rsid w:val="00797529"/>
    <w:rsid w:val="00797CAB"/>
    <w:rsid w:val="007A00B6"/>
    <w:rsid w:val="007A05A1"/>
    <w:rsid w:val="007A17E4"/>
    <w:rsid w:val="007A27D2"/>
    <w:rsid w:val="007A2935"/>
    <w:rsid w:val="007A330A"/>
    <w:rsid w:val="007A3777"/>
    <w:rsid w:val="007A56DB"/>
    <w:rsid w:val="007A7F69"/>
    <w:rsid w:val="007B0A23"/>
    <w:rsid w:val="007B2ABF"/>
    <w:rsid w:val="007B63A1"/>
    <w:rsid w:val="007B666A"/>
    <w:rsid w:val="007B68F8"/>
    <w:rsid w:val="007B76D8"/>
    <w:rsid w:val="007B79DF"/>
    <w:rsid w:val="007C0752"/>
    <w:rsid w:val="007C119E"/>
    <w:rsid w:val="007C2148"/>
    <w:rsid w:val="007C2644"/>
    <w:rsid w:val="007C4968"/>
    <w:rsid w:val="007C4F43"/>
    <w:rsid w:val="007C52CE"/>
    <w:rsid w:val="007C71D5"/>
    <w:rsid w:val="007D0CB5"/>
    <w:rsid w:val="007D2AFB"/>
    <w:rsid w:val="007D4170"/>
    <w:rsid w:val="007D4D28"/>
    <w:rsid w:val="007D4E45"/>
    <w:rsid w:val="007D4F26"/>
    <w:rsid w:val="007D5801"/>
    <w:rsid w:val="007D5D6C"/>
    <w:rsid w:val="007D68DD"/>
    <w:rsid w:val="007D74D9"/>
    <w:rsid w:val="007E3B77"/>
    <w:rsid w:val="007E5A1A"/>
    <w:rsid w:val="007E5E73"/>
    <w:rsid w:val="007E5EC3"/>
    <w:rsid w:val="007E604B"/>
    <w:rsid w:val="007E60E2"/>
    <w:rsid w:val="007E649B"/>
    <w:rsid w:val="007E6BC1"/>
    <w:rsid w:val="007E755F"/>
    <w:rsid w:val="007F351A"/>
    <w:rsid w:val="007F5501"/>
    <w:rsid w:val="007F6275"/>
    <w:rsid w:val="007F6CBE"/>
    <w:rsid w:val="008006C9"/>
    <w:rsid w:val="00800F15"/>
    <w:rsid w:val="0080116D"/>
    <w:rsid w:val="0080149E"/>
    <w:rsid w:val="00801CE0"/>
    <w:rsid w:val="00802485"/>
    <w:rsid w:val="008026AC"/>
    <w:rsid w:val="0080492D"/>
    <w:rsid w:val="00806333"/>
    <w:rsid w:val="00806442"/>
    <w:rsid w:val="00806B17"/>
    <w:rsid w:val="00810786"/>
    <w:rsid w:val="00810C5C"/>
    <w:rsid w:val="00813076"/>
    <w:rsid w:val="00815847"/>
    <w:rsid w:val="008158C1"/>
    <w:rsid w:val="008177C1"/>
    <w:rsid w:val="00817F39"/>
    <w:rsid w:val="00823757"/>
    <w:rsid w:val="00823D1B"/>
    <w:rsid w:val="00825094"/>
    <w:rsid w:val="00826CF4"/>
    <w:rsid w:val="00827695"/>
    <w:rsid w:val="00830F52"/>
    <w:rsid w:val="00831A7A"/>
    <w:rsid w:val="0083252E"/>
    <w:rsid w:val="00834203"/>
    <w:rsid w:val="00834D83"/>
    <w:rsid w:val="00835D2F"/>
    <w:rsid w:val="00835E78"/>
    <w:rsid w:val="00837F67"/>
    <w:rsid w:val="00840BF5"/>
    <w:rsid w:val="00840F4F"/>
    <w:rsid w:val="00841378"/>
    <w:rsid w:val="00842917"/>
    <w:rsid w:val="0084405F"/>
    <w:rsid w:val="00845605"/>
    <w:rsid w:val="00845AC9"/>
    <w:rsid w:val="00845D46"/>
    <w:rsid w:val="00846B1C"/>
    <w:rsid w:val="00847195"/>
    <w:rsid w:val="00854D64"/>
    <w:rsid w:val="008573DE"/>
    <w:rsid w:val="00857E35"/>
    <w:rsid w:val="008605F5"/>
    <w:rsid w:val="008611B4"/>
    <w:rsid w:val="008613DB"/>
    <w:rsid w:val="008616F0"/>
    <w:rsid w:val="00861793"/>
    <w:rsid w:val="00865076"/>
    <w:rsid w:val="00865BB9"/>
    <w:rsid w:val="00873B2A"/>
    <w:rsid w:val="008770BB"/>
    <w:rsid w:val="008775AF"/>
    <w:rsid w:val="0088076A"/>
    <w:rsid w:val="00883040"/>
    <w:rsid w:val="00886946"/>
    <w:rsid w:val="00886E75"/>
    <w:rsid w:val="008906A3"/>
    <w:rsid w:val="00891794"/>
    <w:rsid w:val="00891CF0"/>
    <w:rsid w:val="00891E51"/>
    <w:rsid w:val="00892840"/>
    <w:rsid w:val="00893050"/>
    <w:rsid w:val="0089305E"/>
    <w:rsid w:val="00893298"/>
    <w:rsid w:val="00894AAF"/>
    <w:rsid w:val="00895F20"/>
    <w:rsid w:val="00896180"/>
    <w:rsid w:val="00896A0D"/>
    <w:rsid w:val="008977AA"/>
    <w:rsid w:val="008A2138"/>
    <w:rsid w:val="008A22D6"/>
    <w:rsid w:val="008A2C31"/>
    <w:rsid w:val="008A4FFC"/>
    <w:rsid w:val="008A53FA"/>
    <w:rsid w:val="008A55AB"/>
    <w:rsid w:val="008B1C2E"/>
    <w:rsid w:val="008B2B47"/>
    <w:rsid w:val="008B3815"/>
    <w:rsid w:val="008B497B"/>
    <w:rsid w:val="008B5120"/>
    <w:rsid w:val="008B7706"/>
    <w:rsid w:val="008B79C2"/>
    <w:rsid w:val="008C6359"/>
    <w:rsid w:val="008C7629"/>
    <w:rsid w:val="008D1540"/>
    <w:rsid w:val="008D33D1"/>
    <w:rsid w:val="008D3762"/>
    <w:rsid w:val="008D4898"/>
    <w:rsid w:val="008D61F3"/>
    <w:rsid w:val="008D6278"/>
    <w:rsid w:val="008E2FB2"/>
    <w:rsid w:val="008E32C9"/>
    <w:rsid w:val="008E3496"/>
    <w:rsid w:val="008E40B3"/>
    <w:rsid w:val="008E458F"/>
    <w:rsid w:val="008E4C82"/>
    <w:rsid w:val="008E7564"/>
    <w:rsid w:val="008E9538"/>
    <w:rsid w:val="008F192B"/>
    <w:rsid w:val="008F247A"/>
    <w:rsid w:val="008F496C"/>
    <w:rsid w:val="008F611C"/>
    <w:rsid w:val="008F63AC"/>
    <w:rsid w:val="008F7493"/>
    <w:rsid w:val="008F7A7B"/>
    <w:rsid w:val="008F7D34"/>
    <w:rsid w:val="00900AAB"/>
    <w:rsid w:val="00900B95"/>
    <w:rsid w:val="00900F10"/>
    <w:rsid w:val="00900FB4"/>
    <w:rsid w:val="00901F73"/>
    <w:rsid w:val="009029E8"/>
    <w:rsid w:val="00903B63"/>
    <w:rsid w:val="00904855"/>
    <w:rsid w:val="009070A3"/>
    <w:rsid w:val="00907531"/>
    <w:rsid w:val="00907BA9"/>
    <w:rsid w:val="009128B1"/>
    <w:rsid w:val="00914F93"/>
    <w:rsid w:val="00915026"/>
    <w:rsid w:val="009151BD"/>
    <w:rsid w:val="009165C9"/>
    <w:rsid w:val="00916754"/>
    <w:rsid w:val="00916F72"/>
    <w:rsid w:val="009203F6"/>
    <w:rsid w:val="00922F4C"/>
    <w:rsid w:val="00925DCB"/>
    <w:rsid w:val="009278E5"/>
    <w:rsid w:val="00930C38"/>
    <w:rsid w:val="00931DE0"/>
    <w:rsid w:val="00932034"/>
    <w:rsid w:val="0093540E"/>
    <w:rsid w:val="009364D3"/>
    <w:rsid w:val="009369E4"/>
    <w:rsid w:val="00940604"/>
    <w:rsid w:val="009408F0"/>
    <w:rsid w:val="0094137E"/>
    <w:rsid w:val="009436FD"/>
    <w:rsid w:val="00943D13"/>
    <w:rsid w:val="0094462E"/>
    <w:rsid w:val="00944770"/>
    <w:rsid w:val="00944FE0"/>
    <w:rsid w:val="009454A8"/>
    <w:rsid w:val="0094734A"/>
    <w:rsid w:val="00947AB0"/>
    <w:rsid w:val="00950C49"/>
    <w:rsid w:val="00951E68"/>
    <w:rsid w:val="009526E4"/>
    <w:rsid w:val="00955E5F"/>
    <w:rsid w:val="009567F5"/>
    <w:rsid w:val="00956F75"/>
    <w:rsid w:val="0096009C"/>
    <w:rsid w:val="009608A3"/>
    <w:rsid w:val="009617C5"/>
    <w:rsid w:val="00963309"/>
    <w:rsid w:val="00964A50"/>
    <w:rsid w:val="00966866"/>
    <w:rsid w:val="00970A73"/>
    <w:rsid w:val="00971142"/>
    <w:rsid w:val="00972082"/>
    <w:rsid w:val="009733BE"/>
    <w:rsid w:val="009735AF"/>
    <w:rsid w:val="009736A2"/>
    <w:rsid w:val="0097393B"/>
    <w:rsid w:val="009747D7"/>
    <w:rsid w:val="0097511E"/>
    <w:rsid w:val="009756C0"/>
    <w:rsid w:val="00975BC5"/>
    <w:rsid w:val="0098213A"/>
    <w:rsid w:val="00982681"/>
    <w:rsid w:val="00983B1E"/>
    <w:rsid w:val="00984DA6"/>
    <w:rsid w:val="00985869"/>
    <w:rsid w:val="00990B99"/>
    <w:rsid w:val="00991029"/>
    <w:rsid w:val="009929BD"/>
    <w:rsid w:val="00992A4B"/>
    <w:rsid w:val="00992C0B"/>
    <w:rsid w:val="00995536"/>
    <w:rsid w:val="0099595C"/>
    <w:rsid w:val="00996250"/>
    <w:rsid w:val="00997B59"/>
    <w:rsid w:val="009A0DD5"/>
    <w:rsid w:val="009A1BEE"/>
    <w:rsid w:val="009A3837"/>
    <w:rsid w:val="009A39B8"/>
    <w:rsid w:val="009A42C3"/>
    <w:rsid w:val="009A43B9"/>
    <w:rsid w:val="009A5735"/>
    <w:rsid w:val="009A5980"/>
    <w:rsid w:val="009B06B4"/>
    <w:rsid w:val="009B4078"/>
    <w:rsid w:val="009B5BD1"/>
    <w:rsid w:val="009B7ABC"/>
    <w:rsid w:val="009C19E9"/>
    <w:rsid w:val="009C3A09"/>
    <w:rsid w:val="009C433B"/>
    <w:rsid w:val="009C4788"/>
    <w:rsid w:val="009C5805"/>
    <w:rsid w:val="009C5881"/>
    <w:rsid w:val="009D3190"/>
    <w:rsid w:val="009D35A6"/>
    <w:rsid w:val="009D464C"/>
    <w:rsid w:val="009D4A01"/>
    <w:rsid w:val="009D51E0"/>
    <w:rsid w:val="009D63E3"/>
    <w:rsid w:val="009E1C52"/>
    <w:rsid w:val="009E2DF8"/>
    <w:rsid w:val="009E3962"/>
    <w:rsid w:val="009E41D8"/>
    <w:rsid w:val="009E53AA"/>
    <w:rsid w:val="009E564A"/>
    <w:rsid w:val="009E7CA6"/>
    <w:rsid w:val="009F04DE"/>
    <w:rsid w:val="009F3251"/>
    <w:rsid w:val="009F3A8C"/>
    <w:rsid w:val="009F5D13"/>
    <w:rsid w:val="009F71E5"/>
    <w:rsid w:val="00A005A3"/>
    <w:rsid w:val="00A01251"/>
    <w:rsid w:val="00A015F7"/>
    <w:rsid w:val="00A028B8"/>
    <w:rsid w:val="00A02994"/>
    <w:rsid w:val="00A04AD5"/>
    <w:rsid w:val="00A04D14"/>
    <w:rsid w:val="00A060C5"/>
    <w:rsid w:val="00A107AC"/>
    <w:rsid w:val="00A1212C"/>
    <w:rsid w:val="00A13B7D"/>
    <w:rsid w:val="00A16D5C"/>
    <w:rsid w:val="00A2250A"/>
    <w:rsid w:val="00A22702"/>
    <w:rsid w:val="00A27D44"/>
    <w:rsid w:val="00A32438"/>
    <w:rsid w:val="00A338AC"/>
    <w:rsid w:val="00A34021"/>
    <w:rsid w:val="00A36180"/>
    <w:rsid w:val="00A36430"/>
    <w:rsid w:val="00A40AEA"/>
    <w:rsid w:val="00A419D8"/>
    <w:rsid w:val="00A41B5D"/>
    <w:rsid w:val="00A422CD"/>
    <w:rsid w:val="00A451D3"/>
    <w:rsid w:val="00A476C8"/>
    <w:rsid w:val="00A52DEF"/>
    <w:rsid w:val="00A552B6"/>
    <w:rsid w:val="00A55429"/>
    <w:rsid w:val="00A571D0"/>
    <w:rsid w:val="00A602B2"/>
    <w:rsid w:val="00A60823"/>
    <w:rsid w:val="00A611B9"/>
    <w:rsid w:val="00A62080"/>
    <w:rsid w:val="00A62FAF"/>
    <w:rsid w:val="00A714EA"/>
    <w:rsid w:val="00A720BB"/>
    <w:rsid w:val="00A72687"/>
    <w:rsid w:val="00A72FB8"/>
    <w:rsid w:val="00A73CC3"/>
    <w:rsid w:val="00A747D8"/>
    <w:rsid w:val="00A75332"/>
    <w:rsid w:val="00A75F85"/>
    <w:rsid w:val="00A7688A"/>
    <w:rsid w:val="00A8007D"/>
    <w:rsid w:val="00A8140C"/>
    <w:rsid w:val="00A81F1A"/>
    <w:rsid w:val="00A82548"/>
    <w:rsid w:val="00A83436"/>
    <w:rsid w:val="00A8357C"/>
    <w:rsid w:val="00A83F49"/>
    <w:rsid w:val="00A843C2"/>
    <w:rsid w:val="00A858AE"/>
    <w:rsid w:val="00A85E89"/>
    <w:rsid w:val="00A8684A"/>
    <w:rsid w:val="00A91BED"/>
    <w:rsid w:val="00A920FB"/>
    <w:rsid w:val="00A9226F"/>
    <w:rsid w:val="00A92DBC"/>
    <w:rsid w:val="00A94562"/>
    <w:rsid w:val="00A94845"/>
    <w:rsid w:val="00A96DCE"/>
    <w:rsid w:val="00A97DF8"/>
    <w:rsid w:val="00AA1081"/>
    <w:rsid w:val="00AA235F"/>
    <w:rsid w:val="00AA2FF8"/>
    <w:rsid w:val="00AB290C"/>
    <w:rsid w:val="00AB5B54"/>
    <w:rsid w:val="00AB63DE"/>
    <w:rsid w:val="00AB666F"/>
    <w:rsid w:val="00AC2244"/>
    <w:rsid w:val="00AC3B3A"/>
    <w:rsid w:val="00AC4B9E"/>
    <w:rsid w:val="00AC4E6B"/>
    <w:rsid w:val="00AC53A8"/>
    <w:rsid w:val="00AC5B22"/>
    <w:rsid w:val="00AC5B65"/>
    <w:rsid w:val="00AC5FC0"/>
    <w:rsid w:val="00AC670F"/>
    <w:rsid w:val="00AC7022"/>
    <w:rsid w:val="00AD03E3"/>
    <w:rsid w:val="00AD3715"/>
    <w:rsid w:val="00AD54C9"/>
    <w:rsid w:val="00AD5778"/>
    <w:rsid w:val="00AD77B9"/>
    <w:rsid w:val="00AE1D3D"/>
    <w:rsid w:val="00AE20DD"/>
    <w:rsid w:val="00AE2302"/>
    <w:rsid w:val="00AE298F"/>
    <w:rsid w:val="00AE31DA"/>
    <w:rsid w:val="00AE33C8"/>
    <w:rsid w:val="00AE33FB"/>
    <w:rsid w:val="00AE5F7F"/>
    <w:rsid w:val="00AE76AD"/>
    <w:rsid w:val="00AF3920"/>
    <w:rsid w:val="00AF3B49"/>
    <w:rsid w:val="00AF3B7B"/>
    <w:rsid w:val="00AF3E44"/>
    <w:rsid w:val="00AF635B"/>
    <w:rsid w:val="00AF6941"/>
    <w:rsid w:val="00AF70A0"/>
    <w:rsid w:val="00B02E70"/>
    <w:rsid w:val="00B03E33"/>
    <w:rsid w:val="00B07780"/>
    <w:rsid w:val="00B10135"/>
    <w:rsid w:val="00B12469"/>
    <w:rsid w:val="00B13330"/>
    <w:rsid w:val="00B13C27"/>
    <w:rsid w:val="00B229D6"/>
    <w:rsid w:val="00B243B8"/>
    <w:rsid w:val="00B31489"/>
    <w:rsid w:val="00B3369E"/>
    <w:rsid w:val="00B33D35"/>
    <w:rsid w:val="00B33E2C"/>
    <w:rsid w:val="00B33EAC"/>
    <w:rsid w:val="00B34CAA"/>
    <w:rsid w:val="00B34DE8"/>
    <w:rsid w:val="00B3593B"/>
    <w:rsid w:val="00B35999"/>
    <w:rsid w:val="00B35AEC"/>
    <w:rsid w:val="00B36854"/>
    <w:rsid w:val="00B37A31"/>
    <w:rsid w:val="00B37CC9"/>
    <w:rsid w:val="00B40445"/>
    <w:rsid w:val="00B40C97"/>
    <w:rsid w:val="00B41BFA"/>
    <w:rsid w:val="00B41C64"/>
    <w:rsid w:val="00B41E08"/>
    <w:rsid w:val="00B41FDB"/>
    <w:rsid w:val="00B42EF3"/>
    <w:rsid w:val="00B43A8D"/>
    <w:rsid w:val="00B44FD9"/>
    <w:rsid w:val="00B4637B"/>
    <w:rsid w:val="00B46CE1"/>
    <w:rsid w:val="00B4794F"/>
    <w:rsid w:val="00B47993"/>
    <w:rsid w:val="00B50D30"/>
    <w:rsid w:val="00B50F65"/>
    <w:rsid w:val="00B53DDE"/>
    <w:rsid w:val="00B5405B"/>
    <w:rsid w:val="00B5496A"/>
    <w:rsid w:val="00B56DBF"/>
    <w:rsid w:val="00B64E4A"/>
    <w:rsid w:val="00B66AF9"/>
    <w:rsid w:val="00B71538"/>
    <w:rsid w:val="00B7195F"/>
    <w:rsid w:val="00B719B1"/>
    <w:rsid w:val="00B7346C"/>
    <w:rsid w:val="00B749E4"/>
    <w:rsid w:val="00B763B9"/>
    <w:rsid w:val="00B763CF"/>
    <w:rsid w:val="00B765EB"/>
    <w:rsid w:val="00B77013"/>
    <w:rsid w:val="00B80324"/>
    <w:rsid w:val="00B803BB"/>
    <w:rsid w:val="00B81BDB"/>
    <w:rsid w:val="00B81D5D"/>
    <w:rsid w:val="00B827C6"/>
    <w:rsid w:val="00B85AFF"/>
    <w:rsid w:val="00B8723A"/>
    <w:rsid w:val="00B915EB"/>
    <w:rsid w:val="00B91BE7"/>
    <w:rsid w:val="00B92FB9"/>
    <w:rsid w:val="00B93782"/>
    <w:rsid w:val="00B93DED"/>
    <w:rsid w:val="00B945A7"/>
    <w:rsid w:val="00B957D3"/>
    <w:rsid w:val="00B95BC2"/>
    <w:rsid w:val="00B96504"/>
    <w:rsid w:val="00B9672F"/>
    <w:rsid w:val="00BA0971"/>
    <w:rsid w:val="00BA0DBB"/>
    <w:rsid w:val="00BA13D1"/>
    <w:rsid w:val="00BA1C0D"/>
    <w:rsid w:val="00BA2C96"/>
    <w:rsid w:val="00BA3A3F"/>
    <w:rsid w:val="00BA3E76"/>
    <w:rsid w:val="00BA3EE0"/>
    <w:rsid w:val="00BA5BF1"/>
    <w:rsid w:val="00BA6435"/>
    <w:rsid w:val="00BA6734"/>
    <w:rsid w:val="00BB1A00"/>
    <w:rsid w:val="00BB251D"/>
    <w:rsid w:val="00BB42E9"/>
    <w:rsid w:val="00BB5EEE"/>
    <w:rsid w:val="00BB713C"/>
    <w:rsid w:val="00BB76FA"/>
    <w:rsid w:val="00BC16F6"/>
    <w:rsid w:val="00BC1A99"/>
    <w:rsid w:val="00BC1C21"/>
    <w:rsid w:val="00BC2E58"/>
    <w:rsid w:val="00BC3D10"/>
    <w:rsid w:val="00BC4379"/>
    <w:rsid w:val="00BC4DFE"/>
    <w:rsid w:val="00BC5967"/>
    <w:rsid w:val="00BC7FC9"/>
    <w:rsid w:val="00BD0214"/>
    <w:rsid w:val="00BD0A45"/>
    <w:rsid w:val="00BD0BB6"/>
    <w:rsid w:val="00BD0E99"/>
    <w:rsid w:val="00BD1798"/>
    <w:rsid w:val="00BD389E"/>
    <w:rsid w:val="00BD3A5A"/>
    <w:rsid w:val="00BD4DD4"/>
    <w:rsid w:val="00BD6433"/>
    <w:rsid w:val="00BD662A"/>
    <w:rsid w:val="00BE15D4"/>
    <w:rsid w:val="00BE2E78"/>
    <w:rsid w:val="00BF2FBE"/>
    <w:rsid w:val="00BF30AF"/>
    <w:rsid w:val="00BF3DF4"/>
    <w:rsid w:val="00BF4C6E"/>
    <w:rsid w:val="00BF66FB"/>
    <w:rsid w:val="00BF761E"/>
    <w:rsid w:val="00C016C4"/>
    <w:rsid w:val="00C02D87"/>
    <w:rsid w:val="00C04AEC"/>
    <w:rsid w:val="00C0520E"/>
    <w:rsid w:val="00C06ABF"/>
    <w:rsid w:val="00C07933"/>
    <w:rsid w:val="00C111BF"/>
    <w:rsid w:val="00C11DBE"/>
    <w:rsid w:val="00C1282D"/>
    <w:rsid w:val="00C133A0"/>
    <w:rsid w:val="00C147D6"/>
    <w:rsid w:val="00C15C81"/>
    <w:rsid w:val="00C17454"/>
    <w:rsid w:val="00C202D5"/>
    <w:rsid w:val="00C226CF"/>
    <w:rsid w:val="00C23388"/>
    <w:rsid w:val="00C23BE7"/>
    <w:rsid w:val="00C23CEE"/>
    <w:rsid w:val="00C23DCF"/>
    <w:rsid w:val="00C25F07"/>
    <w:rsid w:val="00C2750D"/>
    <w:rsid w:val="00C279BD"/>
    <w:rsid w:val="00C31751"/>
    <w:rsid w:val="00C3295A"/>
    <w:rsid w:val="00C33D91"/>
    <w:rsid w:val="00C352F0"/>
    <w:rsid w:val="00C354E4"/>
    <w:rsid w:val="00C3594E"/>
    <w:rsid w:val="00C36EC3"/>
    <w:rsid w:val="00C37DEF"/>
    <w:rsid w:val="00C407A1"/>
    <w:rsid w:val="00C413BC"/>
    <w:rsid w:val="00C41B72"/>
    <w:rsid w:val="00C42F63"/>
    <w:rsid w:val="00C4330F"/>
    <w:rsid w:val="00C45843"/>
    <w:rsid w:val="00C47390"/>
    <w:rsid w:val="00C474CE"/>
    <w:rsid w:val="00C50B49"/>
    <w:rsid w:val="00C523DF"/>
    <w:rsid w:val="00C52D70"/>
    <w:rsid w:val="00C5304D"/>
    <w:rsid w:val="00C531AD"/>
    <w:rsid w:val="00C54CBB"/>
    <w:rsid w:val="00C556E9"/>
    <w:rsid w:val="00C56BBB"/>
    <w:rsid w:val="00C56FC5"/>
    <w:rsid w:val="00C571CE"/>
    <w:rsid w:val="00C5751B"/>
    <w:rsid w:val="00C57A0A"/>
    <w:rsid w:val="00C57CED"/>
    <w:rsid w:val="00C620E5"/>
    <w:rsid w:val="00C64291"/>
    <w:rsid w:val="00C64854"/>
    <w:rsid w:val="00C64B33"/>
    <w:rsid w:val="00C6529A"/>
    <w:rsid w:val="00C661DD"/>
    <w:rsid w:val="00C66347"/>
    <w:rsid w:val="00C66D40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003E"/>
    <w:rsid w:val="00C801A7"/>
    <w:rsid w:val="00C811E7"/>
    <w:rsid w:val="00C81CB1"/>
    <w:rsid w:val="00C8254B"/>
    <w:rsid w:val="00C8261C"/>
    <w:rsid w:val="00C82898"/>
    <w:rsid w:val="00C83698"/>
    <w:rsid w:val="00C873DC"/>
    <w:rsid w:val="00C87499"/>
    <w:rsid w:val="00C907E2"/>
    <w:rsid w:val="00C90A8A"/>
    <w:rsid w:val="00C90D8F"/>
    <w:rsid w:val="00C90F49"/>
    <w:rsid w:val="00C913E7"/>
    <w:rsid w:val="00C91D43"/>
    <w:rsid w:val="00C91E2F"/>
    <w:rsid w:val="00C92201"/>
    <w:rsid w:val="00C922A8"/>
    <w:rsid w:val="00C9295D"/>
    <w:rsid w:val="00C9328A"/>
    <w:rsid w:val="00C94964"/>
    <w:rsid w:val="00C967C0"/>
    <w:rsid w:val="00C96857"/>
    <w:rsid w:val="00C97875"/>
    <w:rsid w:val="00C97B3F"/>
    <w:rsid w:val="00C97E08"/>
    <w:rsid w:val="00CA0D53"/>
    <w:rsid w:val="00CA3177"/>
    <w:rsid w:val="00CA3866"/>
    <w:rsid w:val="00CA4840"/>
    <w:rsid w:val="00CA51E8"/>
    <w:rsid w:val="00CA5B3B"/>
    <w:rsid w:val="00CA5E86"/>
    <w:rsid w:val="00CA6F57"/>
    <w:rsid w:val="00CB0065"/>
    <w:rsid w:val="00CB043F"/>
    <w:rsid w:val="00CB0E14"/>
    <w:rsid w:val="00CB27FE"/>
    <w:rsid w:val="00CB2E35"/>
    <w:rsid w:val="00CB3588"/>
    <w:rsid w:val="00CB3A29"/>
    <w:rsid w:val="00CB3DC0"/>
    <w:rsid w:val="00CB572F"/>
    <w:rsid w:val="00CB5746"/>
    <w:rsid w:val="00CB63B9"/>
    <w:rsid w:val="00CB6DCB"/>
    <w:rsid w:val="00CB70CD"/>
    <w:rsid w:val="00CC0E20"/>
    <w:rsid w:val="00CC2ADC"/>
    <w:rsid w:val="00CC5EB7"/>
    <w:rsid w:val="00CC68F6"/>
    <w:rsid w:val="00CC755B"/>
    <w:rsid w:val="00CC7F24"/>
    <w:rsid w:val="00CD187B"/>
    <w:rsid w:val="00CD3310"/>
    <w:rsid w:val="00CD3547"/>
    <w:rsid w:val="00CD35A1"/>
    <w:rsid w:val="00CD3B81"/>
    <w:rsid w:val="00CD4BAA"/>
    <w:rsid w:val="00CD56CA"/>
    <w:rsid w:val="00CD69CD"/>
    <w:rsid w:val="00CD6A21"/>
    <w:rsid w:val="00CD7E18"/>
    <w:rsid w:val="00CD7F4C"/>
    <w:rsid w:val="00CE01BC"/>
    <w:rsid w:val="00CE2FFD"/>
    <w:rsid w:val="00CE3DA9"/>
    <w:rsid w:val="00CE4DB2"/>
    <w:rsid w:val="00CE7241"/>
    <w:rsid w:val="00CE7B88"/>
    <w:rsid w:val="00CF074C"/>
    <w:rsid w:val="00CF37EC"/>
    <w:rsid w:val="00CF39FE"/>
    <w:rsid w:val="00CF5DB5"/>
    <w:rsid w:val="00D009D5"/>
    <w:rsid w:val="00D00C96"/>
    <w:rsid w:val="00D0538A"/>
    <w:rsid w:val="00D06554"/>
    <w:rsid w:val="00D07B73"/>
    <w:rsid w:val="00D117CB"/>
    <w:rsid w:val="00D136FE"/>
    <w:rsid w:val="00D162D0"/>
    <w:rsid w:val="00D211E3"/>
    <w:rsid w:val="00D21980"/>
    <w:rsid w:val="00D224DA"/>
    <w:rsid w:val="00D22F20"/>
    <w:rsid w:val="00D24E05"/>
    <w:rsid w:val="00D263C7"/>
    <w:rsid w:val="00D30641"/>
    <w:rsid w:val="00D31409"/>
    <w:rsid w:val="00D32A33"/>
    <w:rsid w:val="00D33910"/>
    <w:rsid w:val="00D347FB"/>
    <w:rsid w:val="00D3531C"/>
    <w:rsid w:val="00D360CF"/>
    <w:rsid w:val="00D36CF6"/>
    <w:rsid w:val="00D3722A"/>
    <w:rsid w:val="00D41D00"/>
    <w:rsid w:val="00D4510D"/>
    <w:rsid w:val="00D453BD"/>
    <w:rsid w:val="00D47323"/>
    <w:rsid w:val="00D5051B"/>
    <w:rsid w:val="00D518AC"/>
    <w:rsid w:val="00D52D27"/>
    <w:rsid w:val="00D52F5C"/>
    <w:rsid w:val="00D5546E"/>
    <w:rsid w:val="00D56421"/>
    <w:rsid w:val="00D565A1"/>
    <w:rsid w:val="00D6093F"/>
    <w:rsid w:val="00D60A67"/>
    <w:rsid w:val="00D6193F"/>
    <w:rsid w:val="00D61D8C"/>
    <w:rsid w:val="00D62954"/>
    <w:rsid w:val="00D62F8E"/>
    <w:rsid w:val="00D653DB"/>
    <w:rsid w:val="00D66BC1"/>
    <w:rsid w:val="00D66C7E"/>
    <w:rsid w:val="00D66DF8"/>
    <w:rsid w:val="00D67645"/>
    <w:rsid w:val="00D70770"/>
    <w:rsid w:val="00D70D71"/>
    <w:rsid w:val="00D713D9"/>
    <w:rsid w:val="00D725DA"/>
    <w:rsid w:val="00D72C35"/>
    <w:rsid w:val="00D73057"/>
    <w:rsid w:val="00D7514E"/>
    <w:rsid w:val="00D752CE"/>
    <w:rsid w:val="00D76038"/>
    <w:rsid w:val="00D761C5"/>
    <w:rsid w:val="00D810F7"/>
    <w:rsid w:val="00D818BD"/>
    <w:rsid w:val="00D8274C"/>
    <w:rsid w:val="00D828FD"/>
    <w:rsid w:val="00D82FA3"/>
    <w:rsid w:val="00D82FD6"/>
    <w:rsid w:val="00D83C1B"/>
    <w:rsid w:val="00D83D74"/>
    <w:rsid w:val="00D842E9"/>
    <w:rsid w:val="00D844E5"/>
    <w:rsid w:val="00D85F8B"/>
    <w:rsid w:val="00D8702E"/>
    <w:rsid w:val="00D87FF7"/>
    <w:rsid w:val="00D904B7"/>
    <w:rsid w:val="00D90A02"/>
    <w:rsid w:val="00D91870"/>
    <w:rsid w:val="00D92BA2"/>
    <w:rsid w:val="00D93AF7"/>
    <w:rsid w:val="00D93FD9"/>
    <w:rsid w:val="00D96DF2"/>
    <w:rsid w:val="00D97738"/>
    <w:rsid w:val="00DA0BAE"/>
    <w:rsid w:val="00DA28CC"/>
    <w:rsid w:val="00DA32E8"/>
    <w:rsid w:val="00DA4910"/>
    <w:rsid w:val="00DA4A7B"/>
    <w:rsid w:val="00DB1C70"/>
    <w:rsid w:val="00DB1E6C"/>
    <w:rsid w:val="00DB1EE8"/>
    <w:rsid w:val="00DB2804"/>
    <w:rsid w:val="00DB29E8"/>
    <w:rsid w:val="00DB488E"/>
    <w:rsid w:val="00DB4CCE"/>
    <w:rsid w:val="00DB598D"/>
    <w:rsid w:val="00DB7344"/>
    <w:rsid w:val="00DC71FE"/>
    <w:rsid w:val="00DC7308"/>
    <w:rsid w:val="00DD03F7"/>
    <w:rsid w:val="00DD14E1"/>
    <w:rsid w:val="00DD14FD"/>
    <w:rsid w:val="00DD16A6"/>
    <w:rsid w:val="00DD428D"/>
    <w:rsid w:val="00DD4309"/>
    <w:rsid w:val="00DD55C4"/>
    <w:rsid w:val="00DD5C08"/>
    <w:rsid w:val="00DD70AB"/>
    <w:rsid w:val="00DD7B1E"/>
    <w:rsid w:val="00DE0FE3"/>
    <w:rsid w:val="00DE1870"/>
    <w:rsid w:val="00DE1FD0"/>
    <w:rsid w:val="00DE3297"/>
    <w:rsid w:val="00DE52FF"/>
    <w:rsid w:val="00DE6183"/>
    <w:rsid w:val="00DE6368"/>
    <w:rsid w:val="00DE7399"/>
    <w:rsid w:val="00DF2DD0"/>
    <w:rsid w:val="00DF3483"/>
    <w:rsid w:val="00DF4B58"/>
    <w:rsid w:val="00DF7243"/>
    <w:rsid w:val="00DF7F79"/>
    <w:rsid w:val="00E01B8D"/>
    <w:rsid w:val="00E01BE9"/>
    <w:rsid w:val="00E03535"/>
    <w:rsid w:val="00E05485"/>
    <w:rsid w:val="00E05837"/>
    <w:rsid w:val="00E106CA"/>
    <w:rsid w:val="00E1121F"/>
    <w:rsid w:val="00E150B0"/>
    <w:rsid w:val="00E15D12"/>
    <w:rsid w:val="00E17555"/>
    <w:rsid w:val="00E17CF1"/>
    <w:rsid w:val="00E20E6E"/>
    <w:rsid w:val="00E21F15"/>
    <w:rsid w:val="00E22F8F"/>
    <w:rsid w:val="00E2459A"/>
    <w:rsid w:val="00E24B72"/>
    <w:rsid w:val="00E24C85"/>
    <w:rsid w:val="00E25168"/>
    <w:rsid w:val="00E27890"/>
    <w:rsid w:val="00E27E62"/>
    <w:rsid w:val="00E30722"/>
    <w:rsid w:val="00E31D77"/>
    <w:rsid w:val="00E32674"/>
    <w:rsid w:val="00E34145"/>
    <w:rsid w:val="00E35A43"/>
    <w:rsid w:val="00E41517"/>
    <w:rsid w:val="00E422EC"/>
    <w:rsid w:val="00E42F07"/>
    <w:rsid w:val="00E43930"/>
    <w:rsid w:val="00E44E1D"/>
    <w:rsid w:val="00E45748"/>
    <w:rsid w:val="00E4575F"/>
    <w:rsid w:val="00E45A62"/>
    <w:rsid w:val="00E460E1"/>
    <w:rsid w:val="00E46BC0"/>
    <w:rsid w:val="00E47DE2"/>
    <w:rsid w:val="00E52009"/>
    <w:rsid w:val="00E531E2"/>
    <w:rsid w:val="00E55378"/>
    <w:rsid w:val="00E55905"/>
    <w:rsid w:val="00E56E1C"/>
    <w:rsid w:val="00E57137"/>
    <w:rsid w:val="00E57EF1"/>
    <w:rsid w:val="00E61C13"/>
    <w:rsid w:val="00E630B5"/>
    <w:rsid w:val="00E64254"/>
    <w:rsid w:val="00E6440E"/>
    <w:rsid w:val="00E65354"/>
    <w:rsid w:val="00E67A9B"/>
    <w:rsid w:val="00E67CA3"/>
    <w:rsid w:val="00E702A2"/>
    <w:rsid w:val="00E70645"/>
    <w:rsid w:val="00E70A7F"/>
    <w:rsid w:val="00E7156A"/>
    <w:rsid w:val="00E7187E"/>
    <w:rsid w:val="00E71CDA"/>
    <w:rsid w:val="00E720E5"/>
    <w:rsid w:val="00E721CC"/>
    <w:rsid w:val="00E72CA6"/>
    <w:rsid w:val="00E7558E"/>
    <w:rsid w:val="00E761D3"/>
    <w:rsid w:val="00E773AE"/>
    <w:rsid w:val="00E7794D"/>
    <w:rsid w:val="00E8386F"/>
    <w:rsid w:val="00E83A88"/>
    <w:rsid w:val="00E851F8"/>
    <w:rsid w:val="00E8669A"/>
    <w:rsid w:val="00E87229"/>
    <w:rsid w:val="00E9104B"/>
    <w:rsid w:val="00E946F9"/>
    <w:rsid w:val="00E947D5"/>
    <w:rsid w:val="00E950E1"/>
    <w:rsid w:val="00E9528A"/>
    <w:rsid w:val="00E95D45"/>
    <w:rsid w:val="00E97E8D"/>
    <w:rsid w:val="00EA086C"/>
    <w:rsid w:val="00EA140D"/>
    <w:rsid w:val="00EA1B2C"/>
    <w:rsid w:val="00EA552C"/>
    <w:rsid w:val="00EA5547"/>
    <w:rsid w:val="00EA65B4"/>
    <w:rsid w:val="00EA74A2"/>
    <w:rsid w:val="00EB1713"/>
    <w:rsid w:val="00EB3310"/>
    <w:rsid w:val="00EB5FA1"/>
    <w:rsid w:val="00EB6413"/>
    <w:rsid w:val="00EC0757"/>
    <w:rsid w:val="00EC10E8"/>
    <w:rsid w:val="00EC1289"/>
    <w:rsid w:val="00EC132B"/>
    <w:rsid w:val="00EC3207"/>
    <w:rsid w:val="00EC33C5"/>
    <w:rsid w:val="00EC495E"/>
    <w:rsid w:val="00EC5CC6"/>
    <w:rsid w:val="00EC76DA"/>
    <w:rsid w:val="00ED0379"/>
    <w:rsid w:val="00ED04CF"/>
    <w:rsid w:val="00ED16AA"/>
    <w:rsid w:val="00ED1A0C"/>
    <w:rsid w:val="00ED3A7C"/>
    <w:rsid w:val="00ED3AC7"/>
    <w:rsid w:val="00ED3EB3"/>
    <w:rsid w:val="00ED635E"/>
    <w:rsid w:val="00ED6BC9"/>
    <w:rsid w:val="00EE1078"/>
    <w:rsid w:val="00EE2BF2"/>
    <w:rsid w:val="00EE4147"/>
    <w:rsid w:val="00EE4571"/>
    <w:rsid w:val="00EE47EC"/>
    <w:rsid w:val="00EE4E3F"/>
    <w:rsid w:val="00EE5064"/>
    <w:rsid w:val="00EE5435"/>
    <w:rsid w:val="00EF0578"/>
    <w:rsid w:val="00EF327D"/>
    <w:rsid w:val="00EF3E32"/>
    <w:rsid w:val="00EF3EAA"/>
    <w:rsid w:val="00EF4182"/>
    <w:rsid w:val="00EF41B2"/>
    <w:rsid w:val="00EF6BAA"/>
    <w:rsid w:val="00F0059E"/>
    <w:rsid w:val="00F01272"/>
    <w:rsid w:val="00F022DC"/>
    <w:rsid w:val="00F0272A"/>
    <w:rsid w:val="00F03D06"/>
    <w:rsid w:val="00F05018"/>
    <w:rsid w:val="00F05AAF"/>
    <w:rsid w:val="00F06645"/>
    <w:rsid w:val="00F07FF2"/>
    <w:rsid w:val="00F10410"/>
    <w:rsid w:val="00F11CB3"/>
    <w:rsid w:val="00F136F7"/>
    <w:rsid w:val="00F14EC6"/>
    <w:rsid w:val="00F15BD3"/>
    <w:rsid w:val="00F1776E"/>
    <w:rsid w:val="00F17BE6"/>
    <w:rsid w:val="00F17CD3"/>
    <w:rsid w:val="00F20834"/>
    <w:rsid w:val="00F20F3C"/>
    <w:rsid w:val="00F217FE"/>
    <w:rsid w:val="00F21EC9"/>
    <w:rsid w:val="00F226D6"/>
    <w:rsid w:val="00F22A6A"/>
    <w:rsid w:val="00F22FB0"/>
    <w:rsid w:val="00F234F6"/>
    <w:rsid w:val="00F24979"/>
    <w:rsid w:val="00F267BB"/>
    <w:rsid w:val="00F278FE"/>
    <w:rsid w:val="00F27D4F"/>
    <w:rsid w:val="00F3152F"/>
    <w:rsid w:val="00F31F1A"/>
    <w:rsid w:val="00F3508D"/>
    <w:rsid w:val="00F352BA"/>
    <w:rsid w:val="00F37F29"/>
    <w:rsid w:val="00F420FC"/>
    <w:rsid w:val="00F427DB"/>
    <w:rsid w:val="00F42E70"/>
    <w:rsid w:val="00F4467F"/>
    <w:rsid w:val="00F44B03"/>
    <w:rsid w:val="00F44FDE"/>
    <w:rsid w:val="00F45E78"/>
    <w:rsid w:val="00F50E2D"/>
    <w:rsid w:val="00F54249"/>
    <w:rsid w:val="00F5457A"/>
    <w:rsid w:val="00F54826"/>
    <w:rsid w:val="00F552FE"/>
    <w:rsid w:val="00F5688B"/>
    <w:rsid w:val="00F56BDB"/>
    <w:rsid w:val="00F60C1F"/>
    <w:rsid w:val="00F6186F"/>
    <w:rsid w:val="00F619FD"/>
    <w:rsid w:val="00F61D2D"/>
    <w:rsid w:val="00F62827"/>
    <w:rsid w:val="00F648DD"/>
    <w:rsid w:val="00F65C9D"/>
    <w:rsid w:val="00F65FAE"/>
    <w:rsid w:val="00F67051"/>
    <w:rsid w:val="00F6711C"/>
    <w:rsid w:val="00F67216"/>
    <w:rsid w:val="00F67F5E"/>
    <w:rsid w:val="00F70D4C"/>
    <w:rsid w:val="00F70FD3"/>
    <w:rsid w:val="00F71999"/>
    <w:rsid w:val="00F7242F"/>
    <w:rsid w:val="00F72776"/>
    <w:rsid w:val="00F73BDE"/>
    <w:rsid w:val="00F76E82"/>
    <w:rsid w:val="00F77FCD"/>
    <w:rsid w:val="00F80305"/>
    <w:rsid w:val="00F81245"/>
    <w:rsid w:val="00F8158D"/>
    <w:rsid w:val="00F83237"/>
    <w:rsid w:val="00F846D9"/>
    <w:rsid w:val="00F852B3"/>
    <w:rsid w:val="00F8594D"/>
    <w:rsid w:val="00F869B5"/>
    <w:rsid w:val="00F87354"/>
    <w:rsid w:val="00F87995"/>
    <w:rsid w:val="00F91A2E"/>
    <w:rsid w:val="00F9305F"/>
    <w:rsid w:val="00F93C9B"/>
    <w:rsid w:val="00F95876"/>
    <w:rsid w:val="00F962BA"/>
    <w:rsid w:val="00F969EB"/>
    <w:rsid w:val="00FA01BF"/>
    <w:rsid w:val="00FA0FAB"/>
    <w:rsid w:val="00FA5B25"/>
    <w:rsid w:val="00FA64AC"/>
    <w:rsid w:val="00FB108A"/>
    <w:rsid w:val="00FB108C"/>
    <w:rsid w:val="00FB1F03"/>
    <w:rsid w:val="00FB28E3"/>
    <w:rsid w:val="00FB2F9A"/>
    <w:rsid w:val="00FB37A5"/>
    <w:rsid w:val="00FB54E9"/>
    <w:rsid w:val="00FB734A"/>
    <w:rsid w:val="00FC2AD1"/>
    <w:rsid w:val="00FC2DE4"/>
    <w:rsid w:val="00FC3017"/>
    <w:rsid w:val="00FC3424"/>
    <w:rsid w:val="00FC4A12"/>
    <w:rsid w:val="00FC4BD1"/>
    <w:rsid w:val="00FC512D"/>
    <w:rsid w:val="00FC60A9"/>
    <w:rsid w:val="00FC6F9B"/>
    <w:rsid w:val="00FC7184"/>
    <w:rsid w:val="00FD22CD"/>
    <w:rsid w:val="00FD2A77"/>
    <w:rsid w:val="00FD3620"/>
    <w:rsid w:val="00FD3D80"/>
    <w:rsid w:val="00FD5C20"/>
    <w:rsid w:val="00FD70DE"/>
    <w:rsid w:val="00FD7887"/>
    <w:rsid w:val="00FD79A4"/>
    <w:rsid w:val="00FE0B99"/>
    <w:rsid w:val="00FE152B"/>
    <w:rsid w:val="00FE248F"/>
    <w:rsid w:val="00FE496F"/>
    <w:rsid w:val="00FE5813"/>
    <w:rsid w:val="00FE70D0"/>
    <w:rsid w:val="00FF05F8"/>
    <w:rsid w:val="00FF0F07"/>
    <w:rsid w:val="00FF3781"/>
    <w:rsid w:val="00FF48D2"/>
    <w:rsid w:val="00FF573D"/>
    <w:rsid w:val="00FF5B18"/>
    <w:rsid w:val="00FF6191"/>
    <w:rsid w:val="00FF77FB"/>
    <w:rsid w:val="00FF7DBE"/>
    <w:rsid w:val="02302CC5"/>
    <w:rsid w:val="064E8D20"/>
    <w:rsid w:val="07D26E13"/>
    <w:rsid w:val="0B3F3EB3"/>
    <w:rsid w:val="0CE2346A"/>
    <w:rsid w:val="1C6875B6"/>
    <w:rsid w:val="1CAEF634"/>
    <w:rsid w:val="1D2FE75F"/>
    <w:rsid w:val="2095F158"/>
    <w:rsid w:val="29BB1F16"/>
    <w:rsid w:val="3124A265"/>
    <w:rsid w:val="32EF9798"/>
    <w:rsid w:val="384532EE"/>
    <w:rsid w:val="39712EE9"/>
    <w:rsid w:val="39D36DB0"/>
    <w:rsid w:val="46073681"/>
    <w:rsid w:val="4BC8E631"/>
    <w:rsid w:val="51AB0AC7"/>
    <w:rsid w:val="532D6140"/>
    <w:rsid w:val="59D051A9"/>
    <w:rsid w:val="5C3FA2A3"/>
    <w:rsid w:val="5C4D837B"/>
    <w:rsid w:val="5F2EF19A"/>
    <w:rsid w:val="606EC557"/>
    <w:rsid w:val="6182FE2B"/>
    <w:rsid w:val="63699548"/>
    <w:rsid w:val="6BAC466B"/>
    <w:rsid w:val="6EEFDFBD"/>
    <w:rsid w:val="706ACD0C"/>
    <w:rsid w:val="7199234A"/>
    <w:rsid w:val="727C089B"/>
    <w:rsid w:val="729516D5"/>
    <w:rsid w:val="745268C2"/>
    <w:rsid w:val="7497D44B"/>
    <w:rsid w:val="74B0E446"/>
    <w:rsid w:val="7633A4AC"/>
    <w:rsid w:val="776666EA"/>
    <w:rsid w:val="7867B4B0"/>
    <w:rsid w:val="7AB19897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  <w15:docId w15:val="{25BCF1B1-AE52-424E-873E-26A2C8F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F0F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4D9"/>
    <w:rPr>
      <w:color w:val="2B579A"/>
      <w:shd w:val="clear" w:color="auto" w:fill="E1DFDD"/>
    </w:rPr>
  </w:style>
  <w:style w:type="character" w:customStyle="1" w:styleId="smaller">
    <w:name w:val="smaller"/>
    <w:basedOn w:val="DefaultParagraphFont"/>
    <w:rsid w:val="00FD5C20"/>
  </w:style>
  <w:style w:type="character" w:customStyle="1" w:styleId="normaltextrun">
    <w:name w:val="normaltextrun"/>
    <w:basedOn w:val="DefaultParagraphFont"/>
    <w:rsid w:val="00C111BF"/>
  </w:style>
  <w:style w:type="paragraph" w:styleId="NormalWeb">
    <w:name w:val="Normal (Web)"/>
    <w:basedOn w:val="Normal"/>
    <w:uiPriority w:val="99"/>
    <w:unhideWhenUsed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Normal"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A3777"/>
  </w:style>
  <w:style w:type="paragraph" w:styleId="Revision">
    <w:name w:val="Revision"/>
    <w:hidden/>
    <w:uiPriority w:val="99"/>
    <w:semiHidden/>
    <w:rsid w:val="00A720B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media/43136/xrn5143-singular-cp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media/43543/xrn5379-singular-c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media/43182/xrn5472-singular-cp.pdf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A05FBCB3-29AB-4A2E-BB48-B35607D63861}"/>
</file>

<file path=customXml/itemProps2.xml><?xml version="1.0" encoding="utf-8"?>
<ds:datastoreItem xmlns:ds="http://schemas.openxmlformats.org/officeDocument/2006/customXml" ds:itemID="{E5E9DF80-F24E-40CA-9D62-BDCE62FC9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1082</Words>
  <Characters>6171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7239</CharactersWithSpaces>
  <SharedDoc>false</SharedDoc>
  <HLinks>
    <vt:vector size="18" baseType="variant"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https://www.xoserve.com/media/43182/xrn5472-singular-cp.pdf</vt:lpwstr>
      </vt:variant>
      <vt:variant>
        <vt:lpwstr/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https://www.xoserve.com/media/43136/xrn5143-singular-cp.pdf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https://www.xoserve.com/media/43543/xrn5379-singular-cp.pdf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Peter Hopkins</cp:lastModifiedBy>
  <cp:revision>88</cp:revision>
  <dcterms:created xsi:type="dcterms:W3CDTF">2022-10-18T07:17:00Z</dcterms:created>
  <dcterms:modified xsi:type="dcterms:W3CDTF">2022-11-01T17:26:00Z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