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A6AE9" w14:textId="2D5BFDE6" w:rsidR="002B2E87" w:rsidRDefault="002B2E87" w:rsidP="00D66C7E">
      <w:r>
        <w:rPr>
          <w:noProof/>
        </w:rPr>
        <w:drawing>
          <wp:anchor distT="0" distB="0" distL="114300" distR="114300" simplePos="0" relativeHeight="251658240" behindDoc="0" locked="0" layoutInCell="1" allowOverlap="1" wp14:anchorId="3E175A6E" wp14:editId="3D281ED2">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28DEB76A" w14:textId="77777777" w:rsidR="002B2E87" w:rsidRDefault="002B2E87" w:rsidP="00D66C7E"/>
    <w:p w14:paraId="1DA3FC3E" w14:textId="338F590F" w:rsidR="002B2E87" w:rsidRDefault="002B2E87" w:rsidP="00D66C7E"/>
    <w:p w14:paraId="64F07A07" w14:textId="77777777" w:rsidR="000C1358" w:rsidRDefault="000C1358" w:rsidP="000C1358">
      <w:pPr>
        <w:pStyle w:val="Heading2"/>
      </w:pPr>
      <w:r>
        <w:t>DSC Business Evaluation Report (BER)</w:t>
      </w:r>
    </w:p>
    <w:p w14:paraId="1D5870EA" w14:textId="77777777" w:rsidR="000C1358" w:rsidRDefault="000C1358" w:rsidP="00D66C7E"/>
    <w:tbl>
      <w:tblPr>
        <w:tblStyle w:val="TableGrid1"/>
        <w:tblW w:w="5601" w:type="pct"/>
        <w:tblInd w:w="-459" w:type="dxa"/>
        <w:tblLook w:val="04A0" w:firstRow="1" w:lastRow="0" w:firstColumn="1" w:lastColumn="0" w:noHBand="0" w:noVBand="1"/>
      </w:tblPr>
      <w:tblGrid>
        <w:gridCol w:w="5010"/>
        <w:gridCol w:w="5261"/>
      </w:tblGrid>
      <w:tr w:rsidR="00B13C27" w:rsidRPr="002B2E87" w14:paraId="4E169BE3" w14:textId="77777777" w:rsidTr="008D16BE">
        <w:tc>
          <w:tcPr>
            <w:tcW w:w="2439" w:type="pct"/>
            <w:shd w:val="clear" w:color="auto" w:fill="FFFFFF" w:themeFill="background1"/>
            <w:vAlign w:val="center"/>
          </w:tcPr>
          <w:p w14:paraId="5132746B" w14:textId="77777777" w:rsidR="00B13C27" w:rsidRPr="002B2E87" w:rsidRDefault="00B13C27" w:rsidP="00B13C27">
            <w:pPr>
              <w:rPr>
                <w:rFonts w:eastAsia="Times New Roman" w:cs="Arial"/>
                <w:b/>
                <w:sz w:val="20"/>
                <w:szCs w:val="16"/>
              </w:rPr>
            </w:pPr>
            <w:r w:rsidRPr="002B2E87">
              <w:rPr>
                <w:rFonts w:eastAsia="Times New Roman" w:cs="Arial"/>
                <w:b/>
                <w:sz w:val="20"/>
                <w:szCs w:val="16"/>
              </w:rPr>
              <w:t>Change Title</w:t>
            </w:r>
          </w:p>
        </w:tc>
        <w:tc>
          <w:tcPr>
            <w:tcW w:w="2561" w:type="pct"/>
          </w:tcPr>
          <w:p w14:paraId="17A91EFD" w14:textId="0A146D35" w:rsidR="00B13C27" w:rsidRPr="002B2E87" w:rsidRDefault="00DA056B" w:rsidP="00B13C27">
            <w:pPr>
              <w:rPr>
                <w:rFonts w:eastAsia="Times New Roman" w:cs="Arial"/>
                <w:sz w:val="20"/>
                <w:szCs w:val="16"/>
              </w:rPr>
            </w:pPr>
            <w:r>
              <w:rPr>
                <w:rFonts w:asciiTheme="majorHAnsi" w:eastAsia="Times New Roman" w:hAnsiTheme="majorHAnsi" w:cstheme="majorHAnsi"/>
                <w:color w:val="000000"/>
                <w:sz w:val="20"/>
                <w:szCs w:val="20"/>
              </w:rPr>
              <w:t>Urgent Modification 0791 -</w:t>
            </w:r>
            <w:r w:rsidR="00B660CF">
              <w:rPr>
                <w:rFonts w:asciiTheme="majorHAnsi" w:eastAsia="Times New Roman" w:hAnsiTheme="majorHAnsi" w:cstheme="majorHAnsi"/>
                <w:color w:val="000000"/>
                <w:sz w:val="20"/>
                <w:szCs w:val="20"/>
              </w:rPr>
              <w:t xml:space="preserve"> </w:t>
            </w:r>
            <w:r w:rsidR="0072610B" w:rsidRPr="00C134B9">
              <w:rPr>
                <w:rFonts w:asciiTheme="majorHAnsi" w:eastAsia="Times New Roman" w:hAnsiTheme="majorHAnsi" w:cstheme="majorHAnsi"/>
                <w:color w:val="000000"/>
                <w:sz w:val="20"/>
                <w:szCs w:val="20"/>
              </w:rPr>
              <w:t>Contingency Gas Procurement Arrangements when a Supplier acts under a Deed of Undertaking</w:t>
            </w:r>
          </w:p>
        </w:tc>
      </w:tr>
      <w:tr w:rsidR="00B13C27" w:rsidRPr="002B2E87" w14:paraId="185696D7" w14:textId="77777777" w:rsidTr="008D16BE">
        <w:tc>
          <w:tcPr>
            <w:tcW w:w="2439" w:type="pct"/>
            <w:shd w:val="clear" w:color="auto" w:fill="FFFFFF" w:themeFill="background1"/>
            <w:vAlign w:val="center"/>
          </w:tcPr>
          <w:p w14:paraId="54673459" w14:textId="77777777" w:rsidR="00B13C27" w:rsidRPr="002B2E87" w:rsidRDefault="00B13C27" w:rsidP="00B13C27">
            <w:pPr>
              <w:rPr>
                <w:rFonts w:eastAsia="Times New Roman" w:cs="Arial"/>
                <w:b/>
                <w:sz w:val="20"/>
                <w:szCs w:val="16"/>
              </w:rPr>
            </w:pPr>
            <w:r w:rsidRPr="002B2E87">
              <w:rPr>
                <w:rFonts w:eastAsia="Times New Roman" w:cs="Arial"/>
                <w:b/>
                <w:sz w:val="20"/>
                <w:szCs w:val="16"/>
              </w:rPr>
              <w:t>Xoserve reference number (XRN)</w:t>
            </w:r>
          </w:p>
        </w:tc>
        <w:tc>
          <w:tcPr>
            <w:tcW w:w="2561" w:type="pct"/>
          </w:tcPr>
          <w:p w14:paraId="16500EDB" w14:textId="7D6093F3" w:rsidR="00B13C27" w:rsidRPr="002B2E87" w:rsidRDefault="00D41245" w:rsidP="00B13C27">
            <w:pPr>
              <w:rPr>
                <w:rFonts w:eastAsia="Times New Roman" w:cs="Arial"/>
                <w:sz w:val="20"/>
                <w:szCs w:val="16"/>
              </w:rPr>
            </w:pPr>
            <w:r>
              <w:rPr>
                <w:rFonts w:eastAsia="Times New Roman" w:cs="Arial"/>
                <w:sz w:val="20"/>
                <w:szCs w:val="16"/>
              </w:rPr>
              <w:t>5458</w:t>
            </w:r>
          </w:p>
        </w:tc>
      </w:tr>
      <w:tr w:rsidR="00B13C27" w:rsidRPr="002B2E87" w14:paraId="74B6BF6B" w14:textId="77777777" w:rsidTr="008D16BE">
        <w:tc>
          <w:tcPr>
            <w:tcW w:w="2439" w:type="pct"/>
            <w:tcBorders>
              <w:bottom w:val="single" w:sz="4" w:space="0" w:color="auto"/>
            </w:tcBorders>
            <w:shd w:val="clear" w:color="auto" w:fill="FFFFFF" w:themeFill="background1"/>
            <w:vAlign w:val="center"/>
          </w:tcPr>
          <w:p w14:paraId="4CE5812F" w14:textId="74016740" w:rsidR="00B13C27" w:rsidRPr="002B2E87" w:rsidRDefault="384532EE" w:rsidP="6EEFDFBD">
            <w:pPr>
              <w:rPr>
                <w:rFonts w:eastAsia="Times New Roman" w:cs="Arial"/>
                <w:b/>
                <w:bCs/>
                <w:sz w:val="20"/>
                <w:szCs w:val="20"/>
              </w:rPr>
            </w:pPr>
            <w:r w:rsidRPr="6EEFDFBD">
              <w:rPr>
                <w:rFonts w:eastAsia="Times New Roman" w:cs="Arial"/>
                <w:b/>
                <w:bCs/>
                <w:sz w:val="20"/>
                <w:szCs w:val="20"/>
              </w:rPr>
              <w:t>Correla</w:t>
            </w:r>
            <w:r w:rsidR="00B13C27" w:rsidRPr="6EEFDFBD">
              <w:rPr>
                <w:rFonts w:eastAsia="Times New Roman" w:cs="Arial"/>
                <w:b/>
                <w:bCs/>
                <w:sz w:val="20"/>
                <w:szCs w:val="20"/>
              </w:rPr>
              <w:t xml:space="preserve"> Project Manager</w:t>
            </w:r>
          </w:p>
        </w:tc>
        <w:tc>
          <w:tcPr>
            <w:tcW w:w="2561" w:type="pct"/>
            <w:tcBorders>
              <w:bottom w:val="single" w:sz="4" w:space="0" w:color="auto"/>
            </w:tcBorders>
          </w:tcPr>
          <w:p w14:paraId="1B99C211" w14:textId="2FB39D6C" w:rsidR="00B13C27" w:rsidRPr="002B2E87" w:rsidRDefault="008D16BE" w:rsidP="00B13C27">
            <w:pPr>
              <w:rPr>
                <w:rFonts w:eastAsia="Times New Roman" w:cs="Arial"/>
                <w:sz w:val="20"/>
                <w:szCs w:val="16"/>
              </w:rPr>
            </w:pPr>
            <w:r>
              <w:rPr>
                <w:rFonts w:eastAsia="Times New Roman" w:cs="Arial"/>
                <w:sz w:val="20"/>
                <w:szCs w:val="16"/>
              </w:rPr>
              <w:t>Lee Chambers</w:t>
            </w:r>
          </w:p>
        </w:tc>
      </w:tr>
      <w:tr w:rsidR="008D16BE" w:rsidRPr="002B2E87" w14:paraId="35655359" w14:textId="77777777" w:rsidTr="008D16BE">
        <w:tc>
          <w:tcPr>
            <w:tcW w:w="2439" w:type="pct"/>
            <w:tcBorders>
              <w:bottom w:val="single" w:sz="4" w:space="0" w:color="auto"/>
            </w:tcBorders>
            <w:shd w:val="clear" w:color="auto" w:fill="FFFFFF" w:themeFill="background1"/>
            <w:vAlign w:val="center"/>
          </w:tcPr>
          <w:p w14:paraId="21DA6362" w14:textId="77777777" w:rsidR="008D16BE" w:rsidRPr="002B2E87" w:rsidRDefault="008D16BE" w:rsidP="008D16BE">
            <w:pPr>
              <w:rPr>
                <w:rFonts w:eastAsia="Times New Roman" w:cs="Arial"/>
                <w:b/>
                <w:sz w:val="20"/>
                <w:szCs w:val="16"/>
              </w:rPr>
            </w:pPr>
            <w:r w:rsidRPr="002B2E87">
              <w:rPr>
                <w:rFonts w:eastAsia="Times New Roman" w:cs="Arial"/>
                <w:b/>
                <w:sz w:val="20"/>
                <w:szCs w:val="16"/>
              </w:rPr>
              <w:t>Email address</w:t>
            </w:r>
          </w:p>
        </w:tc>
        <w:tc>
          <w:tcPr>
            <w:tcW w:w="2561" w:type="pct"/>
            <w:tcBorders>
              <w:bottom w:val="single" w:sz="4" w:space="0" w:color="auto"/>
            </w:tcBorders>
          </w:tcPr>
          <w:p w14:paraId="522375A6" w14:textId="3396F8F7" w:rsidR="008D16BE" w:rsidRPr="002B2E87" w:rsidRDefault="008D16BE" w:rsidP="008D16BE">
            <w:pPr>
              <w:rPr>
                <w:rFonts w:eastAsia="Times New Roman" w:cs="Arial"/>
                <w:sz w:val="20"/>
                <w:szCs w:val="16"/>
              </w:rPr>
            </w:pPr>
            <w:r>
              <w:rPr>
                <w:rFonts w:eastAsia="Times New Roman" w:cs="Arial"/>
                <w:sz w:val="20"/>
                <w:szCs w:val="16"/>
              </w:rPr>
              <w:t>lee.chambers@correla.com</w:t>
            </w:r>
          </w:p>
        </w:tc>
      </w:tr>
      <w:tr w:rsidR="008D16BE" w:rsidRPr="002B2E87" w14:paraId="1C247CD2" w14:textId="77777777" w:rsidTr="008D16BE">
        <w:tc>
          <w:tcPr>
            <w:tcW w:w="2439" w:type="pct"/>
            <w:tcBorders>
              <w:bottom w:val="single" w:sz="4" w:space="0" w:color="auto"/>
            </w:tcBorders>
            <w:shd w:val="clear" w:color="auto" w:fill="FFFFFF" w:themeFill="background1"/>
            <w:vAlign w:val="center"/>
          </w:tcPr>
          <w:p w14:paraId="0B3B4258" w14:textId="77777777" w:rsidR="008D16BE" w:rsidRPr="002B2E87" w:rsidRDefault="008D16BE" w:rsidP="008D16BE">
            <w:pPr>
              <w:rPr>
                <w:rFonts w:eastAsia="Times New Roman" w:cs="Arial"/>
                <w:b/>
                <w:sz w:val="20"/>
                <w:szCs w:val="16"/>
              </w:rPr>
            </w:pPr>
            <w:r w:rsidRPr="002B2E87">
              <w:rPr>
                <w:rFonts w:eastAsia="Times New Roman" w:cs="Arial"/>
                <w:b/>
                <w:sz w:val="20"/>
                <w:szCs w:val="16"/>
              </w:rPr>
              <w:t>Contact number</w:t>
            </w:r>
          </w:p>
        </w:tc>
        <w:tc>
          <w:tcPr>
            <w:tcW w:w="2561" w:type="pct"/>
            <w:tcBorders>
              <w:bottom w:val="single" w:sz="4" w:space="0" w:color="auto"/>
            </w:tcBorders>
          </w:tcPr>
          <w:p w14:paraId="7B6CE89B" w14:textId="502799E1" w:rsidR="008D16BE" w:rsidRPr="00C967C0" w:rsidRDefault="00B62E2C" w:rsidP="008D16BE">
            <w:pPr>
              <w:rPr>
                <w:rFonts w:eastAsia="Times New Roman" w:cs="Arial"/>
                <w:sz w:val="20"/>
                <w:szCs w:val="20"/>
              </w:rPr>
            </w:pPr>
            <w:r w:rsidRPr="00B62E2C">
              <w:rPr>
                <w:rFonts w:eastAsia="Times New Roman" w:cs="Arial"/>
                <w:sz w:val="20"/>
                <w:szCs w:val="20"/>
              </w:rPr>
              <w:t>0121 229 2372</w:t>
            </w:r>
          </w:p>
        </w:tc>
      </w:tr>
      <w:tr w:rsidR="008D16BE" w:rsidRPr="002B2E87" w14:paraId="1271BAA4" w14:textId="77777777" w:rsidTr="008D16BE">
        <w:tc>
          <w:tcPr>
            <w:tcW w:w="2439" w:type="pct"/>
            <w:tcBorders>
              <w:bottom w:val="single" w:sz="4" w:space="0" w:color="auto"/>
            </w:tcBorders>
            <w:shd w:val="clear" w:color="auto" w:fill="FFFFFF" w:themeFill="background1"/>
            <w:vAlign w:val="center"/>
          </w:tcPr>
          <w:p w14:paraId="3ED5372A" w14:textId="77777777" w:rsidR="008D16BE" w:rsidRPr="002B2E87" w:rsidRDefault="008D16BE" w:rsidP="008D16BE">
            <w:pPr>
              <w:rPr>
                <w:rFonts w:eastAsia="Times New Roman" w:cs="Arial"/>
                <w:b/>
                <w:sz w:val="20"/>
                <w:szCs w:val="16"/>
              </w:rPr>
            </w:pPr>
            <w:r w:rsidRPr="002B2E87">
              <w:rPr>
                <w:rFonts w:eastAsia="Times New Roman" w:cs="Arial"/>
                <w:b/>
                <w:sz w:val="20"/>
                <w:szCs w:val="16"/>
              </w:rPr>
              <w:t>Target Change Management Committee date</w:t>
            </w:r>
          </w:p>
        </w:tc>
        <w:tc>
          <w:tcPr>
            <w:tcW w:w="2561" w:type="pct"/>
            <w:tcBorders>
              <w:bottom w:val="single" w:sz="4" w:space="0" w:color="auto"/>
            </w:tcBorders>
          </w:tcPr>
          <w:p w14:paraId="14B22CEA" w14:textId="3C84C3B8" w:rsidR="008D16BE" w:rsidRPr="00C967C0" w:rsidRDefault="00DA056B" w:rsidP="008D16BE">
            <w:pPr>
              <w:rPr>
                <w:rFonts w:eastAsia="Times New Roman" w:cs="Arial"/>
                <w:sz w:val="20"/>
                <w:szCs w:val="20"/>
                <w:lang w:val="en-US"/>
              </w:rPr>
            </w:pPr>
            <w:r>
              <w:rPr>
                <w:rFonts w:eastAsia="Times New Roman" w:cs="Arial"/>
                <w:sz w:val="20"/>
                <w:szCs w:val="20"/>
                <w:lang w:val="en-US"/>
              </w:rPr>
              <w:t>n/a</w:t>
            </w:r>
          </w:p>
        </w:tc>
      </w:tr>
      <w:tr w:rsidR="008D16BE" w:rsidRPr="002B2E87" w14:paraId="3B4FF6C3" w14:textId="77777777" w:rsidTr="008D16BE">
        <w:tc>
          <w:tcPr>
            <w:tcW w:w="5000" w:type="pct"/>
            <w:gridSpan w:val="2"/>
            <w:tcBorders>
              <w:bottom w:val="single" w:sz="4" w:space="0" w:color="auto"/>
            </w:tcBorders>
            <w:shd w:val="clear" w:color="auto" w:fill="3E5AA8" w:themeFill="accent1"/>
            <w:vAlign w:val="center"/>
          </w:tcPr>
          <w:p w14:paraId="3011F0CF" w14:textId="77777777" w:rsidR="008D16BE" w:rsidRPr="002B2E87" w:rsidRDefault="008D16BE" w:rsidP="008D16BE">
            <w:pPr>
              <w:jc w:val="center"/>
              <w:rPr>
                <w:rFonts w:eastAsia="Times New Roman" w:cs="Arial"/>
                <w:b/>
              </w:rPr>
            </w:pPr>
            <w:r w:rsidRPr="002B2E87">
              <w:rPr>
                <w:rFonts w:eastAsia="Times New Roman" w:cs="Arial"/>
                <w:b/>
                <w:color w:val="FFFFFF"/>
                <w:sz w:val="20"/>
              </w:rPr>
              <w:t>Section 1: In Scope</w:t>
            </w:r>
          </w:p>
        </w:tc>
      </w:tr>
      <w:tr w:rsidR="008D16BE" w:rsidRPr="002B2E87" w14:paraId="5C22B926" w14:textId="77777777" w:rsidTr="008D16BE">
        <w:tc>
          <w:tcPr>
            <w:tcW w:w="5000" w:type="pct"/>
            <w:gridSpan w:val="2"/>
            <w:tcBorders>
              <w:bottom w:val="single" w:sz="4" w:space="0" w:color="auto"/>
            </w:tcBorders>
            <w:shd w:val="clear" w:color="auto" w:fill="FFFFFF" w:themeFill="background1"/>
          </w:tcPr>
          <w:p w14:paraId="683B4EF4" w14:textId="0139F15B" w:rsidR="008D16BE" w:rsidRDefault="008D16BE" w:rsidP="008D16BE">
            <w:pPr>
              <w:spacing w:after="60" w:line="276" w:lineRule="auto"/>
              <w:rPr>
                <w:rFonts w:cs="Arial"/>
                <w:sz w:val="18"/>
                <w:szCs w:val="18"/>
              </w:rPr>
            </w:pPr>
          </w:p>
          <w:p w14:paraId="26ECDA2C" w14:textId="2CD575C4" w:rsidR="008D16BE" w:rsidRPr="007058B9" w:rsidRDefault="008D16BE" w:rsidP="008D16BE">
            <w:pPr>
              <w:rPr>
                <w:rFonts w:cs="Arial"/>
                <w:sz w:val="20"/>
                <w:szCs w:val="20"/>
              </w:rPr>
            </w:pPr>
            <w:r w:rsidRPr="007058B9">
              <w:rPr>
                <w:rFonts w:cs="Arial"/>
                <w:sz w:val="20"/>
                <w:szCs w:val="20"/>
              </w:rPr>
              <w:t>This change will deliver a solution to meet the requirements of UNC Modification 0791 contingency gas procurement arrangements when a Supplier acts under a Deed of Undertaking.  This will introduce new arrangements to enable National Grid</w:t>
            </w:r>
            <w:r w:rsidR="006B6AFF" w:rsidRPr="007058B9">
              <w:rPr>
                <w:rFonts w:cs="Arial"/>
                <w:sz w:val="20"/>
                <w:szCs w:val="20"/>
              </w:rPr>
              <w:t xml:space="preserve"> (NG)</w:t>
            </w:r>
            <w:r w:rsidRPr="007058B9">
              <w:rPr>
                <w:rFonts w:cs="Arial"/>
                <w:sz w:val="20"/>
                <w:szCs w:val="20"/>
              </w:rPr>
              <w:t xml:space="preserve"> NTS to procure gas where, following the termination of a Shipper User providing shipping services to one or more Gas Suppliers, no new Shipper User (a ‘Registered User’) is appointed and one or more of the Suppliers acts in accordance with its deed of undertaking until such time a new Registered User is in place.</w:t>
            </w:r>
          </w:p>
          <w:p w14:paraId="61A4AF9B" w14:textId="77777777" w:rsidR="008D16BE" w:rsidRDefault="008D16BE" w:rsidP="008D16BE">
            <w:pPr>
              <w:spacing w:after="60" w:line="276" w:lineRule="auto"/>
              <w:rPr>
                <w:rFonts w:cs="Arial"/>
                <w:sz w:val="18"/>
                <w:szCs w:val="18"/>
              </w:rPr>
            </w:pPr>
          </w:p>
          <w:tbl>
            <w:tblPr>
              <w:tblW w:w="9874" w:type="dxa"/>
              <w:tblLook w:val="04A0" w:firstRow="1" w:lastRow="0" w:firstColumn="1" w:lastColumn="0" w:noHBand="0" w:noVBand="1"/>
            </w:tblPr>
            <w:tblGrid>
              <w:gridCol w:w="766"/>
              <w:gridCol w:w="1219"/>
              <w:gridCol w:w="1134"/>
              <w:gridCol w:w="3260"/>
              <w:gridCol w:w="2410"/>
              <w:gridCol w:w="1085"/>
            </w:tblGrid>
            <w:tr w:rsidR="008D16BE" w:rsidRPr="00C25F07" w14:paraId="6E5EC3E0" w14:textId="77777777" w:rsidTr="003558A0">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4472C4"/>
                  <w:noWrap/>
                  <w:hideMark/>
                </w:tcPr>
                <w:p w14:paraId="1F548CC9" w14:textId="77777777" w:rsidR="008D16BE" w:rsidRPr="00D713F5" w:rsidRDefault="008D16BE" w:rsidP="008D16BE">
                  <w:pPr>
                    <w:spacing w:after="0" w:line="240" w:lineRule="auto"/>
                    <w:jc w:val="center"/>
                    <w:rPr>
                      <w:rFonts w:asciiTheme="majorHAnsi" w:eastAsia="Times New Roman" w:hAnsiTheme="majorHAnsi" w:cstheme="majorHAnsi"/>
                      <w:b/>
                      <w:color w:val="FFFFFF"/>
                      <w:sz w:val="20"/>
                    </w:rPr>
                  </w:pPr>
                  <w:r w:rsidRPr="00D713F5">
                    <w:rPr>
                      <w:rFonts w:asciiTheme="majorHAnsi" w:eastAsia="Times New Roman" w:hAnsiTheme="majorHAnsi" w:cstheme="majorHAnsi"/>
                      <w:b/>
                      <w:color w:val="FFFFFF"/>
                      <w:sz w:val="20"/>
                    </w:rPr>
                    <w:t>XRN</w:t>
                  </w:r>
                </w:p>
              </w:tc>
              <w:tc>
                <w:tcPr>
                  <w:tcW w:w="1219" w:type="dxa"/>
                  <w:tcBorders>
                    <w:top w:val="single" w:sz="4" w:space="0" w:color="auto"/>
                    <w:left w:val="single" w:sz="4" w:space="0" w:color="auto"/>
                    <w:bottom w:val="single" w:sz="4" w:space="0" w:color="auto"/>
                    <w:right w:val="single" w:sz="4" w:space="0" w:color="auto"/>
                  </w:tcBorders>
                  <w:shd w:val="clear" w:color="auto" w:fill="4472C4"/>
                  <w:noWrap/>
                  <w:hideMark/>
                </w:tcPr>
                <w:p w14:paraId="09A9C248" w14:textId="77777777" w:rsidR="008D16BE" w:rsidRPr="00D713F5" w:rsidRDefault="008D16BE" w:rsidP="008D16BE">
                  <w:pPr>
                    <w:spacing w:after="0" w:line="240" w:lineRule="auto"/>
                    <w:jc w:val="center"/>
                    <w:rPr>
                      <w:rFonts w:asciiTheme="majorHAnsi" w:eastAsia="Times New Roman" w:hAnsiTheme="majorHAnsi" w:cstheme="majorHAnsi"/>
                      <w:b/>
                      <w:bCs/>
                      <w:color w:val="FFFFFF"/>
                      <w:sz w:val="20"/>
                    </w:rPr>
                  </w:pPr>
                  <w:r w:rsidRPr="00D713F5">
                    <w:rPr>
                      <w:rFonts w:asciiTheme="majorHAnsi" w:eastAsia="Times New Roman" w:hAnsiTheme="majorHAnsi" w:cstheme="majorHAnsi"/>
                      <w:b/>
                      <w:bCs/>
                      <w:color w:val="FFFFFF"/>
                      <w:sz w:val="20"/>
                    </w:rPr>
                    <w:t>Title</w:t>
                  </w:r>
                </w:p>
              </w:tc>
              <w:tc>
                <w:tcPr>
                  <w:tcW w:w="1134" w:type="dxa"/>
                  <w:tcBorders>
                    <w:top w:val="single" w:sz="4" w:space="0" w:color="auto"/>
                    <w:left w:val="single" w:sz="4" w:space="0" w:color="auto"/>
                    <w:bottom w:val="single" w:sz="4" w:space="0" w:color="auto"/>
                    <w:right w:val="single" w:sz="4" w:space="0" w:color="auto"/>
                  </w:tcBorders>
                  <w:shd w:val="clear" w:color="auto" w:fill="4472C4"/>
                  <w:noWrap/>
                  <w:hideMark/>
                </w:tcPr>
                <w:p w14:paraId="508EEDAA" w14:textId="77777777" w:rsidR="008D16BE" w:rsidRPr="00D713F5" w:rsidRDefault="008D16BE" w:rsidP="008D16BE">
                  <w:pPr>
                    <w:spacing w:after="0" w:line="240" w:lineRule="auto"/>
                    <w:jc w:val="center"/>
                    <w:rPr>
                      <w:rFonts w:asciiTheme="majorHAnsi" w:eastAsia="Times New Roman" w:hAnsiTheme="majorHAnsi" w:cstheme="majorHAnsi"/>
                      <w:b/>
                      <w:bCs/>
                      <w:color w:val="FFFFFF"/>
                      <w:sz w:val="20"/>
                    </w:rPr>
                  </w:pPr>
                  <w:r w:rsidRPr="00D713F5">
                    <w:rPr>
                      <w:rFonts w:asciiTheme="majorHAnsi" w:eastAsia="Times New Roman" w:hAnsiTheme="majorHAnsi" w:cstheme="majorHAnsi"/>
                      <w:b/>
                      <w:bCs/>
                      <w:color w:val="FFFFFF"/>
                      <w:sz w:val="20"/>
                    </w:rPr>
                    <w:t>Type</w:t>
                  </w:r>
                </w:p>
              </w:tc>
              <w:tc>
                <w:tcPr>
                  <w:tcW w:w="3260" w:type="dxa"/>
                  <w:tcBorders>
                    <w:top w:val="single" w:sz="4" w:space="0" w:color="auto"/>
                    <w:left w:val="single" w:sz="4" w:space="0" w:color="auto"/>
                    <w:bottom w:val="single" w:sz="4" w:space="0" w:color="auto"/>
                    <w:right w:val="single" w:sz="4" w:space="0" w:color="auto"/>
                  </w:tcBorders>
                  <w:shd w:val="clear" w:color="auto" w:fill="4472C4"/>
                  <w:noWrap/>
                  <w:hideMark/>
                </w:tcPr>
                <w:p w14:paraId="164084BA" w14:textId="77777777" w:rsidR="008D16BE" w:rsidRPr="00D713F5" w:rsidRDefault="008D16BE" w:rsidP="008D16BE">
                  <w:pPr>
                    <w:spacing w:after="0" w:line="240" w:lineRule="auto"/>
                    <w:jc w:val="center"/>
                    <w:rPr>
                      <w:rFonts w:asciiTheme="majorHAnsi" w:eastAsia="Times New Roman" w:hAnsiTheme="majorHAnsi" w:cstheme="majorHAnsi"/>
                      <w:b/>
                      <w:bCs/>
                      <w:color w:val="FFFFFF"/>
                      <w:sz w:val="20"/>
                    </w:rPr>
                  </w:pPr>
                  <w:r w:rsidRPr="00D713F5">
                    <w:rPr>
                      <w:rFonts w:asciiTheme="majorHAnsi" w:eastAsia="Times New Roman" w:hAnsiTheme="majorHAnsi" w:cstheme="majorHAnsi"/>
                      <w:b/>
                      <w:bCs/>
                      <w:color w:val="FFFFFF"/>
                      <w:sz w:val="20"/>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4472C4"/>
                  <w:noWrap/>
                  <w:hideMark/>
                </w:tcPr>
                <w:p w14:paraId="4430919C" w14:textId="77777777" w:rsidR="008D16BE" w:rsidRPr="00D713F5" w:rsidRDefault="008D16BE" w:rsidP="008D16BE">
                  <w:pPr>
                    <w:spacing w:after="0" w:line="240" w:lineRule="auto"/>
                    <w:jc w:val="center"/>
                    <w:rPr>
                      <w:rFonts w:asciiTheme="majorHAnsi" w:eastAsia="Times New Roman" w:hAnsiTheme="majorHAnsi" w:cstheme="majorHAnsi"/>
                      <w:b/>
                      <w:bCs/>
                      <w:color w:val="FFFFFF"/>
                      <w:sz w:val="20"/>
                    </w:rPr>
                  </w:pPr>
                  <w:r w:rsidRPr="00D713F5">
                    <w:rPr>
                      <w:rFonts w:asciiTheme="majorHAnsi" w:eastAsia="Times New Roman" w:hAnsiTheme="majorHAnsi" w:cstheme="majorHAnsi"/>
                      <w:b/>
                      <w:bCs/>
                      <w:color w:val="FFFFFF"/>
                      <w:sz w:val="20"/>
                    </w:rPr>
                    <w:t>Link to Change Proposal</w:t>
                  </w:r>
                </w:p>
              </w:tc>
              <w:tc>
                <w:tcPr>
                  <w:tcW w:w="1085" w:type="dxa"/>
                  <w:tcBorders>
                    <w:top w:val="single" w:sz="4" w:space="0" w:color="auto"/>
                    <w:left w:val="single" w:sz="4" w:space="0" w:color="auto"/>
                    <w:bottom w:val="single" w:sz="4" w:space="0" w:color="auto"/>
                    <w:right w:val="single" w:sz="4" w:space="0" w:color="auto"/>
                  </w:tcBorders>
                  <w:shd w:val="clear" w:color="auto" w:fill="4472C4"/>
                </w:tcPr>
                <w:p w14:paraId="0B8198A4" w14:textId="2DE22D79" w:rsidR="008D16BE" w:rsidRPr="00D713F5" w:rsidRDefault="008D16BE" w:rsidP="008D16BE">
                  <w:pPr>
                    <w:spacing w:after="0" w:line="240" w:lineRule="auto"/>
                    <w:jc w:val="center"/>
                    <w:rPr>
                      <w:rFonts w:asciiTheme="majorHAnsi" w:eastAsia="Times New Roman" w:hAnsiTheme="majorHAnsi" w:cstheme="majorHAnsi"/>
                      <w:b/>
                      <w:bCs/>
                      <w:color w:val="FFFFFF"/>
                      <w:sz w:val="20"/>
                    </w:rPr>
                  </w:pPr>
                  <w:r w:rsidRPr="00D713F5">
                    <w:rPr>
                      <w:rFonts w:asciiTheme="majorHAnsi" w:eastAsia="Times New Roman" w:hAnsiTheme="majorHAnsi" w:cstheme="majorHAnsi"/>
                      <w:b/>
                      <w:bCs/>
                      <w:color w:val="FFFFFF"/>
                      <w:sz w:val="20"/>
                    </w:rPr>
                    <w:t>Impacts</w:t>
                  </w:r>
                </w:p>
              </w:tc>
            </w:tr>
            <w:tr w:rsidR="008D16BE" w:rsidRPr="00C25F07" w14:paraId="49C8B27B" w14:textId="77777777" w:rsidTr="003558A0">
              <w:trPr>
                <w:trHeight w:val="627"/>
              </w:trPr>
              <w:tc>
                <w:tcPr>
                  <w:tcW w:w="766" w:type="dxa"/>
                  <w:tcBorders>
                    <w:top w:val="single" w:sz="4" w:space="0" w:color="auto"/>
                    <w:left w:val="single" w:sz="4" w:space="0" w:color="auto"/>
                    <w:bottom w:val="single" w:sz="4" w:space="0" w:color="auto"/>
                    <w:right w:val="single" w:sz="4" w:space="0" w:color="auto"/>
                  </w:tcBorders>
                  <w:shd w:val="clear" w:color="auto" w:fill="D9E1F2"/>
                </w:tcPr>
                <w:p w14:paraId="448D6B6D" w14:textId="6C0B59D3" w:rsidR="008D16BE" w:rsidRPr="00621BD3" w:rsidRDefault="008D16BE" w:rsidP="008D16BE">
                  <w:pPr>
                    <w:spacing w:after="0" w:line="240" w:lineRule="auto"/>
                    <w:jc w:val="center"/>
                    <w:rPr>
                      <w:rFonts w:eastAsia="Times New Roman" w:cs="Arial"/>
                      <w:color w:val="000000"/>
                      <w:sz w:val="20"/>
                      <w:szCs w:val="20"/>
                    </w:rPr>
                  </w:pPr>
                  <w:r w:rsidRPr="00621BD3">
                    <w:rPr>
                      <w:rFonts w:eastAsia="Times New Roman" w:cs="Arial"/>
                      <w:color w:val="000000"/>
                      <w:sz w:val="20"/>
                      <w:szCs w:val="20"/>
                    </w:rPr>
                    <w:t>5458</w:t>
                  </w:r>
                </w:p>
              </w:tc>
              <w:tc>
                <w:tcPr>
                  <w:tcW w:w="1219" w:type="dxa"/>
                  <w:tcBorders>
                    <w:top w:val="single" w:sz="4" w:space="0" w:color="auto"/>
                    <w:left w:val="single" w:sz="4" w:space="0" w:color="auto"/>
                    <w:bottom w:val="single" w:sz="4" w:space="0" w:color="auto"/>
                    <w:right w:val="single" w:sz="4" w:space="0" w:color="auto"/>
                  </w:tcBorders>
                  <w:shd w:val="clear" w:color="auto" w:fill="D9E1F2"/>
                </w:tcPr>
                <w:p w14:paraId="005F029A" w14:textId="2ED08D64" w:rsidR="008D16BE" w:rsidRPr="00621BD3" w:rsidRDefault="008D16BE" w:rsidP="008D16BE">
                  <w:pPr>
                    <w:spacing w:after="0" w:line="240" w:lineRule="auto"/>
                    <w:rPr>
                      <w:rFonts w:eastAsia="Times New Roman" w:cs="Arial"/>
                      <w:color w:val="000000"/>
                      <w:sz w:val="20"/>
                      <w:szCs w:val="20"/>
                    </w:rPr>
                  </w:pPr>
                  <w:r w:rsidRPr="00621BD3">
                    <w:rPr>
                      <w:rFonts w:eastAsia="Times New Roman" w:cs="Arial"/>
                      <w:color w:val="000000"/>
                      <w:sz w:val="20"/>
                      <w:szCs w:val="20"/>
                    </w:rPr>
                    <w:t>MOD0791</w:t>
                  </w:r>
                </w:p>
              </w:tc>
              <w:tc>
                <w:tcPr>
                  <w:tcW w:w="1134" w:type="dxa"/>
                  <w:tcBorders>
                    <w:top w:val="single" w:sz="4" w:space="0" w:color="auto"/>
                    <w:left w:val="single" w:sz="4" w:space="0" w:color="auto"/>
                    <w:bottom w:val="single" w:sz="4" w:space="0" w:color="auto"/>
                    <w:right w:val="single" w:sz="4" w:space="0" w:color="auto"/>
                  </w:tcBorders>
                  <w:shd w:val="clear" w:color="auto" w:fill="D9E1F2"/>
                </w:tcPr>
                <w:p w14:paraId="57F384CB" w14:textId="446B55B9" w:rsidR="008D16BE" w:rsidRPr="00621BD3" w:rsidRDefault="008D16BE" w:rsidP="008D16BE">
                  <w:pPr>
                    <w:spacing w:after="0" w:line="240" w:lineRule="auto"/>
                    <w:rPr>
                      <w:rFonts w:eastAsia="Times New Roman" w:cs="Arial"/>
                      <w:color w:val="000000"/>
                      <w:sz w:val="20"/>
                      <w:szCs w:val="20"/>
                    </w:rPr>
                  </w:pPr>
                  <w:r w:rsidRPr="00621BD3">
                    <w:rPr>
                      <w:rFonts w:eastAsia="Times New Roman" w:cs="Arial"/>
                      <w:color w:val="000000"/>
                      <w:sz w:val="20"/>
                      <w:szCs w:val="20"/>
                    </w:rPr>
                    <w:t>CP</w:t>
                  </w:r>
                </w:p>
              </w:tc>
              <w:tc>
                <w:tcPr>
                  <w:tcW w:w="3260" w:type="dxa"/>
                  <w:tcBorders>
                    <w:top w:val="single" w:sz="4" w:space="0" w:color="auto"/>
                    <w:left w:val="single" w:sz="4" w:space="0" w:color="auto"/>
                    <w:bottom w:val="single" w:sz="4" w:space="0" w:color="auto"/>
                    <w:right w:val="single" w:sz="4" w:space="0" w:color="auto"/>
                  </w:tcBorders>
                  <w:shd w:val="clear" w:color="auto" w:fill="D9E1F2"/>
                </w:tcPr>
                <w:p w14:paraId="343A3817" w14:textId="67BE0EA5" w:rsidR="008D16BE" w:rsidRPr="00621BD3" w:rsidRDefault="008D16BE" w:rsidP="008D16BE">
                  <w:pPr>
                    <w:spacing w:after="0" w:line="240" w:lineRule="auto"/>
                    <w:rPr>
                      <w:rFonts w:eastAsia="Times New Roman" w:cs="Arial"/>
                      <w:color w:val="000000"/>
                      <w:sz w:val="20"/>
                      <w:szCs w:val="20"/>
                    </w:rPr>
                  </w:pPr>
                  <w:r w:rsidRPr="00621BD3">
                    <w:rPr>
                      <w:rFonts w:eastAsia="Times New Roman" w:cs="Arial"/>
                      <w:color w:val="000000"/>
                      <w:sz w:val="20"/>
                      <w:szCs w:val="20"/>
                    </w:rPr>
                    <w:t>Contingency Gas Procurement Arrangements when a Supplier acts under a Deed of Undertaking</w:t>
                  </w:r>
                </w:p>
              </w:tc>
              <w:tc>
                <w:tcPr>
                  <w:tcW w:w="2410" w:type="dxa"/>
                  <w:tcBorders>
                    <w:top w:val="single" w:sz="4" w:space="0" w:color="auto"/>
                    <w:left w:val="single" w:sz="4" w:space="0" w:color="auto"/>
                    <w:bottom w:val="single" w:sz="4" w:space="0" w:color="auto"/>
                    <w:right w:val="single" w:sz="4" w:space="0" w:color="auto"/>
                  </w:tcBorders>
                  <w:shd w:val="clear" w:color="auto" w:fill="D9E1F2"/>
                </w:tcPr>
                <w:p w14:paraId="38869223" w14:textId="669B26F1" w:rsidR="008D16BE" w:rsidRPr="00621BD3" w:rsidRDefault="00D30AD6" w:rsidP="008D16BE">
                  <w:pPr>
                    <w:spacing w:after="0" w:line="240" w:lineRule="auto"/>
                    <w:jc w:val="center"/>
                    <w:rPr>
                      <w:rFonts w:eastAsia="Times New Roman" w:cs="Arial"/>
                      <w:color w:val="000000"/>
                      <w:sz w:val="20"/>
                      <w:szCs w:val="20"/>
                    </w:rPr>
                  </w:pPr>
                  <w:hyperlink r:id="rId12" w:history="1">
                    <w:r w:rsidR="008D16BE" w:rsidRPr="00621BD3">
                      <w:rPr>
                        <w:rStyle w:val="Hyperlink"/>
                        <w:rFonts w:eastAsia="Times New Roman" w:cs="Arial"/>
                        <w:sz w:val="20"/>
                        <w:szCs w:val="20"/>
                      </w:rPr>
                      <w:t>Link</w:t>
                    </w:r>
                  </w:hyperlink>
                </w:p>
              </w:tc>
              <w:tc>
                <w:tcPr>
                  <w:tcW w:w="1085" w:type="dxa"/>
                  <w:tcBorders>
                    <w:top w:val="single" w:sz="4" w:space="0" w:color="auto"/>
                    <w:left w:val="single" w:sz="4" w:space="0" w:color="auto"/>
                    <w:bottom w:val="single" w:sz="4" w:space="0" w:color="auto"/>
                    <w:right w:val="single" w:sz="4" w:space="0" w:color="auto"/>
                  </w:tcBorders>
                  <w:shd w:val="clear" w:color="auto" w:fill="D9E1F2"/>
                </w:tcPr>
                <w:p w14:paraId="40F58743" w14:textId="36E8529C" w:rsidR="008D16BE" w:rsidRPr="00621BD3" w:rsidRDefault="008D16BE" w:rsidP="008D16BE">
                  <w:pPr>
                    <w:spacing w:after="0" w:line="240" w:lineRule="auto"/>
                    <w:jc w:val="center"/>
                    <w:rPr>
                      <w:rFonts w:eastAsia="Times New Roman" w:cs="Arial"/>
                      <w:color w:val="000000"/>
                      <w:sz w:val="20"/>
                      <w:szCs w:val="20"/>
                    </w:rPr>
                  </w:pPr>
                  <w:r w:rsidRPr="00621BD3">
                    <w:rPr>
                      <w:rFonts w:eastAsia="Times New Roman" w:cs="Arial"/>
                      <w:color w:val="000000"/>
                      <w:sz w:val="20"/>
                      <w:szCs w:val="20"/>
                    </w:rPr>
                    <w:t>National Grid &amp; Shippers</w:t>
                  </w:r>
                </w:p>
              </w:tc>
            </w:tr>
          </w:tbl>
          <w:p w14:paraId="05E01314" w14:textId="77777777" w:rsidR="008D16BE" w:rsidRDefault="008D16BE" w:rsidP="008D16BE">
            <w:pPr>
              <w:pStyle w:val="ListParagraph"/>
              <w:spacing w:after="60" w:line="276" w:lineRule="auto"/>
              <w:ind w:left="1080"/>
              <w:rPr>
                <w:b/>
                <w:szCs w:val="20"/>
              </w:rPr>
            </w:pPr>
            <w:r>
              <w:rPr>
                <w:b/>
                <w:szCs w:val="20"/>
              </w:rPr>
              <w:t xml:space="preserve"> </w:t>
            </w:r>
          </w:p>
          <w:p w14:paraId="4D7334EB" w14:textId="5D5D31E2" w:rsidR="00B71AE4" w:rsidRPr="00FE242E" w:rsidRDefault="00B71AE4" w:rsidP="00B71AE4">
            <w:pPr>
              <w:pStyle w:val="ListParagraph"/>
              <w:spacing w:after="60"/>
              <w:ind w:left="0"/>
              <w:rPr>
                <w:rFonts w:cs="Arial"/>
                <w:bCs/>
                <w:szCs w:val="20"/>
              </w:rPr>
            </w:pPr>
            <w:r w:rsidRPr="00FE242E">
              <w:rPr>
                <w:rFonts w:cs="Arial"/>
                <w:bCs/>
                <w:szCs w:val="20"/>
              </w:rPr>
              <w:t xml:space="preserve">In summary, the CDSP will </w:t>
            </w:r>
            <w:r w:rsidR="006029DE" w:rsidRPr="00FE242E">
              <w:rPr>
                <w:rFonts w:cs="Arial"/>
                <w:bCs/>
                <w:szCs w:val="20"/>
              </w:rPr>
              <w:t xml:space="preserve">deliver </w:t>
            </w:r>
            <w:r w:rsidRPr="00FE242E">
              <w:rPr>
                <w:rFonts w:cs="Arial"/>
                <w:bCs/>
                <w:szCs w:val="20"/>
              </w:rPr>
              <w:t xml:space="preserve">the following </w:t>
            </w:r>
            <w:r w:rsidR="006029DE" w:rsidRPr="00FE242E">
              <w:rPr>
                <w:rFonts w:cs="Arial"/>
                <w:bCs/>
                <w:szCs w:val="20"/>
              </w:rPr>
              <w:t>solution</w:t>
            </w:r>
            <w:r w:rsidR="00A419E2" w:rsidRPr="00FE242E">
              <w:rPr>
                <w:rFonts w:cs="Arial"/>
                <w:bCs/>
                <w:szCs w:val="20"/>
              </w:rPr>
              <w:t xml:space="preserve">s </w:t>
            </w:r>
            <w:r w:rsidR="006029DE" w:rsidRPr="00FE242E">
              <w:rPr>
                <w:rFonts w:cs="Arial"/>
                <w:bCs/>
                <w:szCs w:val="20"/>
              </w:rPr>
              <w:t xml:space="preserve">to meet the requirement of </w:t>
            </w:r>
            <w:r w:rsidRPr="00FE242E">
              <w:rPr>
                <w:rFonts w:cs="Arial"/>
                <w:bCs/>
                <w:szCs w:val="20"/>
              </w:rPr>
              <w:t>the Modification</w:t>
            </w:r>
            <w:r w:rsidR="00A419E2" w:rsidRPr="00FE242E">
              <w:rPr>
                <w:rFonts w:cs="Arial"/>
                <w:bCs/>
                <w:szCs w:val="20"/>
              </w:rPr>
              <w:t xml:space="preserve"> across a series of CDSP platforms</w:t>
            </w:r>
            <w:r w:rsidRPr="00FE242E">
              <w:rPr>
                <w:rFonts w:cs="Arial"/>
                <w:bCs/>
                <w:szCs w:val="20"/>
              </w:rPr>
              <w:t>:</w:t>
            </w:r>
          </w:p>
          <w:p w14:paraId="57C1FF19" w14:textId="73E032E2" w:rsidR="00B71AE4" w:rsidRPr="00FE242E" w:rsidRDefault="00B71AE4" w:rsidP="006C59B0">
            <w:pPr>
              <w:pStyle w:val="ListParagraph"/>
              <w:numPr>
                <w:ilvl w:val="0"/>
                <w:numId w:val="18"/>
              </w:numPr>
              <w:spacing w:after="60"/>
              <w:ind w:left="720"/>
              <w:rPr>
                <w:rFonts w:cs="Arial"/>
                <w:bCs/>
                <w:szCs w:val="20"/>
              </w:rPr>
            </w:pPr>
            <w:r w:rsidRPr="00FE242E">
              <w:rPr>
                <w:rFonts w:cs="Arial"/>
                <w:bCs/>
                <w:szCs w:val="20"/>
              </w:rPr>
              <w:t>Gemini account set-up for the new N</w:t>
            </w:r>
            <w:r w:rsidR="00A419E2" w:rsidRPr="00FE242E">
              <w:rPr>
                <w:rFonts w:cs="Arial"/>
                <w:bCs/>
                <w:szCs w:val="20"/>
              </w:rPr>
              <w:t xml:space="preserve">ational </w:t>
            </w:r>
            <w:r w:rsidRPr="00FE242E">
              <w:rPr>
                <w:rFonts w:cs="Arial"/>
                <w:bCs/>
                <w:szCs w:val="20"/>
              </w:rPr>
              <w:t>G</w:t>
            </w:r>
            <w:r w:rsidR="00A419E2" w:rsidRPr="00FE242E">
              <w:rPr>
                <w:rFonts w:cs="Arial"/>
                <w:bCs/>
                <w:szCs w:val="20"/>
              </w:rPr>
              <w:t>rid</w:t>
            </w:r>
            <w:r w:rsidRPr="00FE242E">
              <w:rPr>
                <w:rFonts w:cs="Arial"/>
                <w:bCs/>
                <w:szCs w:val="20"/>
              </w:rPr>
              <w:t xml:space="preserve"> role of </w:t>
            </w:r>
            <w:r w:rsidR="006B6AFF" w:rsidRPr="00FE242E">
              <w:rPr>
                <w:rFonts w:cs="Arial"/>
                <w:bCs/>
                <w:szCs w:val="20"/>
              </w:rPr>
              <w:t>Contingency Procurer of Supplier Demand (</w:t>
            </w:r>
            <w:r w:rsidRPr="00FE242E">
              <w:rPr>
                <w:rFonts w:cs="Arial"/>
                <w:bCs/>
                <w:szCs w:val="20"/>
              </w:rPr>
              <w:t>CPoSD</w:t>
            </w:r>
            <w:r w:rsidR="006B6AFF" w:rsidRPr="00FE242E">
              <w:rPr>
                <w:rFonts w:cs="Arial"/>
                <w:bCs/>
                <w:szCs w:val="20"/>
              </w:rPr>
              <w:t>)</w:t>
            </w:r>
          </w:p>
          <w:p w14:paraId="4CBF8BD7" w14:textId="40EA2C31" w:rsidR="00B71AE4" w:rsidRPr="00FE242E" w:rsidRDefault="00B71AE4" w:rsidP="006C59B0">
            <w:pPr>
              <w:pStyle w:val="ListParagraph"/>
              <w:numPr>
                <w:ilvl w:val="0"/>
                <w:numId w:val="18"/>
              </w:numPr>
              <w:spacing w:after="60"/>
              <w:ind w:left="720"/>
              <w:rPr>
                <w:rFonts w:cs="Arial"/>
                <w:bCs/>
                <w:szCs w:val="20"/>
              </w:rPr>
            </w:pPr>
            <w:r w:rsidRPr="00FE242E">
              <w:rPr>
                <w:rFonts w:cs="Arial"/>
                <w:bCs/>
                <w:szCs w:val="20"/>
              </w:rPr>
              <w:t>If a Shipper has been terminated and the associated Supplier(s) is to operate under its deed of undertaking, the CDSP will be required to provide the following information to National Grid NTS:</w:t>
            </w:r>
          </w:p>
          <w:p w14:paraId="0C05467F" w14:textId="4051DFE6" w:rsidR="00B71AE4" w:rsidRDefault="00B71AE4" w:rsidP="006C59B0">
            <w:pPr>
              <w:pStyle w:val="ListParagraph"/>
              <w:numPr>
                <w:ilvl w:val="1"/>
                <w:numId w:val="19"/>
              </w:numPr>
              <w:spacing w:after="60"/>
              <w:ind w:left="1440"/>
              <w:rPr>
                <w:rFonts w:cs="Arial"/>
                <w:bCs/>
                <w:szCs w:val="20"/>
              </w:rPr>
            </w:pPr>
            <w:r w:rsidRPr="00FE242E">
              <w:rPr>
                <w:rFonts w:cs="Arial"/>
                <w:bCs/>
                <w:szCs w:val="20"/>
              </w:rPr>
              <w:t>The seasonal normal demand forecast for NDM sites within the Terminated Shipper’s portfolio</w:t>
            </w:r>
          </w:p>
          <w:p w14:paraId="20074CD4" w14:textId="6F2DD620" w:rsidR="003C605A" w:rsidRPr="00FE242E" w:rsidRDefault="003C605A" w:rsidP="003C605A">
            <w:pPr>
              <w:pStyle w:val="ListParagraph"/>
              <w:spacing w:after="60"/>
              <w:ind w:left="1440"/>
              <w:rPr>
                <w:rFonts w:cs="Arial"/>
                <w:bCs/>
                <w:szCs w:val="20"/>
              </w:rPr>
            </w:pPr>
            <w:r>
              <w:t>for each day remaining in the current month (M) and each day of the following month (M+1). As soon as reasonably practicable within month M+1, the CDSP shall provide this information for the next month M+2.  This process shall be repeated until National Grid notifies the CDSP that it is no longer required</w:t>
            </w:r>
          </w:p>
          <w:p w14:paraId="38C3CEC7" w14:textId="08BB34AA" w:rsidR="00B71AE4" w:rsidRPr="00FE242E" w:rsidRDefault="00B71AE4" w:rsidP="006C59B0">
            <w:pPr>
              <w:pStyle w:val="ListParagraph"/>
              <w:numPr>
                <w:ilvl w:val="1"/>
                <w:numId w:val="19"/>
              </w:numPr>
              <w:spacing w:after="60"/>
              <w:ind w:left="1440"/>
              <w:rPr>
                <w:rFonts w:cs="Arial"/>
                <w:bCs/>
                <w:szCs w:val="20"/>
              </w:rPr>
            </w:pPr>
            <w:r w:rsidRPr="00FE242E">
              <w:rPr>
                <w:rFonts w:cs="Arial"/>
                <w:bCs/>
                <w:szCs w:val="20"/>
              </w:rPr>
              <w:t>Number of Terminated Supply Meter Points (TSMPs) that are expected to have their demand fulfilled by another Shipper under the Modification 0788 arrangements until a new Registered User is in place</w:t>
            </w:r>
          </w:p>
          <w:p w14:paraId="22E458E7" w14:textId="7CDFD50A" w:rsidR="00B71AE4" w:rsidRPr="00FE242E" w:rsidRDefault="00B71AE4" w:rsidP="006C59B0">
            <w:pPr>
              <w:pStyle w:val="ListParagraph"/>
              <w:numPr>
                <w:ilvl w:val="1"/>
                <w:numId w:val="19"/>
              </w:numPr>
              <w:spacing w:after="60"/>
              <w:ind w:left="1440"/>
              <w:rPr>
                <w:rFonts w:cs="Arial"/>
                <w:bCs/>
                <w:szCs w:val="20"/>
              </w:rPr>
            </w:pPr>
            <w:r w:rsidRPr="00FE242E">
              <w:rPr>
                <w:rFonts w:cs="Arial"/>
                <w:bCs/>
                <w:szCs w:val="20"/>
              </w:rPr>
              <w:t>A forecast, provided on each business day, of the TSMPs migrating to other Shippers (away from the Terminated Shipper portfolio)</w:t>
            </w:r>
          </w:p>
          <w:p w14:paraId="27E347B4" w14:textId="53620ED7" w:rsidR="00B71AE4" w:rsidRPr="00FE242E" w:rsidRDefault="00B71AE4" w:rsidP="006C59B0">
            <w:pPr>
              <w:pStyle w:val="ListParagraph"/>
              <w:numPr>
                <w:ilvl w:val="0"/>
                <w:numId w:val="18"/>
              </w:numPr>
              <w:spacing w:after="60"/>
              <w:ind w:left="720"/>
              <w:rPr>
                <w:rFonts w:cs="Arial"/>
                <w:bCs/>
                <w:szCs w:val="20"/>
              </w:rPr>
            </w:pPr>
            <w:r w:rsidRPr="00FE242E">
              <w:rPr>
                <w:rFonts w:cs="Arial"/>
                <w:bCs/>
                <w:szCs w:val="20"/>
              </w:rPr>
              <w:lastRenderedPageBreak/>
              <w:t>Following the National Grid NTS procurement of gas as the CPoSD, the CDSP will be required to undertake a two-stage cost recovery process which will reduce the time in which NG have to wait to recover the costs incurred to procure the required gas</w:t>
            </w:r>
          </w:p>
          <w:p w14:paraId="55429430" w14:textId="77777777" w:rsidR="00B71AE4" w:rsidRPr="00FE242E" w:rsidRDefault="00B71AE4" w:rsidP="006C59B0">
            <w:pPr>
              <w:pStyle w:val="ListParagraph"/>
              <w:spacing w:after="60"/>
              <w:ind w:left="0"/>
              <w:rPr>
                <w:rFonts w:cs="Arial"/>
                <w:bCs/>
                <w:szCs w:val="20"/>
              </w:rPr>
            </w:pPr>
          </w:p>
          <w:p w14:paraId="3A66AD43" w14:textId="74E00234" w:rsidR="00AA60D2" w:rsidRPr="00C32A28" w:rsidRDefault="00B71AE4" w:rsidP="006C59B0">
            <w:pPr>
              <w:pStyle w:val="ListParagraph"/>
              <w:numPr>
                <w:ilvl w:val="0"/>
                <w:numId w:val="17"/>
              </w:numPr>
              <w:spacing w:after="60" w:line="276" w:lineRule="auto"/>
              <w:ind w:left="360"/>
              <w:jc w:val="left"/>
              <w:rPr>
                <w:rFonts w:cs="Arial"/>
                <w:b/>
                <w:szCs w:val="20"/>
              </w:rPr>
            </w:pPr>
            <w:r w:rsidRPr="00FE242E">
              <w:rPr>
                <w:rFonts w:cs="Arial"/>
                <w:bCs/>
                <w:szCs w:val="20"/>
              </w:rPr>
              <w:t>In respect of any month in which the above cost apportionment applies, the CDSP shall publish the aggregate Balancing Neutrality charges including 0791 trades and also what the aggregate Balancing Neutrality charges would have been in the absence of any 0791 trades</w:t>
            </w:r>
          </w:p>
          <w:p w14:paraId="50C18744" w14:textId="77777777" w:rsidR="00C32A28" w:rsidRPr="00FE242E" w:rsidRDefault="00C32A28" w:rsidP="00C32A28">
            <w:pPr>
              <w:pStyle w:val="ListParagraph"/>
              <w:spacing w:after="60" w:line="276" w:lineRule="auto"/>
              <w:ind w:left="0"/>
              <w:jc w:val="left"/>
              <w:rPr>
                <w:rFonts w:cs="Arial"/>
                <w:b/>
                <w:szCs w:val="20"/>
              </w:rPr>
            </w:pPr>
          </w:p>
          <w:p w14:paraId="481E0752" w14:textId="77777777" w:rsidR="00713621" w:rsidRPr="00FE242E" w:rsidRDefault="00713621" w:rsidP="00713621">
            <w:pPr>
              <w:rPr>
                <w:rFonts w:cs="Arial"/>
                <w:sz w:val="20"/>
                <w:szCs w:val="20"/>
              </w:rPr>
            </w:pPr>
            <w:r w:rsidRPr="00FE242E">
              <w:rPr>
                <w:rFonts w:cs="Arial"/>
                <w:sz w:val="20"/>
                <w:szCs w:val="20"/>
              </w:rPr>
              <w:t>Activities covered by this BER include:</w:t>
            </w:r>
          </w:p>
          <w:p w14:paraId="430BBEBD" w14:textId="7B0CEDB3" w:rsidR="00713621" w:rsidRPr="00FE242E" w:rsidRDefault="00713621" w:rsidP="00713621">
            <w:pPr>
              <w:pStyle w:val="ListParagraph"/>
              <w:numPr>
                <w:ilvl w:val="0"/>
                <w:numId w:val="20"/>
              </w:numPr>
              <w:spacing w:after="0" w:line="240" w:lineRule="auto"/>
              <w:jc w:val="left"/>
              <w:rPr>
                <w:rFonts w:cs="Arial"/>
              </w:rPr>
            </w:pPr>
            <w:r w:rsidRPr="00FE242E">
              <w:rPr>
                <w:rFonts w:cs="Arial"/>
              </w:rPr>
              <w:t>Full costs to deliver the agreed UNC Modification 0791 solution</w:t>
            </w:r>
            <w:r w:rsidR="006B6AFF" w:rsidRPr="00FE242E">
              <w:rPr>
                <w:rFonts w:cs="Arial"/>
              </w:rPr>
              <w:t>s</w:t>
            </w:r>
            <w:r w:rsidRPr="00FE242E">
              <w:rPr>
                <w:rFonts w:cs="Arial"/>
              </w:rPr>
              <w:t xml:space="preserve"> under XRN5458</w:t>
            </w:r>
          </w:p>
          <w:p w14:paraId="05BA6E36" w14:textId="73C8A557" w:rsidR="001508CC" w:rsidRPr="00713621" w:rsidRDefault="001508CC" w:rsidP="00DA056B">
            <w:pPr>
              <w:pStyle w:val="ListParagraph"/>
              <w:spacing w:after="0" w:line="240" w:lineRule="auto"/>
              <w:jc w:val="left"/>
            </w:pPr>
          </w:p>
        </w:tc>
      </w:tr>
      <w:tr w:rsidR="008D16BE" w:rsidRPr="002B2E87" w14:paraId="356D084F" w14:textId="77777777" w:rsidTr="008D16BE">
        <w:trPr>
          <w:trHeight w:val="85"/>
        </w:trPr>
        <w:tc>
          <w:tcPr>
            <w:tcW w:w="5000" w:type="pct"/>
            <w:gridSpan w:val="2"/>
            <w:tcBorders>
              <w:bottom w:val="single" w:sz="4" w:space="0" w:color="auto"/>
            </w:tcBorders>
            <w:shd w:val="clear" w:color="auto" w:fill="3E5AA8" w:themeFill="accent1"/>
            <w:vAlign w:val="center"/>
          </w:tcPr>
          <w:p w14:paraId="3B25D51A" w14:textId="77777777" w:rsidR="008D16BE" w:rsidRPr="002B2E87" w:rsidRDefault="008D16BE" w:rsidP="008D16BE">
            <w:pPr>
              <w:jc w:val="center"/>
              <w:rPr>
                <w:rFonts w:eastAsia="Times New Roman" w:cs="Arial"/>
                <w:b/>
                <w:color w:val="FF0000"/>
              </w:rPr>
            </w:pPr>
            <w:r w:rsidRPr="002B2E87">
              <w:rPr>
                <w:rFonts w:eastAsia="Times New Roman" w:cs="Arial"/>
                <w:b/>
                <w:color w:val="FFFFFF"/>
                <w:sz w:val="20"/>
              </w:rPr>
              <w:lastRenderedPageBreak/>
              <w:t>Section 2: Out of Scope</w:t>
            </w:r>
          </w:p>
        </w:tc>
      </w:tr>
      <w:tr w:rsidR="008D16BE" w:rsidRPr="002B2E87" w14:paraId="04CB6E2F" w14:textId="77777777" w:rsidTr="008D16BE">
        <w:tc>
          <w:tcPr>
            <w:tcW w:w="5000" w:type="pct"/>
            <w:gridSpan w:val="2"/>
            <w:tcBorders>
              <w:bottom w:val="single" w:sz="4" w:space="0" w:color="auto"/>
            </w:tcBorders>
            <w:shd w:val="clear" w:color="auto" w:fill="FFFFFF" w:themeFill="background1"/>
          </w:tcPr>
          <w:p w14:paraId="289E76CE" w14:textId="62408571" w:rsidR="00AA60D2" w:rsidRPr="004A4302" w:rsidRDefault="00AA60D2" w:rsidP="00AA60D2">
            <w:pPr>
              <w:rPr>
                <w:iCs/>
                <w:color w:val="0070C0"/>
                <w:sz w:val="20"/>
                <w:szCs w:val="20"/>
              </w:rPr>
            </w:pPr>
          </w:p>
          <w:p w14:paraId="74276231" w14:textId="77777777" w:rsidR="00AA60D2" w:rsidRPr="004A4302" w:rsidRDefault="005D6096" w:rsidP="00AA60D2">
            <w:pPr>
              <w:rPr>
                <w:rFonts w:cs="Arial"/>
                <w:sz w:val="20"/>
                <w:szCs w:val="20"/>
              </w:rPr>
            </w:pPr>
            <w:r w:rsidRPr="004A4302">
              <w:rPr>
                <w:rFonts w:cs="Arial"/>
                <w:sz w:val="20"/>
                <w:szCs w:val="20"/>
              </w:rPr>
              <w:t>Any additional changes not defined in Section 1 – In Scope will be subject to change control</w:t>
            </w:r>
          </w:p>
          <w:p w14:paraId="32E48B94" w14:textId="6C6B8703" w:rsidR="005D6096" w:rsidRPr="004A4302" w:rsidRDefault="005D6096" w:rsidP="00AA60D2">
            <w:pPr>
              <w:rPr>
                <w:iCs/>
                <w:color w:val="0070C0"/>
                <w:sz w:val="20"/>
                <w:szCs w:val="20"/>
              </w:rPr>
            </w:pPr>
          </w:p>
        </w:tc>
      </w:tr>
      <w:tr w:rsidR="008D16BE" w:rsidRPr="002B2E87" w14:paraId="62FBD337" w14:textId="77777777" w:rsidTr="008D16BE">
        <w:tc>
          <w:tcPr>
            <w:tcW w:w="5000" w:type="pct"/>
            <w:gridSpan w:val="2"/>
            <w:shd w:val="clear" w:color="auto" w:fill="3E5AA8" w:themeFill="accent1"/>
            <w:vAlign w:val="center"/>
          </w:tcPr>
          <w:p w14:paraId="0B4EA425" w14:textId="77777777" w:rsidR="008D16BE" w:rsidRPr="002B2E87" w:rsidRDefault="008D16BE" w:rsidP="008D16BE">
            <w:pPr>
              <w:jc w:val="center"/>
              <w:rPr>
                <w:rFonts w:eastAsia="Times New Roman" w:cs="Arial"/>
                <w:b/>
                <w:szCs w:val="16"/>
              </w:rPr>
            </w:pPr>
            <w:r w:rsidRPr="002B2E87">
              <w:rPr>
                <w:rFonts w:eastAsia="Times New Roman" w:cs="Arial"/>
                <w:b/>
                <w:color w:val="FFFFFF"/>
                <w:sz w:val="20"/>
                <w:szCs w:val="16"/>
              </w:rPr>
              <w:t>Section 3: Funding required to deliver the change</w:t>
            </w:r>
          </w:p>
        </w:tc>
      </w:tr>
      <w:tr w:rsidR="008D16BE" w:rsidRPr="002B2E87" w14:paraId="6FD24823" w14:textId="77777777" w:rsidTr="008D16BE">
        <w:tc>
          <w:tcPr>
            <w:tcW w:w="5000" w:type="pct"/>
            <w:gridSpan w:val="2"/>
            <w:shd w:val="clear" w:color="auto" w:fill="auto"/>
          </w:tcPr>
          <w:p w14:paraId="027E8238" w14:textId="77777777" w:rsidR="008D16BE" w:rsidRDefault="008D16BE" w:rsidP="008D16BE">
            <w:pPr>
              <w:rPr>
                <w:noProof/>
              </w:rPr>
            </w:pPr>
          </w:p>
          <w:p w14:paraId="67BFA911" w14:textId="1FC6CF99" w:rsidR="00A707ED" w:rsidRDefault="00A707ED" w:rsidP="00A707ED">
            <w:pPr>
              <w:rPr>
                <w:rFonts w:eastAsia="Times New Roman" w:cs="Arial"/>
                <w:sz w:val="20"/>
                <w:szCs w:val="20"/>
              </w:rPr>
            </w:pPr>
            <w:r>
              <w:rPr>
                <w:rFonts w:eastAsia="Times New Roman" w:cs="Arial"/>
                <w:sz w:val="20"/>
                <w:szCs w:val="20"/>
              </w:rPr>
              <w:t>The following section outlines the costs to deliver the project for XRN5458.</w:t>
            </w:r>
          </w:p>
          <w:p w14:paraId="47E72926" w14:textId="77777777" w:rsidR="00A707ED" w:rsidRDefault="00A707ED" w:rsidP="00A707ED">
            <w:pPr>
              <w:rPr>
                <w:rFonts w:eastAsia="Times New Roman" w:cs="Arial"/>
                <w:b/>
                <w:sz w:val="18"/>
                <w:szCs w:val="18"/>
              </w:rPr>
            </w:pPr>
          </w:p>
          <w:p w14:paraId="0A226123" w14:textId="1E32D6A1" w:rsidR="00A707ED" w:rsidRDefault="00A707ED" w:rsidP="00A707ED">
            <w:pPr>
              <w:rPr>
                <w:rFonts w:eastAsia="Times New Roman" w:cs="Arial"/>
                <w:b/>
                <w:sz w:val="20"/>
                <w:szCs w:val="20"/>
                <w:u w:val="single"/>
              </w:rPr>
            </w:pPr>
            <w:r>
              <w:rPr>
                <w:rFonts w:eastAsia="Times New Roman" w:cs="Arial"/>
                <w:b/>
                <w:sz w:val="20"/>
                <w:szCs w:val="20"/>
                <w:u w:val="single"/>
              </w:rPr>
              <w:t>BER Cost</w:t>
            </w:r>
          </w:p>
          <w:p w14:paraId="4A1286E3" w14:textId="77777777" w:rsidR="008D16BE" w:rsidRPr="00A707ED" w:rsidRDefault="008D16BE" w:rsidP="008D16BE">
            <w:pPr>
              <w:rPr>
                <w:iCs/>
                <w:color w:val="0070C0"/>
                <w:sz w:val="20"/>
              </w:rPr>
            </w:pPr>
          </w:p>
          <w:p w14:paraId="12517682" w14:textId="77777777" w:rsidR="008D16BE" w:rsidRPr="002C58D6" w:rsidRDefault="008D16BE" w:rsidP="008D16BE">
            <w:pPr>
              <w:rPr>
                <w:rFonts w:cs="Arial"/>
                <w:b/>
                <w:bCs/>
                <w:sz w:val="18"/>
                <w:szCs w:val="18"/>
                <w:u w:val="single"/>
              </w:rPr>
            </w:pPr>
          </w:p>
          <w:tbl>
            <w:tblPr>
              <w:tblW w:w="4911" w:type="pct"/>
              <w:tblLook w:val="04A0" w:firstRow="1" w:lastRow="0" w:firstColumn="1" w:lastColumn="0" w:noHBand="0" w:noVBand="1"/>
            </w:tblPr>
            <w:tblGrid>
              <w:gridCol w:w="661"/>
              <w:gridCol w:w="883"/>
              <w:gridCol w:w="939"/>
              <w:gridCol w:w="650"/>
              <w:gridCol w:w="995"/>
              <w:gridCol w:w="872"/>
              <w:gridCol w:w="1150"/>
              <w:gridCol w:w="961"/>
              <w:gridCol w:w="505"/>
              <w:gridCol w:w="550"/>
              <w:gridCol w:w="939"/>
              <w:gridCol w:w="939"/>
            </w:tblGrid>
            <w:tr w:rsidR="00DA056B" w:rsidRPr="007A5CD4" w14:paraId="0BF6222D" w14:textId="77777777" w:rsidTr="006E3803">
              <w:trPr>
                <w:trHeight w:val="155"/>
              </w:trPr>
              <w:tc>
                <w:tcPr>
                  <w:tcW w:w="274" w:type="pct"/>
                  <w:tcBorders>
                    <w:top w:val="single" w:sz="4" w:space="0" w:color="auto"/>
                    <w:left w:val="single" w:sz="4" w:space="0" w:color="auto"/>
                    <w:bottom w:val="single" w:sz="4" w:space="0" w:color="auto"/>
                    <w:right w:val="single" w:sz="4" w:space="0" w:color="auto"/>
                  </w:tcBorders>
                  <w:shd w:val="clear" w:color="000000" w:fill="5B9BD5"/>
                  <w:hideMark/>
                </w:tcPr>
                <w:p w14:paraId="3E30D9CA" w14:textId="77777777" w:rsidR="006E3803" w:rsidRPr="00DA056B" w:rsidRDefault="006E3803" w:rsidP="003A48B9">
                  <w:pPr>
                    <w:spacing w:after="0" w:line="240" w:lineRule="auto"/>
                    <w:jc w:val="center"/>
                    <w:rPr>
                      <w:rFonts w:asciiTheme="majorHAnsi" w:eastAsia="Times New Roman" w:hAnsiTheme="majorHAnsi" w:cstheme="majorHAnsi"/>
                      <w:b/>
                      <w:bCs/>
                      <w:color w:val="000000"/>
                      <w:sz w:val="20"/>
                      <w:szCs w:val="24"/>
                    </w:rPr>
                  </w:pPr>
                  <w:r w:rsidRPr="00DA056B">
                    <w:rPr>
                      <w:rFonts w:asciiTheme="majorHAnsi" w:eastAsia="Times New Roman" w:hAnsiTheme="majorHAnsi" w:cstheme="majorHAnsi"/>
                      <w:b/>
                      <w:bCs/>
                      <w:color w:val="000000"/>
                      <w:sz w:val="20"/>
                      <w:szCs w:val="24"/>
                    </w:rPr>
                    <w:t>XRN Ref</w:t>
                  </w:r>
                </w:p>
              </w:tc>
              <w:tc>
                <w:tcPr>
                  <w:tcW w:w="414" w:type="pct"/>
                  <w:tcBorders>
                    <w:top w:val="single" w:sz="4" w:space="0" w:color="auto"/>
                    <w:left w:val="nil"/>
                    <w:bottom w:val="single" w:sz="4" w:space="0" w:color="auto"/>
                    <w:right w:val="single" w:sz="4" w:space="0" w:color="auto"/>
                  </w:tcBorders>
                  <w:shd w:val="clear" w:color="000000" w:fill="5B9BD5"/>
                  <w:hideMark/>
                </w:tcPr>
                <w:p w14:paraId="2B0E8A36" w14:textId="307651B2" w:rsidR="006E3803" w:rsidRPr="00DA056B" w:rsidRDefault="006E3803" w:rsidP="003A48B9">
                  <w:pPr>
                    <w:spacing w:after="0" w:line="240" w:lineRule="auto"/>
                    <w:jc w:val="center"/>
                    <w:rPr>
                      <w:rFonts w:asciiTheme="majorHAnsi" w:eastAsia="Times New Roman" w:hAnsiTheme="majorHAnsi" w:cstheme="majorHAnsi"/>
                      <w:b/>
                      <w:bCs/>
                      <w:color w:val="000000"/>
                      <w:sz w:val="20"/>
                      <w:szCs w:val="24"/>
                    </w:rPr>
                  </w:pPr>
                  <w:r w:rsidRPr="00DA056B">
                    <w:rPr>
                      <w:rFonts w:asciiTheme="majorHAnsi" w:eastAsia="Times New Roman" w:hAnsiTheme="majorHAnsi" w:cstheme="majorHAnsi"/>
                      <w:b/>
                      <w:bCs/>
                      <w:color w:val="000000"/>
                      <w:sz w:val="20"/>
                      <w:szCs w:val="24"/>
                    </w:rPr>
                    <w:t>Design EQR - £</w:t>
                  </w:r>
                </w:p>
              </w:tc>
              <w:tc>
                <w:tcPr>
                  <w:tcW w:w="511" w:type="pct"/>
                  <w:tcBorders>
                    <w:top w:val="single" w:sz="4" w:space="0" w:color="auto"/>
                    <w:left w:val="nil"/>
                    <w:bottom w:val="single" w:sz="4" w:space="0" w:color="auto"/>
                    <w:right w:val="single" w:sz="4" w:space="0" w:color="auto"/>
                  </w:tcBorders>
                  <w:shd w:val="clear" w:color="000000" w:fill="5B9BD5"/>
                  <w:hideMark/>
                </w:tcPr>
                <w:p w14:paraId="67D8F316" w14:textId="2C182D47" w:rsidR="006E3803" w:rsidRPr="00DA056B" w:rsidRDefault="006E3803" w:rsidP="003A48B9">
                  <w:pPr>
                    <w:spacing w:after="0" w:line="240" w:lineRule="auto"/>
                    <w:jc w:val="center"/>
                    <w:rPr>
                      <w:rFonts w:asciiTheme="majorHAnsi" w:eastAsia="Times New Roman" w:hAnsiTheme="majorHAnsi" w:cstheme="majorHAnsi"/>
                      <w:b/>
                      <w:bCs/>
                      <w:color w:val="000000"/>
                      <w:sz w:val="20"/>
                      <w:szCs w:val="24"/>
                    </w:rPr>
                  </w:pPr>
                  <w:r w:rsidRPr="00DA056B">
                    <w:rPr>
                      <w:rFonts w:asciiTheme="majorHAnsi" w:eastAsia="Times New Roman" w:hAnsiTheme="majorHAnsi" w:cstheme="majorHAnsi"/>
                      <w:b/>
                      <w:bCs/>
                      <w:color w:val="000000"/>
                      <w:sz w:val="20"/>
                      <w:szCs w:val="24"/>
                    </w:rPr>
                    <w:t>Build /Test &amp; Imp - £</w:t>
                  </w:r>
                </w:p>
              </w:tc>
              <w:tc>
                <w:tcPr>
                  <w:tcW w:w="439" w:type="pct"/>
                  <w:tcBorders>
                    <w:top w:val="single" w:sz="4" w:space="0" w:color="auto"/>
                    <w:left w:val="nil"/>
                    <w:bottom w:val="single" w:sz="4" w:space="0" w:color="auto"/>
                    <w:right w:val="single" w:sz="4" w:space="0" w:color="auto"/>
                  </w:tcBorders>
                  <w:shd w:val="clear" w:color="000000" w:fill="5B9BD5"/>
                  <w:hideMark/>
                </w:tcPr>
                <w:p w14:paraId="08F2790C" w14:textId="79226586" w:rsidR="006E3803" w:rsidRPr="00DA056B" w:rsidRDefault="006E3803" w:rsidP="003A48B9">
                  <w:pPr>
                    <w:spacing w:after="0" w:line="240" w:lineRule="auto"/>
                    <w:jc w:val="center"/>
                    <w:rPr>
                      <w:rFonts w:asciiTheme="majorHAnsi" w:eastAsia="Times New Roman" w:hAnsiTheme="majorHAnsi" w:cstheme="majorHAnsi"/>
                      <w:b/>
                      <w:bCs/>
                      <w:color w:val="000000"/>
                      <w:sz w:val="20"/>
                      <w:szCs w:val="24"/>
                    </w:rPr>
                  </w:pPr>
                  <w:r w:rsidRPr="00DA056B">
                    <w:rPr>
                      <w:rFonts w:asciiTheme="majorHAnsi" w:eastAsia="Times New Roman" w:hAnsiTheme="majorHAnsi" w:cstheme="majorHAnsi"/>
                      <w:b/>
                      <w:bCs/>
                      <w:color w:val="000000"/>
                      <w:sz w:val="20"/>
                      <w:szCs w:val="24"/>
                    </w:rPr>
                    <w:t>1st Year MTB - £</w:t>
                  </w:r>
                </w:p>
              </w:tc>
              <w:tc>
                <w:tcPr>
                  <w:tcW w:w="366" w:type="pct"/>
                  <w:tcBorders>
                    <w:top w:val="single" w:sz="4" w:space="0" w:color="auto"/>
                    <w:left w:val="nil"/>
                    <w:bottom w:val="single" w:sz="4" w:space="0" w:color="auto"/>
                    <w:right w:val="single" w:sz="4" w:space="0" w:color="auto"/>
                  </w:tcBorders>
                  <w:shd w:val="clear" w:color="000000" w:fill="5B9BD5"/>
                  <w:hideMark/>
                </w:tcPr>
                <w:p w14:paraId="591A83F8" w14:textId="57B1E7BD" w:rsidR="006E3803" w:rsidRPr="00DA056B" w:rsidRDefault="006E3803" w:rsidP="003A48B9">
                  <w:pPr>
                    <w:spacing w:after="0" w:line="240" w:lineRule="auto"/>
                    <w:jc w:val="center"/>
                    <w:rPr>
                      <w:rFonts w:asciiTheme="majorHAnsi" w:eastAsia="Times New Roman" w:hAnsiTheme="majorHAnsi" w:cstheme="majorHAnsi"/>
                      <w:b/>
                      <w:bCs/>
                      <w:color w:val="000000"/>
                      <w:sz w:val="20"/>
                      <w:szCs w:val="24"/>
                    </w:rPr>
                  </w:pPr>
                  <w:r w:rsidRPr="00DA056B">
                    <w:rPr>
                      <w:rFonts w:asciiTheme="majorHAnsi" w:eastAsia="Times New Roman" w:hAnsiTheme="majorHAnsi" w:cstheme="majorHAnsi"/>
                      <w:b/>
                      <w:bCs/>
                      <w:color w:val="000000"/>
                      <w:sz w:val="20"/>
                      <w:szCs w:val="24"/>
                    </w:rPr>
                    <w:t>Delivery Total - £</w:t>
                  </w:r>
                </w:p>
              </w:tc>
              <w:tc>
                <w:tcPr>
                  <w:tcW w:w="511" w:type="pct"/>
                  <w:tcBorders>
                    <w:top w:val="single" w:sz="4" w:space="0" w:color="auto"/>
                    <w:left w:val="nil"/>
                    <w:bottom w:val="single" w:sz="4" w:space="0" w:color="auto"/>
                    <w:right w:val="single" w:sz="4" w:space="0" w:color="auto"/>
                  </w:tcBorders>
                  <w:shd w:val="clear" w:color="000000" w:fill="5B9BD5"/>
                  <w:hideMark/>
                </w:tcPr>
                <w:p w14:paraId="6945AD4A" w14:textId="3792A552" w:rsidR="006E3803" w:rsidRPr="00DA056B" w:rsidRDefault="006E3803" w:rsidP="003A48B9">
                  <w:pPr>
                    <w:spacing w:after="0" w:line="240" w:lineRule="auto"/>
                    <w:jc w:val="center"/>
                    <w:rPr>
                      <w:rFonts w:asciiTheme="majorHAnsi" w:eastAsia="Times New Roman" w:hAnsiTheme="majorHAnsi" w:cstheme="majorHAnsi"/>
                      <w:b/>
                      <w:bCs/>
                      <w:color w:val="000000"/>
                      <w:sz w:val="20"/>
                      <w:szCs w:val="24"/>
                    </w:rPr>
                  </w:pPr>
                  <w:r w:rsidRPr="00DA056B">
                    <w:rPr>
                      <w:rFonts w:asciiTheme="majorHAnsi" w:eastAsia="Times New Roman" w:hAnsiTheme="majorHAnsi" w:cstheme="majorHAnsi"/>
                      <w:b/>
                      <w:bCs/>
                      <w:color w:val="000000"/>
                      <w:sz w:val="20"/>
                      <w:szCs w:val="24"/>
                    </w:rPr>
                    <w:t>Risk Margin - £</w:t>
                  </w:r>
                </w:p>
              </w:tc>
              <w:tc>
                <w:tcPr>
                  <w:tcW w:w="585" w:type="pct"/>
                  <w:tcBorders>
                    <w:top w:val="single" w:sz="4" w:space="0" w:color="auto"/>
                    <w:left w:val="nil"/>
                    <w:bottom w:val="single" w:sz="4" w:space="0" w:color="auto"/>
                    <w:right w:val="single" w:sz="4" w:space="0" w:color="auto"/>
                  </w:tcBorders>
                  <w:shd w:val="clear" w:color="000000" w:fill="5B9BD5"/>
                  <w:hideMark/>
                </w:tcPr>
                <w:p w14:paraId="3115D4D0" w14:textId="0FDD0007" w:rsidR="006E3803" w:rsidRPr="00DA056B" w:rsidRDefault="006E3803" w:rsidP="003A48B9">
                  <w:pPr>
                    <w:spacing w:after="0" w:line="240" w:lineRule="auto"/>
                    <w:jc w:val="center"/>
                    <w:rPr>
                      <w:rFonts w:asciiTheme="majorHAnsi" w:eastAsia="Times New Roman" w:hAnsiTheme="majorHAnsi" w:cstheme="majorHAnsi"/>
                      <w:b/>
                      <w:bCs/>
                      <w:color w:val="000000"/>
                      <w:sz w:val="20"/>
                      <w:szCs w:val="24"/>
                    </w:rPr>
                  </w:pPr>
                  <w:r w:rsidRPr="00DA056B">
                    <w:rPr>
                      <w:rFonts w:asciiTheme="majorHAnsi" w:eastAsia="Times New Roman" w:hAnsiTheme="majorHAnsi" w:cstheme="majorHAnsi"/>
                      <w:b/>
                      <w:bCs/>
                      <w:color w:val="000000"/>
                      <w:sz w:val="20"/>
                      <w:szCs w:val="24"/>
                    </w:rPr>
                    <w:t>BER Total for Approval- £</w:t>
                  </w:r>
                </w:p>
              </w:tc>
              <w:tc>
                <w:tcPr>
                  <w:tcW w:w="439" w:type="pct"/>
                  <w:tcBorders>
                    <w:top w:val="single" w:sz="4" w:space="0" w:color="auto"/>
                    <w:left w:val="nil"/>
                    <w:bottom w:val="single" w:sz="4" w:space="0" w:color="auto"/>
                    <w:right w:val="single" w:sz="4" w:space="0" w:color="auto"/>
                  </w:tcBorders>
                  <w:shd w:val="clear" w:color="000000" w:fill="5B9BD5"/>
                  <w:hideMark/>
                </w:tcPr>
                <w:p w14:paraId="2D91FCBD" w14:textId="2587717F" w:rsidR="006E3803" w:rsidRPr="00DA056B" w:rsidRDefault="006E3803" w:rsidP="003A48B9">
                  <w:pPr>
                    <w:spacing w:after="0" w:line="240" w:lineRule="auto"/>
                    <w:jc w:val="center"/>
                    <w:rPr>
                      <w:rFonts w:asciiTheme="majorHAnsi" w:eastAsia="Times New Roman" w:hAnsiTheme="majorHAnsi" w:cstheme="majorHAnsi"/>
                      <w:b/>
                      <w:bCs/>
                      <w:color w:val="000000"/>
                      <w:sz w:val="20"/>
                      <w:szCs w:val="24"/>
                    </w:rPr>
                  </w:pPr>
                  <w:r w:rsidRPr="00DA056B">
                    <w:rPr>
                      <w:rFonts w:asciiTheme="majorHAnsi" w:eastAsia="Times New Roman" w:hAnsiTheme="majorHAnsi" w:cstheme="majorHAnsi"/>
                      <w:b/>
                      <w:bCs/>
                      <w:color w:val="000000"/>
                      <w:sz w:val="20"/>
                      <w:szCs w:val="24"/>
                    </w:rPr>
                    <w:t>Shipper - £</w:t>
                  </w:r>
                </w:p>
              </w:tc>
              <w:tc>
                <w:tcPr>
                  <w:tcW w:w="365" w:type="pct"/>
                  <w:tcBorders>
                    <w:top w:val="single" w:sz="4" w:space="0" w:color="auto"/>
                    <w:left w:val="nil"/>
                    <w:bottom w:val="single" w:sz="4" w:space="0" w:color="auto"/>
                    <w:right w:val="single" w:sz="4" w:space="0" w:color="auto"/>
                  </w:tcBorders>
                  <w:shd w:val="clear" w:color="000000" w:fill="5B9BD5"/>
                  <w:hideMark/>
                </w:tcPr>
                <w:p w14:paraId="5499BBF2" w14:textId="70AABB46" w:rsidR="006E3803" w:rsidRPr="00DA056B" w:rsidRDefault="006E3803" w:rsidP="003A48B9">
                  <w:pPr>
                    <w:spacing w:after="0" w:line="240" w:lineRule="auto"/>
                    <w:jc w:val="center"/>
                    <w:rPr>
                      <w:rFonts w:asciiTheme="majorHAnsi" w:eastAsia="Times New Roman" w:hAnsiTheme="majorHAnsi" w:cstheme="majorHAnsi"/>
                      <w:b/>
                      <w:bCs/>
                      <w:color w:val="000000"/>
                      <w:sz w:val="20"/>
                      <w:szCs w:val="24"/>
                    </w:rPr>
                  </w:pPr>
                  <w:r w:rsidRPr="00DA056B">
                    <w:rPr>
                      <w:rFonts w:asciiTheme="majorHAnsi" w:eastAsia="Times New Roman" w:hAnsiTheme="majorHAnsi" w:cstheme="majorHAnsi"/>
                      <w:b/>
                      <w:bCs/>
                      <w:color w:val="000000"/>
                      <w:sz w:val="20"/>
                      <w:szCs w:val="24"/>
                    </w:rPr>
                    <w:t>DN - £</w:t>
                  </w:r>
                </w:p>
              </w:tc>
              <w:tc>
                <w:tcPr>
                  <w:tcW w:w="351" w:type="pct"/>
                  <w:tcBorders>
                    <w:top w:val="single" w:sz="4" w:space="0" w:color="auto"/>
                    <w:left w:val="nil"/>
                    <w:bottom w:val="single" w:sz="4" w:space="0" w:color="auto"/>
                    <w:right w:val="single" w:sz="4" w:space="0" w:color="auto"/>
                  </w:tcBorders>
                  <w:shd w:val="clear" w:color="000000" w:fill="5B9BD5"/>
                  <w:hideMark/>
                </w:tcPr>
                <w:p w14:paraId="28CC1239" w14:textId="7354F741" w:rsidR="006E3803" w:rsidRPr="00DA056B" w:rsidRDefault="006E3803" w:rsidP="003A48B9">
                  <w:pPr>
                    <w:spacing w:after="0" w:line="240" w:lineRule="auto"/>
                    <w:jc w:val="center"/>
                    <w:rPr>
                      <w:rFonts w:asciiTheme="majorHAnsi" w:eastAsia="Times New Roman" w:hAnsiTheme="majorHAnsi" w:cstheme="majorHAnsi"/>
                      <w:b/>
                      <w:bCs/>
                      <w:color w:val="000000"/>
                      <w:sz w:val="20"/>
                      <w:szCs w:val="24"/>
                    </w:rPr>
                  </w:pPr>
                  <w:r w:rsidRPr="00DA056B">
                    <w:rPr>
                      <w:rFonts w:asciiTheme="majorHAnsi" w:eastAsia="Times New Roman" w:hAnsiTheme="majorHAnsi" w:cstheme="majorHAnsi"/>
                      <w:b/>
                      <w:bCs/>
                      <w:color w:val="000000"/>
                      <w:sz w:val="20"/>
                      <w:szCs w:val="24"/>
                    </w:rPr>
                    <w:t>IGT - £</w:t>
                  </w:r>
                </w:p>
              </w:tc>
              <w:tc>
                <w:tcPr>
                  <w:tcW w:w="373" w:type="pct"/>
                  <w:tcBorders>
                    <w:top w:val="single" w:sz="4" w:space="0" w:color="auto"/>
                    <w:left w:val="nil"/>
                    <w:bottom w:val="single" w:sz="4" w:space="0" w:color="auto"/>
                    <w:right w:val="single" w:sz="4" w:space="0" w:color="auto"/>
                  </w:tcBorders>
                  <w:shd w:val="clear" w:color="000000" w:fill="5B9BD5"/>
                  <w:hideMark/>
                </w:tcPr>
                <w:p w14:paraId="37E3F058" w14:textId="63515E76" w:rsidR="006E3803" w:rsidRPr="00DA056B" w:rsidRDefault="006E3803" w:rsidP="003A48B9">
                  <w:pPr>
                    <w:spacing w:after="0" w:line="240" w:lineRule="auto"/>
                    <w:jc w:val="center"/>
                    <w:rPr>
                      <w:rFonts w:asciiTheme="majorHAnsi" w:eastAsia="Times New Roman" w:hAnsiTheme="majorHAnsi" w:cstheme="majorHAnsi"/>
                      <w:b/>
                      <w:bCs/>
                      <w:color w:val="000000"/>
                      <w:sz w:val="20"/>
                      <w:szCs w:val="24"/>
                    </w:rPr>
                  </w:pPr>
                  <w:r w:rsidRPr="00DA056B">
                    <w:rPr>
                      <w:rFonts w:asciiTheme="majorHAnsi" w:eastAsia="Times New Roman" w:hAnsiTheme="majorHAnsi" w:cstheme="majorHAnsi"/>
                      <w:b/>
                      <w:bCs/>
                      <w:color w:val="000000"/>
                      <w:sz w:val="20"/>
                      <w:szCs w:val="24"/>
                    </w:rPr>
                    <w:t>NTS - £</w:t>
                  </w:r>
                </w:p>
              </w:tc>
              <w:tc>
                <w:tcPr>
                  <w:tcW w:w="373" w:type="pct"/>
                  <w:tcBorders>
                    <w:top w:val="single" w:sz="4" w:space="0" w:color="auto"/>
                    <w:left w:val="nil"/>
                    <w:bottom w:val="single" w:sz="4" w:space="0" w:color="auto"/>
                    <w:right w:val="single" w:sz="4" w:space="0" w:color="auto"/>
                  </w:tcBorders>
                  <w:shd w:val="clear" w:color="000000" w:fill="5B9BD5"/>
                  <w:noWrap/>
                  <w:hideMark/>
                </w:tcPr>
                <w:p w14:paraId="3E883F6E" w14:textId="651F1D94" w:rsidR="006E3803" w:rsidRPr="00DA056B" w:rsidRDefault="006E3803" w:rsidP="003A48B9">
                  <w:pPr>
                    <w:spacing w:after="0" w:line="240" w:lineRule="auto"/>
                    <w:jc w:val="center"/>
                    <w:rPr>
                      <w:rFonts w:asciiTheme="majorHAnsi" w:eastAsia="Times New Roman" w:hAnsiTheme="majorHAnsi" w:cstheme="majorHAnsi"/>
                      <w:b/>
                      <w:bCs/>
                      <w:color w:val="000000"/>
                      <w:sz w:val="20"/>
                      <w:szCs w:val="24"/>
                    </w:rPr>
                  </w:pPr>
                  <w:r w:rsidRPr="00DA056B">
                    <w:rPr>
                      <w:rFonts w:asciiTheme="majorHAnsi" w:eastAsia="Times New Roman" w:hAnsiTheme="majorHAnsi" w:cstheme="majorHAnsi"/>
                      <w:b/>
                      <w:bCs/>
                      <w:color w:val="000000"/>
                      <w:sz w:val="20"/>
                      <w:szCs w:val="24"/>
                    </w:rPr>
                    <w:t>Total</w:t>
                  </w:r>
                </w:p>
              </w:tc>
            </w:tr>
            <w:tr w:rsidR="006E3803" w:rsidRPr="007A5CD4" w14:paraId="47AD55EA" w14:textId="77777777" w:rsidTr="006E3803">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7C89C933" w14:textId="347D2B99" w:rsidR="006E3803" w:rsidRPr="00DA056B" w:rsidRDefault="006E3803" w:rsidP="0021016C">
                  <w:pPr>
                    <w:spacing w:after="0" w:line="240" w:lineRule="auto"/>
                    <w:jc w:val="center"/>
                    <w:rPr>
                      <w:rFonts w:asciiTheme="majorHAnsi" w:eastAsia="Times New Roman" w:hAnsiTheme="majorHAnsi" w:cstheme="majorHAnsi"/>
                      <w:color w:val="000000"/>
                      <w:sz w:val="20"/>
                      <w:szCs w:val="24"/>
                    </w:rPr>
                  </w:pPr>
                  <w:r w:rsidRPr="00DA056B">
                    <w:rPr>
                      <w:rFonts w:asciiTheme="majorHAnsi" w:eastAsia="Times New Roman" w:hAnsiTheme="majorHAnsi" w:cstheme="majorHAnsi"/>
                      <w:color w:val="000000"/>
                      <w:sz w:val="20"/>
                      <w:szCs w:val="24"/>
                    </w:rPr>
                    <w:t>5458</w:t>
                  </w:r>
                </w:p>
              </w:tc>
              <w:tc>
                <w:tcPr>
                  <w:tcW w:w="414" w:type="pct"/>
                  <w:tcBorders>
                    <w:top w:val="nil"/>
                    <w:left w:val="nil"/>
                    <w:bottom w:val="single" w:sz="4" w:space="0" w:color="auto"/>
                    <w:right w:val="single" w:sz="4" w:space="0" w:color="auto"/>
                  </w:tcBorders>
                  <w:shd w:val="clear" w:color="auto" w:fill="auto"/>
                  <w:noWrap/>
                  <w:hideMark/>
                </w:tcPr>
                <w:p w14:paraId="774CE271" w14:textId="77777777" w:rsidR="006E3803" w:rsidRPr="00DA056B" w:rsidRDefault="006E3803" w:rsidP="0021016C">
                  <w:pPr>
                    <w:spacing w:after="0" w:line="240" w:lineRule="auto"/>
                    <w:jc w:val="center"/>
                    <w:rPr>
                      <w:rFonts w:asciiTheme="majorHAnsi" w:eastAsia="Times New Roman" w:hAnsiTheme="majorHAnsi" w:cstheme="majorHAnsi"/>
                      <w:color w:val="000000"/>
                      <w:sz w:val="20"/>
                      <w:szCs w:val="24"/>
                    </w:rPr>
                  </w:pPr>
                  <w:r w:rsidRPr="00DA056B">
                    <w:rPr>
                      <w:rFonts w:asciiTheme="majorHAnsi" w:eastAsia="Times New Roman" w:hAnsiTheme="majorHAnsi" w:cstheme="majorHAnsi"/>
                      <w:color w:val="000000"/>
                      <w:sz w:val="20"/>
                      <w:szCs w:val="24"/>
                    </w:rPr>
                    <w:t>NA</w:t>
                  </w:r>
                </w:p>
              </w:tc>
              <w:tc>
                <w:tcPr>
                  <w:tcW w:w="511" w:type="pct"/>
                  <w:tcBorders>
                    <w:top w:val="nil"/>
                    <w:left w:val="nil"/>
                    <w:bottom w:val="single" w:sz="4" w:space="0" w:color="auto"/>
                    <w:right w:val="single" w:sz="4" w:space="0" w:color="auto"/>
                  </w:tcBorders>
                  <w:shd w:val="clear" w:color="auto" w:fill="auto"/>
                  <w:noWrap/>
                  <w:hideMark/>
                </w:tcPr>
                <w:p w14:paraId="5B97F77E" w14:textId="7834B596" w:rsidR="006E3803" w:rsidRPr="00DA056B" w:rsidRDefault="006E3803" w:rsidP="0021016C">
                  <w:pPr>
                    <w:spacing w:after="0" w:line="240" w:lineRule="auto"/>
                    <w:jc w:val="center"/>
                    <w:rPr>
                      <w:rFonts w:asciiTheme="majorHAnsi" w:eastAsia="Times New Roman" w:hAnsiTheme="majorHAnsi" w:cstheme="majorHAnsi"/>
                      <w:color w:val="000000"/>
                      <w:sz w:val="20"/>
                      <w:szCs w:val="24"/>
                    </w:rPr>
                  </w:pPr>
                  <w:r w:rsidRPr="00DA056B">
                    <w:rPr>
                      <w:rFonts w:asciiTheme="majorHAnsi" w:eastAsia="Times New Roman" w:hAnsiTheme="majorHAnsi" w:cstheme="majorHAnsi"/>
                      <w:color w:val="000000"/>
                      <w:sz w:val="20"/>
                      <w:szCs w:val="24"/>
                    </w:rPr>
                    <w:t>£20,397</w:t>
                  </w:r>
                </w:p>
              </w:tc>
              <w:tc>
                <w:tcPr>
                  <w:tcW w:w="439" w:type="pct"/>
                  <w:tcBorders>
                    <w:top w:val="nil"/>
                    <w:left w:val="nil"/>
                    <w:bottom w:val="single" w:sz="4" w:space="0" w:color="auto"/>
                    <w:right w:val="single" w:sz="4" w:space="0" w:color="auto"/>
                  </w:tcBorders>
                  <w:shd w:val="clear" w:color="auto" w:fill="auto"/>
                  <w:noWrap/>
                  <w:hideMark/>
                </w:tcPr>
                <w:p w14:paraId="6FFE9315" w14:textId="4057850B" w:rsidR="006E3803" w:rsidRPr="00DA056B" w:rsidRDefault="006E3803" w:rsidP="0021016C">
                  <w:pPr>
                    <w:spacing w:after="0" w:line="240" w:lineRule="auto"/>
                    <w:jc w:val="center"/>
                    <w:rPr>
                      <w:rFonts w:asciiTheme="majorHAnsi" w:eastAsia="Times New Roman" w:hAnsiTheme="majorHAnsi" w:cstheme="majorHAnsi"/>
                      <w:color w:val="000000"/>
                      <w:sz w:val="20"/>
                      <w:szCs w:val="24"/>
                    </w:rPr>
                  </w:pPr>
                  <w:r w:rsidRPr="00DA056B">
                    <w:rPr>
                      <w:rFonts w:asciiTheme="majorHAnsi" w:eastAsia="Times New Roman" w:hAnsiTheme="majorHAnsi" w:cstheme="majorHAnsi"/>
                      <w:color w:val="000000"/>
                      <w:sz w:val="20"/>
                      <w:szCs w:val="24"/>
                    </w:rPr>
                    <w:t>£</w:t>
                  </w:r>
                  <w:r w:rsidR="00C7400A" w:rsidRPr="00DA056B">
                    <w:rPr>
                      <w:rFonts w:asciiTheme="majorHAnsi" w:eastAsia="Times New Roman" w:hAnsiTheme="majorHAnsi" w:cstheme="majorHAnsi"/>
                      <w:color w:val="000000"/>
                      <w:sz w:val="20"/>
                      <w:szCs w:val="24"/>
                    </w:rPr>
                    <w:t>0</w:t>
                  </w:r>
                </w:p>
              </w:tc>
              <w:tc>
                <w:tcPr>
                  <w:tcW w:w="366" w:type="pct"/>
                  <w:tcBorders>
                    <w:top w:val="nil"/>
                    <w:left w:val="nil"/>
                    <w:bottom w:val="single" w:sz="4" w:space="0" w:color="auto"/>
                    <w:right w:val="single" w:sz="4" w:space="0" w:color="auto"/>
                  </w:tcBorders>
                  <w:shd w:val="clear" w:color="auto" w:fill="auto"/>
                  <w:noWrap/>
                  <w:hideMark/>
                </w:tcPr>
                <w:p w14:paraId="145D8591" w14:textId="0F21DA7F" w:rsidR="006E3803" w:rsidRPr="00DA056B" w:rsidRDefault="006E3803" w:rsidP="0021016C">
                  <w:pPr>
                    <w:spacing w:after="0" w:line="240" w:lineRule="auto"/>
                    <w:jc w:val="center"/>
                    <w:rPr>
                      <w:rFonts w:asciiTheme="majorHAnsi" w:eastAsia="Times New Roman" w:hAnsiTheme="majorHAnsi" w:cstheme="majorHAnsi"/>
                      <w:color w:val="000000"/>
                      <w:sz w:val="20"/>
                      <w:szCs w:val="24"/>
                    </w:rPr>
                  </w:pPr>
                  <w:r w:rsidRPr="00DA056B">
                    <w:rPr>
                      <w:rFonts w:asciiTheme="majorHAnsi" w:eastAsia="Times New Roman" w:hAnsiTheme="majorHAnsi" w:cstheme="majorHAnsi"/>
                      <w:color w:val="000000"/>
                      <w:sz w:val="20"/>
                      <w:szCs w:val="24"/>
                    </w:rPr>
                    <w:t>£</w:t>
                  </w:r>
                  <w:r w:rsidR="00275BB6" w:rsidRPr="00DA056B">
                    <w:rPr>
                      <w:rFonts w:asciiTheme="majorHAnsi" w:eastAsia="Times New Roman" w:hAnsiTheme="majorHAnsi" w:cstheme="majorHAnsi"/>
                      <w:color w:val="000000"/>
                      <w:sz w:val="20"/>
                      <w:szCs w:val="24"/>
                    </w:rPr>
                    <w:t>20,397</w:t>
                  </w:r>
                </w:p>
              </w:tc>
              <w:tc>
                <w:tcPr>
                  <w:tcW w:w="511" w:type="pct"/>
                  <w:tcBorders>
                    <w:top w:val="nil"/>
                    <w:left w:val="nil"/>
                    <w:bottom w:val="single" w:sz="4" w:space="0" w:color="auto"/>
                    <w:right w:val="single" w:sz="4" w:space="0" w:color="auto"/>
                  </w:tcBorders>
                  <w:shd w:val="clear" w:color="auto" w:fill="auto"/>
                  <w:noWrap/>
                  <w:hideMark/>
                </w:tcPr>
                <w:p w14:paraId="62D9C5BE" w14:textId="4D7DDF0E" w:rsidR="006E3803" w:rsidRPr="00DA056B" w:rsidRDefault="006E3803" w:rsidP="0021016C">
                  <w:pPr>
                    <w:spacing w:after="0" w:line="240" w:lineRule="auto"/>
                    <w:jc w:val="center"/>
                    <w:rPr>
                      <w:rFonts w:asciiTheme="majorHAnsi" w:eastAsia="Times New Roman" w:hAnsiTheme="majorHAnsi" w:cstheme="majorHAnsi"/>
                      <w:color w:val="000000"/>
                      <w:sz w:val="20"/>
                      <w:szCs w:val="24"/>
                    </w:rPr>
                  </w:pPr>
                  <w:r w:rsidRPr="00DA056B">
                    <w:rPr>
                      <w:rFonts w:asciiTheme="majorHAnsi" w:eastAsia="Times New Roman" w:hAnsiTheme="majorHAnsi" w:cstheme="majorHAnsi"/>
                      <w:color w:val="000000"/>
                      <w:sz w:val="20"/>
                      <w:szCs w:val="24"/>
                    </w:rPr>
                    <w:t>£0</w:t>
                  </w:r>
                </w:p>
              </w:tc>
              <w:tc>
                <w:tcPr>
                  <w:tcW w:w="585" w:type="pct"/>
                  <w:tcBorders>
                    <w:top w:val="nil"/>
                    <w:left w:val="nil"/>
                    <w:bottom w:val="single" w:sz="4" w:space="0" w:color="auto"/>
                    <w:right w:val="single" w:sz="4" w:space="0" w:color="auto"/>
                  </w:tcBorders>
                  <w:shd w:val="clear" w:color="auto" w:fill="auto"/>
                  <w:noWrap/>
                  <w:hideMark/>
                </w:tcPr>
                <w:p w14:paraId="57840175" w14:textId="47EB3821" w:rsidR="006E3803" w:rsidRPr="00DA056B" w:rsidRDefault="00275BB6" w:rsidP="0021016C">
                  <w:pPr>
                    <w:spacing w:after="0" w:line="240" w:lineRule="auto"/>
                    <w:jc w:val="center"/>
                    <w:rPr>
                      <w:rFonts w:asciiTheme="majorHAnsi" w:eastAsia="Times New Roman" w:hAnsiTheme="majorHAnsi" w:cstheme="majorHAnsi"/>
                      <w:color w:val="000000"/>
                      <w:sz w:val="20"/>
                      <w:szCs w:val="24"/>
                    </w:rPr>
                  </w:pPr>
                  <w:r w:rsidRPr="00DA056B">
                    <w:rPr>
                      <w:rFonts w:asciiTheme="majorHAnsi" w:eastAsia="Times New Roman" w:hAnsiTheme="majorHAnsi" w:cstheme="majorHAnsi"/>
                      <w:color w:val="000000"/>
                      <w:sz w:val="20"/>
                      <w:szCs w:val="24"/>
                    </w:rPr>
                    <w:t>£20,397</w:t>
                  </w:r>
                </w:p>
              </w:tc>
              <w:tc>
                <w:tcPr>
                  <w:tcW w:w="439" w:type="pct"/>
                  <w:tcBorders>
                    <w:top w:val="nil"/>
                    <w:left w:val="nil"/>
                    <w:bottom w:val="single" w:sz="4" w:space="0" w:color="auto"/>
                    <w:right w:val="single" w:sz="4" w:space="0" w:color="auto"/>
                  </w:tcBorders>
                  <w:shd w:val="clear" w:color="auto" w:fill="auto"/>
                  <w:noWrap/>
                  <w:hideMark/>
                </w:tcPr>
                <w:p w14:paraId="7E38D3DF" w14:textId="3891A3C2" w:rsidR="006E3803" w:rsidRPr="00DA056B" w:rsidRDefault="006E3803" w:rsidP="0021016C">
                  <w:pPr>
                    <w:spacing w:after="0" w:line="240" w:lineRule="auto"/>
                    <w:jc w:val="center"/>
                    <w:rPr>
                      <w:rFonts w:asciiTheme="majorHAnsi" w:eastAsia="Times New Roman" w:hAnsiTheme="majorHAnsi" w:cstheme="majorHAnsi"/>
                      <w:color w:val="000000"/>
                      <w:sz w:val="20"/>
                      <w:szCs w:val="24"/>
                    </w:rPr>
                  </w:pPr>
                  <w:r w:rsidRPr="00DA056B">
                    <w:rPr>
                      <w:rFonts w:asciiTheme="majorHAnsi" w:eastAsia="Times New Roman" w:hAnsiTheme="majorHAnsi" w:cstheme="majorHAnsi"/>
                      <w:color w:val="000000"/>
                      <w:sz w:val="20"/>
                      <w:szCs w:val="24"/>
                    </w:rPr>
                    <w:t>£0</w:t>
                  </w:r>
                </w:p>
              </w:tc>
              <w:tc>
                <w:tcPr>
                  <w:tcW w:w="365" w:type="pct"/>
                  <w:tcBorders>
                    <w:top w:val="nil"/>
                    <w:left w:val="nil"/>
                    <w:bottom w:val="single" w:sz="4" w:space="0" w:color="auto"/>
                    <w:right w:val="single" w:sz="4" w:space="0" w:color="auto"/>
                  </w:tcBorders>
                  <w:shd w:val="clear" w:color="auto" w:fill="auto"/>
                  <w:noWrap/>
                  <w:hideMark/>
                </w:tcPr>
                <w:p w14:paraId="65250134" w14:textId="77777777" w:rsidR="006E3803" w:rsidRPr="00DA056B" w:rsidRDefault="006E3803" w:rsidP="0021016C">
                  <w:pPr>
                    <w:spacing w:after="0" w:line="240" w:lineRule="auto"/>
                    <w:jc w:val="center"/>
                    <w:rPr>
                      <w:rFonts w:asciiTheme="majorHAnsi" w:eastAsia="Times New Roman" w:hAnsiTheme="majorHAnsi" w:cstheme="majorHAnsi"/>
                      <w:color w:val="000000"/>
                      <w:sz w:val="20"/>
                      <w:szCs w:val="24"/>
                    </w:rPr>
                  </w:pPr>
                  <w:r w:rsidRPr="00DA056B">
                    <w:rPr>
                      <w:rFonts w:asciiTheme="majorHAnsi" w:eastAsia="Times New Roman" w:hAnsiTheme="majorHAnsi" w:cstheme="majorHAnsi"/>
                      <w:color w:val="000000"/>
                      <w:sz w:val="20"/>
                      <w:szCs w:val="24"/>
                    </w:rPr>
                    <w:t>£0</w:t>
                  </w:r>
                </w:p>
              </w:tc>
              <w:tc>
                <w:tcPr>
                  <w:tcW w:w="351" w:type="pct"/>
                  <w:tcBorders>
                    <w:top w:val="nil"/>
                    <w:left w:val="nil"/>
                    <w:bottom w:val="single" w:sz="4" w:space="0" w:color="auto"/>
                    <w:right w:val="single" w:sz="4" w:space="0" w:color="auto"/>
                  </w:tcBorders>
                  <w:shd w:val="clear" w:color="auto" w:fill="auto"/>
                  <w:noWrap/>
                  <w:hideMark/>
                </w:tcPr>
                <w:p w14:paraId="57AC1702" w14:textId="77777777" w:rsidR="006E3803" w:rsidRPr="00DA056B" w:rsidRDefault="006E3803" w:rsidP="0021016C">
                  <w:pPr>
                    <w:spacing w:after="0" w:line="240" w:lineRule="auto"/>
                    <w:jc w:val="center"/>
                    <w:rPr>
                      <w:rFonts w:asciiTheme="majorHAnsi" w:eastAsia="Times New Roman" w:hAnsiTheme="majorHAnsi" w:cstheme="majorHAnsi"/>
                      <w:color w:val="000000"/>
                      <w:sz w:val="20"/>
                      <w:szCs w:val="24"/>
                    </w:rPr>
                  </w:pPr>
                  <w:r w:rsidRPr="00DA056B">
                    <w:rPr>
                      <w:rFonts w:asciiTheme="majorHAnsi" w:eastAsia="Times New Roman" w:hAnsiTheme="majorHAnsi" w:cstheme="majorHAnsi"/>
                      <w:color w:val="000000"/>
                      <w:sz w:val="20"/>
                      <w:szCs w:val="24"/>
                    </w:rPr>
                    <w:t>£0</w:t>
                  </w:r>
                </w:p>
              </w:tc>
              <w:tc>
                <w:tcPr>
                  <w:tcW w:w="373" w:type="pct"/>
                  <w:tcBorders>
                    <w:top w:val="nil"/>
                    <w:left w:val="nil"/>
                    <w:bottom w:val="single" w:sz="4" w:space="0" w:color="auto"/>
                    <w:right w:val="single" w:sz="4" w:space="0" w:color="auto"/>
                  </w:tcBorders>
                  <w:shd w:val="clear" w:color="auto" w:fill="auto"/>
                  <w:noWrap/>
                  <w:hideMark/>
                </w:tcPr>
                <w:p w14:paraId="7FFB8FE0" w14:textId="590B1BC1" w:rsidR="006E3803" w:rsidRPr="00DA056B" w:rsidRDefault="00275BB6" w:rsidP="0021016C">
                  <w:pPr>
                    <w:spacing w:after="0" w:line="240" w:lineRule="auto"/>
                    <w:jc w:val="center"/>
                    <w:rPr>
                      <w:rFonts w:asciiTheme="majorHAnsi" w:eastAsia="Times New Roman" w:hAnsiTheme="majorHAnsi" w:cstheme="majorHAnsi"/>
                      <w:color w:val="000000"/>
                      <w:sz w:val="20"/>
                      <w:szCs w:val="24"/>
                    </w:rPr>
                  </w:pPr>
                  <w:r w:rsidRPr="00DA056B">
                    <w:rPr>
                      <w:rFonts w:asciiTheme="majorHAnsi" w:eastAsia="Times New Roman" w:hAnsiTheme="majorHAnsi" w:cstheme="majorHAnsi"/>
                      <w:color w:val="000000"/>
                      <w:sz w:val="20"/>
                      <w:szCs w:val="24"/>
                    </w:rPr>
                    <w:t>£20,397</w:t>
                  </w:r>
                </w:p>
              </w:tc>
              <w:tc>
                <w:tcPr>
                  <w:tcW w:w="373" w:type="pct"/>
                  <w:tcBorders>
                    <w:top w:val="nil"/>
                    <w:left w:val="nil"/>
                    <w:bottom w:val="single" w:sz="4" w:space="0" w:color="auto"/>
                    <w:right w:val="single" w:sz="4" w:space="0" w:color="auto"/>
                  </w:tcBorders>
                  <w:shd w:val="clear" w:color="auto" w:fill="auto"/>
                  <w:noWrap/>
                  <w:hideMark/>
                </w:tcPr>
                <w:p w14:paraId="70CB70A5" w14:textId="0F59E266" w:rsidR="006E3803" w:rsidRPr="00DA056B" w:rsidRDefault="00275BB6" w:rsidP="0021016C">
                  <w:pPr>
                    <w:spacing w:after="0" w:line="240" w:lineRule="auto"/>
                    <w:jc w:val="center"/>
                    <w:rPr>
                      <w:rFonts w:asciiTheme="majorHAnsi" w:eastAsia="Times New Roman" w:hAnsiTheme="majorHAnsi" w:cstheme="majorHAnsi"/>
                      <w:color w:val="000000"/>
                      <w:sz w:val="20"/>
                      <w:szCs w:val="24"/>
                    </w:rPr>
                  </w:pPr>
                  <w:r w:rsidRPr="00DA056B">
                    <w:rPr>
                      <w:rFonts w:asciiTheme="majorHAnsi" w:eastAsia="Times New Roman" w:hAnsiTheme="majorHAnsi" w:cstheme="majorHAnsi"/>
                      <w:color w:val="000000"/>
                      <w:sz w:val="20"/>
                      <w:szCs w:val="24"/>
                    </w:rPr>
                    <w:t>£20,397</w:t>
                  </w:r>
                </w:p>
              </w:tc>
            </w:tr>
          </w:tbl>
          <w:p w14:paraId="6E3723D2" w14:textId="4E755C30" w:rsidR="008D16BE" w:rsidRDefault="008D16BE" w:rsidP="008D16BE">
            <w:pPr>
              <w:rPr>
                <w:rFonts w:cs="Arial"/>
                <w:b/>
                <w:szCs w:val="16"/>
              </w:rPr>
            </w:pPr>
          </w:p>
          <w:p w14:paraId="2F5BCCF3" w14:textId="2F67999F" w:rsidR="008D16BE" w:rsidRPr="00982681" w:rsidRDefault="008D16BE" w:rsidP="008D16BE">
            <w:pPr>
              <w:rPr>
                <w:rFonts w:cs="Arial"/>
                <w:b/>
                <w:sz w:val="18"/>
                <w:szCs w:val="18"/>
                <w:u w:val="single"/>
              </w:rPr>
            </w:pPr>
          </w:p>
        </w:tc>
      </w:tr>
      <w:tr w:rsidR="008D16BE" w:rsidRPr="002B2E87" w14:paraId="6755CD90" w14:textId="77777777" w:rsidTr="008D16BE">
        <w:tc>
          <w:tcPr>
            <w:tcW w:w="5000" w:type="pct"/>
            <w:gridSpan w:val="2"/>
            <w:shd w:val="clear" w:color="auto" w:fill="3E5AA8" w:themeFill="accent1"/>
            <w:vAlign w:val="center"/>
          </w:tcPr>
          <w:p w14:paraId="712659F4" w14:textId="5E9B840D" w:rsidR="008D16BE" w:rsidRPr="002B2E87" w:rsidRDefault="008D16BE" w:rsidP="008D16BE">
            <w:pPr>
              <w:jc w:val="center"/>
              <w:rPr>
                <w:rFonts w:eastAsia="Times New Roman" w:cs="Arial"/>
                <w:b/>
                <w:szCs w:val="16"/>
              </w:rPr>
            </w:pPr>
            <w:r w:rsidRPr="002B2E87">
              <w:rPr>
                <w:rFonts w:eastAsia="Times New Roman" w:cs="Arial"/>
                <w:b/>
                <w:color w:val="FFFFFF"/>
                <w:sz w:val="20"/>
                <w:szCs w:val="16"/>
              </w:rPr>
              <w:t>Section 4: Estimated impact of the service change on service charges</w:t>
            </w:r>
          </w:p>
        </w:tc>
      </w:tr>
      <w:tr w:rsidR="008D16BE" w:rsidRPr="002B2E87" w14:paraId="35E72947" w14:textId="77777777" w:rsidTr="008D16BE">
        <w:tc>
          <w:tcPr>
            <w:tcW w:w="5000" w:type="pct"/>
            <w:gridSpan w:val="2"/>
            <w:shd w:val="clear" w:color="auto" w:fill="auto"/>
          </w:tcPr>
          <w:p w14:paraId="0F550BA8" w14:textId="184085EC" w:rsidR="008D16BE" w:rsidRDefault="008D16BE" w:rsidP="008D16BE">
            <w:pPr>
              <w:contextualSpacing/>
              <w:rPr>
                <w:rFonts w:eastAsia="Times New Roman" w:cs="Arial"/>
                <w:b/>
                <w:sz w:val="20"/>
                <w:u w:val="single"/>
              </w:rPr>
            </w:pPr>
          </w:p>
          <w:p w14:paraId="06FB9702" w14:textId="77777777" w:rsidR="000B4DF2" w:rsidRDefault="000B4DF2" w:rsidP="000B4DF2">
            <w:pPr>
              <w:contextualSpacing/>
              <w:rPr>
                <w:rFonts w:eastAsia="Times New Roman" w:cs="Arial"/>
                <w:b/>
                <w:sz w:val="20"/>
                <w:u w:val="single"/>
              </w:rPr>
            </w:pPr>
            <w:r>
              <w:rPr>
                <w:rFonts w:eastAsia="Times New Roman" w:cs="Arial"/>
                <w:b/>
                <w:sz w:val="20"/>
                <w:u w:val="single"/>
              </w:rPr>
              <w:t>Manage The Business (MTB) Costs</w:t>
            </w:r>
          </w:p>
          <w:p w14:paraId="7E5E6953" w14:textId="77777777" w:rsidR="000B4DF2" w:rsidRDefault="000B4DF2" w:rsidP="008D16BE">
            <w:pPr>
              <w:contextualSpacing/>
              <w:rPr>
                <w:rFonts w:eastAsia="Times New Roman" w:cs="Arial"/>
                <w:b/>
                <w:sz w:val="20"/>
                <w:u w:val="single"/>
              </w:rPr>
            </w:pPr>
          </w:p>
          <w:p w14:paraId="2D00F194" w14:textId="77777777" w:rsidR="000B4DF2" w:rsidRDefault="000B4DF2" w:rsidP="008D16BE">
            <w:pPr>
              <w:contextualSpacing/>
              <w:rPr>
                <w:rFonts w:eastAsia="Times New Roman" w:cs="Arial"/>
                <w:b/>
                <w:sz w:val="20"/>
                <w:u w:val="single"/>
              </w:rPr>
            </w:pPr>
          </w:p>
          <w:tbl>
            <w:tblPr>
              <w:tblStyle w:val="TableGrid1"/>
              <w:tblpPr w:leftFromText="180" w:rightFromText="180" w:vertAnchor="text" w:horzAnchor="margin" w:tblpY="-116"/>
              <w:tblOverlap w:val="never"/>
              <w:tblW w:w="9360" w:type="dxa"/>
              <w:tblLook w:val="04A0" w:firstRow="1" w:lastRow="0" w:firstColumn="1" w:lastColumn="0" w:noHBand="0" w:noVBand="1"/>
            </w:tblPr>
            <w:tblGrid>
              <w:gridCol w:w="960"/>
              <w:gridCol w:w="2835"/>
              <w:gridCol w:w="2765"/>
              <w:gridCol w:w="2800"/>
            </w:tblGrid>
            <w:tr w:rsidR="008D16BE" w:rsidRPr="00E45748" w14:paraId="53A61A4E" w14:textId="77777777" w:rsidTr="00980B8C">
              <w:trPr>
                <w:trHeight w:val="520"/>
              </w:trPr>
              <w:tc>
                <w:tcPr>
                  <w:tcW w:w="960" w:type="dxa"/>
                  <w:hideMark/>
                </w:tcPr>
                <w:p w14:paraId="10A86043" w14:textId="69C436B7" w:rsidR="008D16BE" w:rsidRPr="00E45748" w:rsidRDefault="008D16BE" w:rsidP="008D16BE">
                  <w:pPr>
                    <w:jc w:val="center"/>
                    <w:rPr>
                      <w:rFonts w:eastAsia="Times New Roman" w:cs="Arial"/>
                      <w:b/>
                      <w:bCs/>
                      <w:color w:val="000000"/>
                      <w:sz w:val="20"/>
                      <w:szCs w:val="20"/>
                    </w:rPr>
                  </w:pPr>
                  <w:r>
                    <w:rPr>
                      <w:rFonts w:cs="Arial"/>
                      <w:b/>
                      <w:bCs/>
                      <w:color w:val="000000"/>
                      <w:sz w:val="20"/>
                      <w:szCs w:val="20"/>
                    </w:rPr>
                    <w:t>XRN</w:t>
                  </w:r>
                </w:p>
              </w:tc>
              <w:tc>
                <w:tcPr>
                  <w:tcW w:w="2835" w:type="dxa"/>
                  <w:hideMark/>
                </w:tcPr>
                <w:p w14:paraId="26819E6B" w14:textId="360A2697" w:rsidR="008D16BE" w:rsidRPr="00E45748" w:rsidRDefault="008D16BE" w:rsidP="008D16BE">
                  <w:pPr>
                    <w:jc w:val="center"/>
                    <w:rPr>
                      <w:rFonts w:eastAsia="Times New Roman" w:cs="Arial"/>
                      <w:b/>
                      <w:bCs/>
                      <w:color w:val="000000"/>
                      <w:sz w:val="20"/>
                      <w:szCs w:val="20"/>
                    </w:rPr>
                  </w:pPr>
                  <w:r>
                    <w:rPr>
                      <w:rFonts w:cs="Arial"/>
                      <w:b/>
                      <w:bCs/>
                      <w:color w:val="000000"/>
                      <w:sz w:val="20"/>
                      <w:szCs w:val="20"/>
                    </w:rPr>
                    <w:t>Xoserve Service Area &amp; Line</w:t>
                  </w:r>
                </w:p>
              </w:tc>
              <w:tc>
                <w:tcPr>
                  <w:tcW w:w="2765" w:type="dxa"/>
                  <w:hideMark/>
                </w:tcPr>
                <w:p w14:paraId="55A72B90" w14:textId="77777777" w:rsidR="008D16BE" w:rsidRPr="00E45748" w:rsidRDefault="008D16BE" w:rsidP="008D16BE">
                  <w:pPr>
                    <w:jc w:val="center"/>
                    <w:rPr>
                      <w:rFonts w:eastAsia="Times New Roman" w:cs="Arial"/>
                      <w:b/>
                      <w:bCs/>
                      <w:color w:val="000000"/>
                      <w:sz w:val="20"/>
                      <w:szCs w:val="20"/>
                    </w:rPr>
                  </w:pPr>
                  <w:r>
                    <w:rPr>
                      <w:rFonts w:cs="Arial"/>
                      <w:b/>
                      <w:bCs/>
                      <w:color w:val="000000"/>
                      <w:sz w:val="20"/>
                      <w:szCs w:val="20"/>
                    </w:rPr>
                    <w:t>Impact</w:t>
                  </w:r>
                </w:p>
              </w:tc>
              <w:tc>
                <w:tcPr>
                  <w:tcW w:w="2800" w:type="dxa"/>
                  <w:hideMark/>
                </w:tcPr>
                <w:p w14:paraId="093F121A" w14:textId="77777777" w:rsidR="008D16BE" w:rsidRPr="00E45748" w:rsidRDefault="008D16BE" w:rsidP="008D16BE">
                  <w:pPr>
                    <w:jc w:val="center"/>
                    <w:rPr>
                      <w:rFonts w:eastAsia="Times New Roman" w:cs="Arial"/>
                      <w:b/>
                      <w:bCs/>
                      <w:color w:val="000000"/>
                      <w:sz w:val="20"/>
                      <w:szCs w:val="20"/>
                    </w:rPr>
                  </w:pPr>
                  <w:r>
                    <w:rPr>
                      <w:rFonts w:cs="Arial"/>
                      <w:b/>
                      <w:bCs/>
                      <w:color w:val="000000"/>
                      <w:sz w:val="20"/>
                      <w:szCs w:val="20"/>
                    </w:rPr>
                    <w:t>(+/-) Projected Change in Annual Cost</w:t>
                  </w:r>
                </w:p>
              </w:tc>
            </w:tr>
            <w:tr w:rsidR="008D16BE" w:rsidRPr="00E45748" w14:paraId="72478B3F" w14:textId="77777777" w:rsidTr="00980B8C">
              <w:trPr>
                <w:trHeight w:val="690"/>
              </w:trPr>
              <w:tc>
                <w:tcPr>
                  <w:tcW w:w="960" w:type="dxa"/>
                  <w:vAlign w:val="center"/>
                  <w:hideMark/>
                </w:tcPr>
                <w:p w14:paraId="264BF848" w14:textId="481B35F2" w:rsidR="008D16BE" w:rsidRPr="00496907" w:rsidRDefault="00496907" w:rsidP="008D16BE">
                  <w:pPr>
                    <w:jc w:val="right"/>
                    <w:rPr>
                      <w:rFonts w:eastAsia="Times New Roman" w:cs="Arial"/>
                      <w:iCs/>
                      <w:sz w:val="20"/>
                      <w:szCs w:val="24"/>
                      <w:lang w:eastAsia="en-US"/>
                    </w:rPr>
                  </w:pPr>
                  <w:r>
                    <w:rPr>
                      <w:rFonts w:eastAsia="Times New Roman" w:cs="Arial"/>
                      <w:iCs/>
                      <w:sz w:val="20"/>
                      <w:szCs w:val="24"/>
                      <w:lang w:eastAsia="en-US"/>
                    </w:rPr>
                    <w:t>5458</w:t>
                  </w:r>
                </w:p>
              </w:tc>
              <w:tc>
                <w:tcPr>
                  <w:tcW w:w="2835" w:type="dxa"/>
                  <w:vAlign w:val="center"/>
                  <w:hideMark/>
                </w:tcPr>
                <w:p w14:paraId="4B80A2BE" w14:textId="35D1A637" w:rsidR="008D16BE" w:rsidRPr="00496907" w:rsidRDefault="00621BD3" w:rsidP="008D16BE">
                  <w:pPr>
                    <w:rPr>
                      <w:rFonts w:eastAsia="Times New Roman" w:cs="Arial"/>
                      <w:iCs/>
                      <w:sz w:val="20"/>
                      <w:szCs w:val="24"/>
                      <w:lang w:eastAsia="en-US"/>
                    </w:rPr>
                  </w:pPr>
                  <w:r>
                    <w:rPr>
                      <w:rFonts w:eastAsia="Times New Roman" w:cs="Arial"/>
                      <w:iCs/>
                      <w:sz w:val="20"/>
                      <w:szCs w:val="24"/>
                      <w:lang w:eastAsia="en-US"/>
                    </w:rPr>
                    <w:t>N</w:t>
                  </w:r>
                  <w:r w:rsidR="00496907" w:rsidRPr="00496907">
                    <w:rPr>
                      <w:rFonts w:eastAsia="Times New Roman" w:cs="Arial"/>
                      <w:iCs/>
                      <w:sz w:val="20"/>
                      <w:szCs w:val="24"/>
                      <w:lang w:eastAsia="en-US"/>
                    </w:rPr>
                    <w:t>ew or amended Service Lines expected but these will be confirmed at a later point</w:t>
                  </w:r>
                </w:p>
              </w:tc>
              <w:tc>
                <w:tcPr>
                  <w:tcW w:w="2765" w:type="dxa"/>
                  <w:vAlign w:val="center"/>
                  <w:hideMark/>
                </w:tcPr>
                <w:p w14:paraId="20F042E5" w14:textId="525CDE0E" w:rsidR="008D16BE" w:rsidRPr="00496907" w:rsidRDefault="00496907" w:rsidP="008D16BE">
                  <w:pPr>
                    <w:jc w:val="center"/>
                    <w:rPr>
                      <w:rFonts w:eastAsia="Times New Roman" w:cs="Arial"/>
                      <w:iCs/>
                      <w:sz w:val="20"/>
                      <w:szCs w:val="24"/>
                      <w:lang w:eastAsia="en-US"/>
                    </w:rPr>
                  </w:pPr>
                  <w:r>
                    <w:rPr>
                      <w:rFonts w:eastAsia="Times New Roman" w:cs="Arial"/>
                      <w:iCs/>
                      <w:sz w:val="20"/>
                      <w:szCs w:val="24"/>
                      <w:lang w:eastAsia="en-US"/>
                    </w:rPr>
                    <w:t>Additional business processes to operate</w:t>
                  </w:r>
                  <w:r w:rsidR="00DA056B">
                    <w:rPr>
                      <w:rFonts w:eastAsia="Times New Roman" w:cs="Arial"/>
                      <w:iCs/>
                      <w:sz w:val="20"/>
                      <w:szCs w:val="24"/>
                      <w:lang w:eastAsia="en-US"/>
                    </w:rPr>
                    <w:t xml:space="preserve"> in a Shipper Termination scenario</w:t>
                  </w:r>
                </w:p>
              </w:tc>
              <w:tc>
                <w:tcPr>
                  <w:tcW w:w="2800" w:type="dxa"/>
                  <w:hideMark/>
                </w:tcPr>
                <w:p w14:paraId="3C4305F0" w14:textId="37A0C71B" w:rsidR="008D16BE" w:rsidRPr="00496907" w:rsidRDefault="00FD79B0" w:rsidP="008D16BE">
                  <w:pPr>
                    <w:jc w:val="right"/>
                    <w:rPr>
                      <w:rFonts w:eastAsia="Times New Roman" w:cs="Arial"/>
                      <w:iCs/>
                      <w:sz w:val="20"/>
                      <w:szCs w:val="24"/>
                      <w:lang w:eastAsia="en-US"/>
                    </w:rPr>
                  </w:pPr>
                  <w:r>
                    <w:rPr>
                      <w:rFonts w:eastAsia="Times New Roman" w:cs="Arial"/>
                      <w:iCs/>
                      <w:sz w:val="20"/>
                      <w:szCs w:val="24"/>
                      <w:lang w:eastAsia="en-US"/>
                    </w:rPr>
                    <w:t>£</w:t>
                  </w:r>
                  <w:r w:rsidR="0014732F">
                    <w:rPr>
                      <w:rFonts w:eastAsia="Times New Roman" w:cs="Arial"/>
                      <w:iCs/>
                      <w:sz w:val="20"/>
                      <w:szCs w:val="24"/>
                      <w:lang w:eastAsia="en-US"/>
                    </w:rPr>
                    <w:t>0</w:t>
                  </w:r>
                </w:p>
              </w:tc>
            </w:tr>
            <w:tr w:rsidR="008D16BE" w:rsidRPr="00E45748" w14:paraId="2DAB426E" w14:textId="77777777" w:rsidTr="00980B8C">
              <w:trPr>
                <w:trHeight w:val="290"/>
              </w:trPr>
              <w:tc>
                <w:tcPr>
                  <w:tcW w:w="6560" w:type="dxa"/>
                  <w:gridSpan w:val="3"/>
                  <w:vAlign w:val="center"/>
                </w:tcPr>
                <w:p w14:paraId="392A9E8B" w14:textId="33D1F412" w:rsidR="008D16BE" w:rsidRPr="00D960BA" w:rsidRDefault="008D16BE" w:rsidP="008D16BE">
                  <w:pPr>
                    <w:jc w:val="right"/>
                    <w:rPr>
                      <w:rFonts w:cs="Arial"/>
                      <w:b/>
                      <w:bCs/>
                      <w:color w:val="000000"/>
                      <w:sz w:val="20"/>
                      <w:szCs w:val="20"/>
                    </w:rPr>
                  </w:pPr>
                  <w:r w:rsidRPr="00D960BA">
                    <w:rPr>
                      <w:rFonts w:cs="Arial"/>
                      <w:b/>
                      <w:bCs/>
                      <w:color w:val="000000"/>
                      <w:sz w:val="20"/>
                      <w:szCs w:val="20"/>
                    </w:rPr>
                    <w:t>Total</w:t>
                  </w:r>
                </w:p>
              </w:tc>
              <w:tc>
                <w:tcPr>
                  <w:tcW w:w="2800" w:type="dxa"/>
                  <w:vAlign w:val="center"/>
                </w:tcPr>
                <w:p w14:paraId="3310FC49" w14:textId="1C0DBF3F" w:rsidR="008D16BE" w:rsidRPr="00D960BA" w:rsidRDefault="008D16BE" w:rsidP="008D16BE">
                  <w:pPr>
                    <w:jc w:val="right"/>
                    <w:rPr>
                      <w:rFonts w:cs="Arial"/>
                      <w:b/>
                      <w:bCs/>
                      <w:color w:val="000000" w:themeColor="text1"/>
                      <w:sz w:val="20"/>
                      <w:szCs w:val="20"/>
                    </w:rPr>
                  </w:pPr>
                  <w:r w:rsidRPr="00D960BA">
                    <w:rPr>
                      <w:rFonts w:cs="Arial"/>
                      <w:b/>
                      <w:bCs/>
                      <w:color w:val="000000" w:themeColor="text1"/>
                      <w:sz w:val="20"/>
                      <w:szCs w:val="20"/>
                    </w:rPr>
                    <w:t>£</w:t>
                  </w:r>
                  <w:r w:rsidR="0014732F">
                    <w:rPr>
                      <w:rFonts w:cs="Arial"/>
                      <w:b/>
                      <w:bCs/>
                      <w:color w:val="000000" w:themeColor="text1"/>
                      <w:sz w:val="20"/>
                      <w:szCs w:val="20"/>
                    </w:rPr>
                    <w:t>0</w:t>
                  </w:r>
                </w:p>
              </w:tc>
            </w:tr>
          </w:tbl>
          <w:p w14:paraId="6F8E01C7" w14:textId="09EDC1E7" w:rsidR="00496907" w:rsidRPr="002B2E87" w:rsidRDefault="00496907" w:rsidP="008D16BE">
            <w:pPr>
              <w:contextualSpacing/>
              <w:rPr>
                <w:rFonts w:eastAsia="Times New Roman" w:cs="Arial"/>
                <w:b/>
                <w:szCs w:val="16"/>
              </w:rPr>
            </w:pPr>
          </w:p>
        </w:tc>
      </w:tr>
      <w:tr w:rsidR="008D16BE" w:rsidRPr="002B2E87" w14:paraId="005645AB" w14:textId="77777777" w:rsidTr="008D16BE">
        <w:tc>
          <w:tcPr>
            <w:tcW w:w="5000" w:type="pct"/>
            <w:gridSpan w:val="2"/>
            <w:shd w:val="clear" w:color="auto" w:fill="3E5AA8" w:themeFill="accent1"/>
            <w:vAlign w:val="center"/>
          </w:tcPr>
          <w:p w14:paraId="0027578C" w14:textId="77777777" w:rsidR="008D16BE" w:rsidRPr="002B2E87" w:rsidRDefault="008D16BE" w:rsidP="008D16BE">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008D16BE" w:rsidRPr="002B2E87" w14:paraId="17686922" w14:textId="77777777" w:rsidTr="008D16BE">
        <w:tc>
          <w:tcPr>
            <w:tcW w:w="5000" w:type="pct"/>
            <w:gridSpan w:val="2"/>
            <w:shd w:val="clear" w:color="auto" w:fill="auto"/>
          </w:tcPr>
          <w:p w14:paraId="458FA963" w14:textId="5CDBEF6B" w:rsidR="008D16BE" w:rsidRDefault="008D16BE" w:rsidP="008D16BE">
            <w:pPr>
              <w:rPr>
                <w:rFonts w:eastAsia="Times New Roman" w:cs="Arial"/>
                <w:b/>
                <w:sz w:val="20"/>
                <w:szCs w:val="16"/>
              </w:rPr>
            </w:pPr>
          </w:p>
          <w:p w14:paraId="7C7CC9DD" w14:textId="3E68396A" w:rsidR="009D0D1E" w:rsidRPr="009D0D1E" w:rsidRDefault="009D0D1E" w:rsidP="008D16BE">
            <w:pPr>
              <w:rPr>
                <w:rFonts w:eastAsia="Times New Roman" w:cs="Arial"/>
                <w:bCs/>
                <w:sz w:val="20"/>
                <w:szCs w:val="16"/>
              </w:rPr>
            </w:pPr>
            <w:r w:rsidRPr="009D0D1E">
              <w:rPr>
                <w:rFonts w:eastAsia="Times New Roman" w:cs="Arial"/>
                <w:bCs/>
                <w:sz w:val="20"/>
                <w:szCs w:val="16"/>
              </w:rPr>
              <w:t xml:space="preserve">The </w:t>
            </w:r>
            <w:r>
              <w:rPr>
                <w:rFonts w:eastAsia="Times New Roman" w:cs="Arial"/>
                <w:bCs/>
                <w:sz w:val="20"/>
                <w:szCs w:val="16"/>
              </w:rPr>
              <w:t xml:space="preserve">plan forecast to deliver the </w:t>
            </w:r>
            <w:r w:rsidR="006D03EB">
              <w:rPr>
                <w:rFonts w:eastAsia="Times New Roman" w:cs="Arial"/>
                <w:bCs/>
                <w:sz w:val="20"/>
                <w:szCs w:val="16"/>
              </w:rPr>
              <w:t>project are defined in the table below.</w:t>
            </w:r>
          </w:p>
          <w:p w14:paraId="26ADDB70" w14:textId="76C81E91" w:rsidR="009D0D1E" w:rsidRDefault="009D0D1E" w:rsidP="008D16BE">
            <w:pPr>
              <w:rPr>
                <w:rFonts w:eastAsia="Times New Roman" w:cs="Arial"/>
                <w:b/>
                <w:sz w:val="20"/>
                <w:szCs w:val="16"/>
              </w:rPr>
            </w:pPr>
          </w:p>
          <w:p w14:paraId="76499A6E" w14:textId="77777777" w:rsidR="009D0D1E" w:rsidRDefault="009D0D1E" w:rsidP="008D16BE">
            <w:pPr>
              <w:rPr>
                <w:rFonts w:eastAsia="Times New Roman" w:cs="Arial"/>
                <w:b/>
                <w:sz w:val="20"/>
                <w:szCs w:val="16"/>
              </w:rPr>
            </w:pPr>
          </w:p>
          <w:tbl>
            <w:tblPr>
              <w:tblStyle w:val="TableGrid"/>
              <w:tblW w:w="0" w:type="auto"/>
              <w:tblLook w:val="04A0" w:firstRow="1" w:lastRow="0" w:firstColumn="1" w:lastColumn="0" w:noHBand="0" w:noVBand="1"/>
            </w:tblPr>
            <w:tblGrid>
              <w:gridCol w:w="3314"/>
              <w:gridCol w:w="3314"/>
              <w:gridCol w:w="3315"/>
            </w:tblGrid>
            <w:tr w:rsidR="004E2772" w14:paraId="54A59D45" w14:textId="77777777" w:rsidTr="00B54BDE">
              <w:trPr>
                <w:trHeight w:val="195"/>
              </w:trPr>
              <w:tc>
                <w:tcPr>
                  <w:tcW w:w="3314" w:type="dxa"/>
                </w:tcPr>
                <w:p w14:paraId="75577A83" w14:textId="77777777" w:rsidR="004E2772" w:rsidRDefault="004E2772" w:rsidP="004E2772">
                  <w:pPr>
                    <w:jc w:val="center"/>
                    <w:rPr>
                      <w:b/>
                    </w:rPr>
                  </w:pPr>
                  <w:r>
                    <w:rPr>
                      <w:b/>
                    </w:rPr>
                    <w:t>Project Phase</w:t>
                  </w:r>
                </w:p>
              </w:tc>
              <w:tc>
                <w:tcPr>
                  <w:tcW w:w="3314" w:type="dxa"/>
                </w:tcPr>
                <w:p w14:paraId="3803EAE0" w14:textId="77777777" w:rsidR="004E2772" w:rsidRDefault="004E2772" w:rsidP="004E2772">
                  <w:pPr>
                    <w:jc w:val="center"/>
                    <w:rPr>
                      <w:b/>
                    </w:rPr>
                  </w:pPr>
                  <w:r>
                    <w:rPr>
                      <w:b/>
                    </w:rPr>
                    <w:t>Start Date</w:t>
                  </w:r>
                </w:p>
              </w:tc>
              <w:tc>
                <w:tcPr>
                  <w:tcW w:w="3315" w:type="dxa"/>
                </w:tcPr>
                <w:p w14:paraId="095673D0" w14:textId="77777777" w:rsidR="004E2772" w:rsidRDefault="004E2772" w:rsidP="004E2772">
                  <w:pPr>
                    <w:jc w:val="center"/>
                    <w:rPr>
                      <w:b/>
                    </w:rPr>
                  </w:pPr>
                  <w:r>
                    <w:rPr>
                      <w:b/>
                    </w:rPr>
                    <w:t>End Date</w:t>
                  </w:r>
                </w:p>
              </w:tc>
            </w:tr>
            <w:tr w:rsidR="004E2772" w:rsidRPr="00925EFC" w14:paraId="61882FE7" w14:textId="77777777" w:rsidTr="00B54BDE">
              <w:tc>
                <w:tcPr>
                  <w:tcW w:w="3314" w:type="dxa"/>
                </w:tcPr>
                <w:p w14:paraId="11630590" w14:textId="29107C1A" w:rsidR="004E2772" w:rsidRPr="00925EFC" w:rsidRDefault="0060538C" w:rsidP="004E2772">
                  <w:pPr>
                    <w:rPr>
                      <w:bCs/>
                    </w:rPr>
                  </w:pPr>
                  <w:r>
                    <w:rPr>
                      <w:bCs/>
                    </w:rPr>
                    <w:t>Analysis &amp;</w:t>
                  </w:r>
                  <w:r w:rsidR="004E2772">
                    <w:rPr>
                      <w:bCs/>
                    </w:rPr>
                    <w:t xml:space="preserve"> Design</w:t>
                  </w:r>
                </w:p>
              </w:tc>
              <w:tc>
                <w:tcPr>
                  <w:tcW w:w="3314" w:type="dxa"/>
                </w:tcPr>
                <w:p w14:paraId="1ED92634" w14:textId="6FF9FA5A" w:rsidR="004E2772" w:rsidRDefault="004E2772" w:rsidP="004E2772">
                  <w:pPr>
                    <w:rPr>
                      <w:bCs/>
                    </w:rPr>
                  </w:pPr>
                  <w:r>
                    <w:rPr>
                      <w:bCs/>
                    </w:rPr>
                    <w:t>04/01/2022</w:t>
                  </w:r>
                </w:p>
              </w:tc>
              <w:tc>
                <w:tcPr>
                  <w:tcW w:w="3315" w:type="dxa"/>
                </w:tcPr>
                <w:p w14:paraId="0B9B57E9" w14:textId="4214B37D" w:rsidR="004E2772" w:rsidRPr="00925EFC" w:rsidRDefault="002F70A4" w:rsidP="004E2772">
                  <w:pPr>
                    <w:rPr>
                      <w:bCs/>
                    </w:rPr>
                  </w:pPr>
                  <w:r>
                    <w:rPr>
                      <w:bCs/>
                    </w:rPr>
                    <w:t>17/01/2022</w:t>
                  </w:r>
                </w:p>
              </w:tc>
            </w:tr>
            <w:tr w:rsidR="004E2772" w:rsidRPr="00925EFC" w14:paraId="101C74B1" w14:textId="77777777" w:rsidTr="00B54BDE">
              <w:tc>
                <w:tcPr>
                  <w:tcW w:w="3314" w:type="dxa"/>
                </w:tcPr>
                <w:p w14:paraId="708F4E6F" w14:textId="77777777" w:rsidR="004E2772" w:rsidRPr="00925EFC" w:rsidRDefault="004E2772" w:rsidP="004E2772">
                  <w:pPr>
                    <w:rPr>
                      <w:bCs/>
                    </w:rPr>
                  </w:pPr>
                  <w:r w:rsidRPr="00925EFC">
                    <w:rPr>
                      <w:bCs/>
                    </w:rPr>
                    <w:t>Build</w:t>
                  </w:r>
                </w:p>
              </w:tc>
              <w:tc>
                <w:tcPr>
                  <w:tcW w:w="3314" w:type="dxa"/>
                </w:tcPr>
                <w:p w14:paraId="44C0E785" w14:textId="25E81CCD" w:rsidR="004E2772" w:rsidRPr="00925EFC" w:rsidRDefault="002F70A4" w:rsidP="004E2772">
                  <w:pPr>
                    <w:rPr>
                      <w:bCs/>
                    </w:rPr>
                  </w:pPr>
                  <w:r>
                    <w:rPr>
                      <w:bCs/>
                    </w:rPr>
                    <w:t>18/01/2022</w:t>
                  </w:r>
                </w:p>
              </w:tc>
              <w:tc>
                <w:tcPr>
                  <w:tcW w:w="3315" w:type="dxa"/>
                </w:tcPr>
                <w:p w14:paraId="377EA213" w14:textId="6CCE8BA1" w:rsidR="004E2772" w:rsidRPr="00925EFC" w:rsidRDefault="002F70A4" w:rsidP="004E2772">
                  <w:pPr>
                    <w:rPr>
                      <w:bCs/>
                    </w:rPr>
                  </w:pPr>
                  <w:r>
                    <w:rPr>
                      <w:bCs/>
                    </w:rPr>
                    <w:t>07/03/2022</w:t>
                  </w:r>
                </w:p>
              </w:tc>
            </w:tr>
            <w:tr w:rsidR="004E2772" w:rsidRPr="00925EFC" w14:paraId="3B559A5F" w14:textId="77777777" w:rsidTr="00B54BDE">
              <w:tc>
                <w:tcPr>
                  <w:tcW w:w="3314" w:type="dxa"/>
                </w:tcPr>
                <w:p w14:paraId="2EB57036" w14:textId="77777777" w:rsidR="004E2772" w:rsidRPr="00925EFC" w:rsidRDefault="004E2772" w:rsidP="004E2772">
                  <w:pPr>
                    <w:rPr>
                      <w:bCs/>
                    </w:rPr>
                  </w:pPr>
                  <w:r w:rsidRPr="00925EFC">
                    <w:rPr>
                      <w:bCs/>
                    </w:rPr>
                    <w:t>Test</w:t>
                  </w:r>
                </w:p>
              </w:tc>
              <w:tc>
                <w:tcPr>
                  <w:tcW w:w="3314" w:type="dxa"/>
                </w:tcPr>
                <w:p w14:paraId="019E8D28" w14:textId="3F0C4128" w:rsidR="004E2772" w:rsidRPr="00925EFC" w:rsidRDefault="002F70A4" w:rsidP="004E2772">
                  <w:pPr>
                    <w:rPr>
                      <w:bCs/>
                    </w:rPr>
                  </w:pPr>
                  <w:r>
                    <w:rPr>
                      <w:bCs/>
                    </w:rPr>
                    <w:t>08/03/2022</w:t>
                  </w:r>
                </w:p>
              </w:tc>
              <w:tc>
                <w:tcPr>
                  <w:tcW w:w="3315" w:type="dxa"/>
                </w:tcPr>
                <w:p w14:paraId="3A99DA39" w14:textId="1731E7F0" w:rsidR="004E2772" w:rsidRPr="00925EFC" w:rsidRDefault="00132477" w:rsidP="004E2772">
                  <w:pPr>
                    <w:rPr>
                      <w:bCs/>
                    </w:rPr>
                  </w:pPr>
                  <w:r>
                    <w:rPr>
                      <w:bCs/>
                    </w:rPr>
                    <w:t>14/03/2022</w:t>
                  </w:r>
                </w:p>
              </w:tc>
            </w:tr>
            <w:tr w:rsidR="004E2772" w:rsidRPr="00925EFC" w14:paraId="02ED61D7" w14:textId="77777777" w:rsidTr="00B54BDE">
              <w:tc>
                <w:tcPr>
                  <w:tcW w:w="3314" w:type="dxa"/>
                </w:tcPr>
                <w:p w14:paraId="5E0FEF66" w14:textId="77777777" w:rsidR="004E2772" w:rsidRPr="00925EFC" w:rsidRDefault="004E2772" w:rsidP="004E2772">
                  <w:pPr>
                    <w:rPr>
                      <w:bCs/>
                    </w:rPr>
                  </w:pPr>
                  <w:r w:rsidRPr="00925EFC">
                    <w:rPr>
                      <w:bCs/>
                    </w:rPr>
                    <w:t>Implementation</w:t>
                  </w:r>
                </w:p>
              </w:tc>
              <w:tc>
                <w:tcPr>
                  <w:tcW w:w="3314" w:type="dxa"/>
                </w:tcPr>
                <w:p w14:paraId="2460016F" w14:textId="2ED47E31" w:rsidR="004E2772" w:rsidRPr="00925EFC" w:rsidRDefault="00132477" w:rsidP="004E2772">
                  <w:pPr>
                    <w:rPr>
                      <w:bCs/>
                    </w:rPr>
                  </w:pPr>
                  <w:r>
                    <w:rPr>
                      <w:bCs/>
                    </w:rPr>
                    <w:t>15/03/2022</w:t>
                  </w:r>
                </w:p>
              </w:tc>
              <w:tc>
                <w:tcPr>
                  <w:tcW w:w="3315" w:type="dxa"/>
                </w:tcPr>
                <w:p w14:paraId="1223CFF3" w14:textId="1B45037E" w:rsidR="004E2772" w:rsidRPr="00925EFC" w:rsidRDefault="00132477" w:rsidP="004E2772">
                  <w:pPr>
                    <w:rPr>
                      <w:bCs/>
                    </w:rPr>
                  </w:pPr>
                  <w:r>
                    <w:rPr>
                      <w:bCs/>
                    </w:rPr>
                    <w:t>15/03/2022</w:t>
                  </w:r>
                </w:p>
              </w:tc>
            </w:tr>
            <w:tr w:rsidR="004E2772" w:rsidRPr="00925EFC" w14:paraId="7AE32BB0" w14:textId="77777777" w:rsidTr="00B54BDE">
              <w:tc>
                <w:tcPr>
                  <w:tcW w:w="3314" w:type="dxa"/>
                </w:tcPr>
                <w:p w14:paraId="67CF304C" w14:textId="77777777" w:rsidR="004E2772" w:rsidRPr="00925EFC" w:rsidRDefault="004E2772" w:rsidP="004E2772">
                  <w:pPr>
                    <w:rPr>
                      <w:bCs/>
                    </w:rPr>
                  </w:pPr>
                  <w:r w:rsidRPr="00925EFC">
                    <w:rPr>
                      <w:bCs/>
                    </w:rPr>
                    <w:t>Post Implementation Support</w:t>
                  </w:r>
                </w:p>
              </w:tc>
              <w:tc>
                <w:tcPr>
                  <w:tcW w:w="3314" w:type="dxa"/>
                </w:tcPr>
                <w:p w14:paraId="127CC07C" w14:textId="78001D27" w:rsidR="004E2772" w:rsidRPr="00925EFC" w:rsidRDefault="00132477" w:rsidP="004E2772">
                  <w:pPr>
                    <w:rPr>
                      <w:bCs/>
                    </w:rPr>
                  </w:pPr>
                  <w:r>
                    <w:rPr>
                      <w:bCs/>
                    </w:rPr>
                    <w:t>15/03/2022</w:t>
                  </w:r>
                </w:p>
              </w:tc>
              <w:tc>
                <w:tcPr>
                  <w:tcW w:w="3315" w:type="dxa"/>
                </w:tcPr>
                <w:p w14:paraId="56F11C9A" w14:textId="6F430318" w:rsidR="004E2772" w:rsidRPr="00925EFC" w:rsidRDefault="00132477" w:rsidP="004E2772">
                  <w:pPr>
                    <w:rPr>
                      <w:bCs/>
                    </w:rPr>
                  </w:pPr>
                  <w:r>
                    <w:rPr>
                      <w:bCs/>
                    </w:rPr>
                    <w:t>29/03/2022</w:t>
                  </w:r>
                </w:p>
              </w:tc>
            </w:tr>
          </w:tbl>
          <w:p w14:paraId="4AFEDD1B" w14:textId="77777777" w:rsidR="008D16BE" w:rsidRDefault="008D16BE" w:rsidP="008D16BE">
            <w:pPr>
              <w:rPr>
                <w:rFonts w:eastAsia="Times New Roman" w:cs="Arial"/>
                <w:b/>
                <w:sz w:val="20"/>
                <w:szCs w:val="16"/>
              </w:rPr>
            </w:pPr>
          </w:p>
          <w:p w14:paraId="08BB6042" w14:textId="28DA271E" w:rsidR="008D16BE" w:rsidRPr="008B19FA" w:rsidRDefault="004E2772" w:rsidP="008D16BE">
            <w:pPr>
              <w:rPr>
                <w:rFonts w:eastAsia="Times New Roman" w:cs="Arial"/>
                <w:bCs/>
                <w:sz w:val="20"/>
                <w:szCs w:val="16"/>
              </w:rPr>
            </w:pPr>
            <w:r w:rsidRPr="004E2772">
              <w:rPr>
                <w:rFonts w:eastAsia="Times New Roman" w:cs="Arial"/>
                <w:bCs/>
                <w:sz w:val="20"/>
                <w:szCs w:val="16"/>
              </w:rPr>
              <w:t>The a</w:t>
            </w:r>
            <w:r>
              <w:rPr>
                <w:rFonts w:eastAsia="Times New Roman" w:cs="Arial"/>
                <w:bCs/>
                <w:sz w:val="20"/>
                <w:szCs w:val="16"/>
              </w:rPr>
              <w:t>bove are forecast plan dates based on approval of the BER</w:t>
            </w:r>
            <w:r w:rsidR="007B35C6">
              <w:rPr>
                <w:rFonts w:eastAsia="Times New Roman" w:cs="Arial"/>
                <w:bCs/>
                <w:sz w:val="20"/>
                <w:szCs w:val="16"/>
              </w:rPr>
              <w:t xml:space="preserve">.  A baselined plan will be </w:t>
            </w:r>
            <w:r w:rsidR="00132477">
              <w:rPr>
                <w:rFonts w:eastAsia="Times New Roman" w:cs="Arial"/>
                <w:bCs/>
                <w:sz w:val="20"/>
                <w:szCs w:val="16"/>
              </w:rPr>
              <w:t>confirmed</w:t>
            </w:r>
            <w:r w:rsidR="007B35C6">
              <w:rPr>
                <w:rFonts w:eastAsia="Times New Roman" w:cs="Arial"/>
                <w:bCs/>
                <w:sz w:val="20"/>
                <w:szCs w:val="16"/>
              </w:rPr>
              <w:t xml:space="preserve"> week commencing the 10</w:t>
            </w:r>
            <w:r w:rsidR="007B35C6" w:rsidRPr="007B35C6">
              <w:rPr>
                <w:rFonts w:eastAsia="Times New Roman" w:cs="Arial"/>
                <w:bCs/>
                <w:sz w:val="20"/>
                <w:szCs w:val="16"/>
                <w:vertAlign w:val="superscript"/>
              </w:rPr>
              <w:t>th</w:t>
            </w:r>
            <w:r w:rsidR="007B35C6">
              <w:rPr>
                <w:rFonts w:eastAsia="Times New Roman" w:cs="Arial"/>
                <w:bCs/>
                <w:sz w:val="20"/>
                <w:szCs w:val="16"/>
              </w:rPr>
              <w:t xml:space="preserve"> January 2022.</w:t>
            </w:r>
            <w:bookmarkStart w:id="0" w:name="_GoBack"/>
            <w:bookmarkEnd w:id="0"/>
          </w:p>
        </w:tc>
      </w:tr>
      <w:tr w:rsidR="008D16BE" w:rsidRPr="002B2E87" w14:paraId="61F67236" w14:textId="77777777" w:rsidTr="008D16BE">
        <w:tc>
          <w:tcPr>
            <w:tcW w:w="5000" w:type="pct"/>
            <w:gridSpan w:val="2"/>
            <w:shd w:val="clear" w:color="auto" w:fill="3E5AA8" w:themeFill="accent1"/>
            <w:vAlign w:val="center"/>
          </w:tcPr>
          <w:p w14:paraId="1B95EECA" w14:textId="77777777" w:rsidR="008D16BE" w:rsidRPr="002B2E87" w:rsidRDefault="008D16BE" w:rsidP="008D16BE">
            <w:pPr>
              <w:jc w:val="center"/>
              <w:rPr>
                <w:rFonts w:eastAsia="Times New Roman" w:cs="Arial"/>
                <w:b/>
                <w:color w:val="FF0000"/>
                <w:szCs w:val="16"/>
              </w:rPr>
            </w:pPr>
            <w:r w:rsidRPr="002B2E87">
              <w:rPr>
                <w:rFonts w:eastAsia="Times New Roman" w:cs="Arial"/>
                <w:b/>
                <w:color w:val="FFFFFF"/>
                <w:sz w:val="20"/>
                <w:szCs w:val="16"/>
              </w:rPr>
              <w:lastRenderedPageBreak/>
              <w:t>Section 6: Additional information relevant to the proposed service change</w:t>
            </w:r>
          </w:p>
        </w:tc>
      </w:tr>
      <w:tr w:rsidR="008D16BE" w:rsidRPr="002B2E87" w14:paraId="324B2E3C" w14:textId="77777777" w:rsidTr="008D16BE">
        <w:tc>
          <w:tcPr>
            <w:tcW w:w="5000" w:type="pct"/>
            <w:gridSpan w:val="2"/>
            <w:shd w:val="clear" w:color="auto" w:fill="auto"/>
          </w:tcPr>
          <w:p w14:paraId="5DBC3657" w14:textId="6DA91DDC" w:rsidR="008D16BE" w:rsidRDefault="008D16BE" w:rsidP="008D16BE">
            <w:pPr>
              <w:rPr>
                <w:rFonts w:cs="Arial"/>
                <w:b/>
                <w:i/>
                <w:sz w:val="20"/>
                <w:szCs w:val="20"/>
              </w:rPr>
            </w:pPr>
          </w:p>
          <w:p w14:paraId="2F162FB3" w14:textId="12791864" w:rsidR="008D16BE" w:rsidRDefault="008D16BE" w:rsidP="008D16BE">
            <w:pPr>
              <w:rPr>
                <w:rFonts w:cs="Arial"/>
                <w:b/>
                <w:sz w:val="20"/>
                <w:szCs w:val="20"/>
              </w:rPr>
            </w:pPr>
            <w:r>
              <w:rPr>
                <w:rFonts w:cs="Arial"/>
                <w:b/>
                <w:sz w:val="20"/>
                <w:szCs w:val="20"/>
              </w:rPr>
              <w:t>Risk Margin</w:t>
            </w:r>
          </w:p>
          <w:p w14:paraId="4AA96D0C" w14:textId="60C95274" w:rsidR="002F2FF5" w:rsidRDefault="002F2FF5" w:rsidP="008D16BE">
            <w:pPr>
              <w:rPr>
                <w:rFonts w:cs="Arial"/>
                <w:b/>
                <w:sz w:val="20"/>
                <w:szCs w:val="20"/>
              </w:rPr>
            </w:pPr>
          </w:p>
          <w:p w14:paraId="0BDBCA11" w14:textId="77777777" w:rsidR="002F2FF5" w:rsidRDefault="002F2FF5" w:rsidP="002F2FF5">
            <w:pPr>
              <w:pStyle w:val="NGTHeading3"/>
              <w:numPr>
                <w:ilvl w:val="0"/>
                <w:numId w:val="0"/>
              </w:numPr>
              <w:tabs>
                <w:tab w:val="left" w:pos="720"/>
              </w:tabs>
              <w:spacing w:line="240" w:lineRule="auto"/>
              <w:jc w:val="left"/>
              <w:rPr>
                <w:b/>
                <w:bCs/>
                <w:szCs w:val="20"/>
                <w:u w:val="single"/>
                <w:lang w:val="en-US"/>
              </w:rPr>
            </w:pPr>
            <w:r>
              <w:rPr>
                <w:b/>
                <w:bCs/>
                <w:szCs w:val="20"/>
                <w:u w:val="single"/>
                <w:lang w:val="en-US"/>
              </w:rPr>
              <w:t>Specific Project Risks</w:t>
            </w:r>
          </w:p>
          <w:p w14:paraId="09E3A75A" w14:textId="77777777" w:rsidR="002F2FF5" w:rsidRDefault="002F2FF5" w:rsidP="002F2FF5">
            <w:pPr>
              <w:pStyle w:val="NGTHeading3"/>
              <w:numPr>
                <w:ilvl w:val="0"/>
                <w:numId w:val="0"/>
              </w:numPr>
              <w:tabs>
                <w:tab w:val="left" w:pos="720"/>
              </w:tabs>
              <w:spacing w:line="240" w:lineRule="auto"/>
              <w:jc w:val="left"/>
              <w:rPr>
                <w:szCs w:val="20"/>
                <w:lang w:val="en-US"/>
              </w:rPr>
            </w:pPr>
          </w:p>
          <w:tbl>
            <w:tblPr>
              <w:tblStyle w:val="TableGrid"/>
              <w:tblW w:w="0" w:type="auto"/>
              <w:tblLook w:val="04A0" w:firstRow="1" w:lastRow="0" w:firstColumn="1" w:lastColumn="0" w:noHBand="0" w:noVBand="1"/>
            </w:tblPr>
            <w:tblGrid>
              <w:gridCol w:w="3934"/>
              <w:gridCol w:w="1359"/>
              <w:gridCol w:w="3208"/>
              <w:gridCol w:w="1373"/>
            </w:tblGrid>
            <w:tr w:rsidR="002F2FF5" w14:paraId="62F38763" w14:textId="77777777" w:rsidTr="009A2042">
              <w:trPr>
                <w:tblHeader/>
              </w:trPr>
              <w:tc>
                <w:tcPr>
                  <w:tcW w:w="3934" w:type="dxa"/>
                  <w:tcBorders>
                    <w:top w:val="single" w:sz="4" w:space="0" w:color="auto"/>
                    <w:left w:val="single" w:sz="4" w:space="0" w:color="auto"/>
                    <w:bottom w:val="single" w:sz="4" w:space="0" w:color="auto"/>
                    <w:right w:val="single" w:sz="4" w:space="0" w:color="auto"/>
                  </w:tcBorders>
                  <w:hideMark/>
                </w:tcPr>
                <w:p w14:paraId="7D97CB82" w14:textId="77777777" w:rsidR="002F2FF5" w:rsidRDefault="002F2FF5" w:rsidP="002F2FF5">
                  <w:pPr>
                    <w:pStyle w:val="NGTHeading3"/>
                    <w:numPr>
                      <w:ilvl w:val="0"/>
                      <w:numId w:val="0"/>
                    </w:numPr>
                    <w:tabs>
                      <w:tab w:val="left" w:pos="720"/>
                    </w:tabs>
                    <w:spacing w:line="240" w:lineRule="auto"/>
                    <w:jc w:val="center"/>
                    <w:rPr>
                      <w:b/>
                      <w:bCs/>
                      <w:szCs w:val="20"/>
                      <w:lang w:val="en-US"/>
                    </w:rPr>
                  </w:pPr>
                  <w:r>
                    <w:rPr>
                      <w:b/>
                      <w:bCs/>
                      <w:szCs w:val="20"/>
                      <w:lang w:val="en-US"/>
                    </w:rPr>
                    <w:t>Risk Description</w:t>
                  </w:r>
                </w:p>
              </w:tc>
              <w:tc>
                <w:tcPr>
                  <w:tcW w:w="1359" w:type="dxa"/>
                  <w:tcBorders>
                    <w:top w:val="single" w:sz="4" w:space="0" w:color="auto"/>
                    <w:left w:val="single" w:sz="4" w:space="0" w:color="auto"/>
                    <w:bottom w:val="single" w:sz="4" w:space="0" w:color="auto"/>
                    <w:right w:val="single" w:sz="4" w:space="0" w:color="auto"/>
                  </w:tcBorders>
                  <w:hideMark/>
                </w:tcPr>
                <w:p w14:paraId="436733AF" w14:textId="77777777" w:rsidR="002F2FF5" w:rsidRDefault="002F2FF5" w:rsidP="002F2FF5">
                  <w:pPr>
                    <w:pStyle w:val="NGTHeading3"/>
                    <w:numPr>
                      <w:ilvl w:val="0"/>
                      <w:numId w:val="0"/>
                    </w:numPr>
                    <w:tabs>
                      <w:tab w:val="left" w:pos="720"/>
                    </w:tabs>
                    <w:spacing w:line="240" w:lineRule="auto"/>
                    <w:jc w:val="center"/>
                    <w:rPr>
                      <w:b/>
                      <w:bCs/>
                      <w:szCs w:val="20"/>
                      <w:lang w:val="en-US"/>
                    </w:rPr>
                  </w:pPr>
                  <w:r>
                    <w:rPr>
                      <w:b/>
                      <w:bCs/>
                      <w:szCs w:val="20"/>
                      <w:lang w:val="en-US"/>
                    </w:rPr>
                    <w:t>Impact</w:t>
                  </w:r>
                </w:p>
              </w:tc>
              <w:tc>
                <w:tcPr>
                  <w:tcW w:w="3208" w:type="dxa"/>
                  <w:tcBorders>
                    <w:top w:val="single" w:sz="4" w:space="0" w:color="auto"/>
                    <w:left w:val="single" w:sz="4" w:space="0" w:color="auto"/>
                    <w:bottom w:val="single" w:sz="4" w:space="0" w:color="auto"/>
                    <w:right w:val="single" w:sz="4" w:space="0" w:color="auto"/>
                  </w:tcBorders>
                  <w:hideMark/>
                </w:tcPr>
                <w:p w14:paraId="6936AB58" w14:textId="77777777" w:rsidR="002F2FF5" w:rsidRDefault="002F2FF5" w:rsidP="002F2FF5">
                  <w:pPr>
                    <w:pStyle w:val="NGTHeading3"/>
                    <w:numPr>
                      <w:ilvl w:val="0"/>
                      <w:numId w:val="0"/>
                    </w:numPr>
                    <w:tabs>
                      <w:tab w:val="left" w:pos="720"/>
                    </w:tabs>
                    <w:spacing w:line="240" w:lineRule="auto"/>
                    <w:jc w:val="center"/>
                    <w:rPr>
                      <w:b/>
                      <w:bCs/>
                      <w:szCs w:val="20"/>
                      <w:lang w:val="en-US"/>
                    </w:rPr>
                  </w:pPr>
                  <w:r>
                    <w:rPr>
                      <w:b/>
                      <w:bCs/>
                      <w:szCs w:val="20"/>
                      <w:lang w:val="en-US"/>
                    </w:rPr>
                    <w:t>Mitigation</w:t>
                  </w:r>
                </w:p>
              </w:tc>
              <w:tc>
                <w:tcPr>
                  <w:tcW w:w="1373" w:type="dxa"/>
                  <w:tcBorders>
                    <w:top w:val="single" w:sz="4" w:space="0" w:color="auto"/>
                    <w:left w:val="single" w:sz="4" w:space="0" w:color="auto"/>
                    <w:bottom w:val="single" w:sz="4" w:space="0" w:color="auto"/>
                    <w:right w:val="single" w:sz="4" w:space="0" w:color="auto"/>
                  </w:tcBorders>
                  <w:hideMark/>
                </w:tcPr>
                <w:p w14:paraId="715848F3" w14:textId="77777777" w:rsidR="002F2FF5" w:rsidRDefault="002F2FF5" w:rsidP="002F2FF5">
                  <w:pPr>
                    <w:pStyle w:val="NGTHeading3"/>
                    <w:numPr>
                      <w:ilvl w:val="0"/>
                      <w:numId w:val="0"/>
                    </w:numPr>
                    <w:tabs>
                      <w:tab w:val="left" w:pos="720"/>
                    </w:tabs>
                    <w:spacing w:line="240" w:lineRule="auto"/>
                    <w:jc w:val="center"/>
                    <w:rPr>
                      <w:b/>
                      <w:bCs/>
                      <w:szCs w:val="20"/>
                      <w:lang w:val="en-US"/>
                    </w:rPr>
                  </w:pPr>
                  <w:r>
                    <w:rPr>
                      <w:b/>
                      <w:bCs/>
                      <w:szCs w:val="20"/>
                      <w:lang w:val="en-US"/>
                    </w:rPr>
                    <w:t>Owner</w:t>
                  </w:r>
                </w:p>
              </w:tc>
            </w:tr>
            <w:tr w:rsidR="002F2FF5" w14:paraId="4E890E17" w14:textId="77777777" w:rsidTr="009A2042">
              <w:tc>
                <w:tcPr>
                  <w:tcW w:w="3934" w:type="dxa"/>
                  <w:tcBorders>
                    <w:top w:val="single" w:sz="4" w:space="0" w:color="auto"/>
                    <w:left w:val="single" w:sz="4" w:space="0" w:color="auto"/>
                    <w:bottom w:val="single" w:sz="4" w:space="0" w:color="auto"/>
                    <w:right w:val="single" w:sz="4" w:space="0" w:color="auto"/>
                  </w:tcBorders>
                  <w:hideMark/>
                </w:tcPr>
                <w:p w14:paraId="339DDD92" w14:textId="766993E3" w:rsidR="002F2FF5" w:rsidRDefault="002F2FF5" w:rsidP="002F2FF5">
                  <w:pPr>
                    <w:pStyle w:val="NGTHeading3"/>
                    <w:numPr>
                      <w:ilvl w:val="0"/>
                      <w:numId w:val="0"/>
                    </w:numPr>
                    <w:tabs>
                      <w:tab w:val="left" w:pos="720"/>
                    </w:tabs>
                    <w:spacing w:line="240" w:lineRule="auto"/>
                    <w:jc w:val="left"/>
                    <w:rPr>
                      <w:szCs w:val="20"/>
                      <w:lang w:val="en-US"/>
                    </w:rPr>
                  </w:pPr>
                  <w:r>
                    <w:rPr>
                      <w:szCs w:val="20"/>
                      <w:lang w:val="en-US"/>
                    </w:rPr>
                    <w:t xml:space="preserve">There is a risk that there are changes to the </w:t>
                  </w:r>
                  <w:r w:rsidR="00686115">
                    <w:rPr>
                      <w:szCs w:val="20"/>
                      <w:lang w:val="en-US"/>
                    </w:rPr>
                    <w:t xml:space="preserve">requirements of this change proposal </w:t>
                  </w:r>
                  <w:r w:rsidR="00F726C1">
                    <w:rPr>
                      <w:szCs w:val="20"/>
                      <w:lang w:val="en-US"/>
                    </w:rPr>
                    <w:t>considering</w:t>
                  </w:r>
                  <w:r w:rsidR="00686115">
                    <w:rPr>
                      <w:szCs w:val="20"/>
                      <w:lang w:val="en-US"/>
                    </w:rPr>
                    <w:t xml:space="preserve"> this has been fastracked through the change process.  Any changes identified that identify additional cost will need to be agreed between Xoserve &amp; National Grid</w:t>
                  </w:r>
                </w:p>
              </w:tc>
              <w:tc>
                <w:tcPr>
                  <w:tcW w:w="1359" w:type="dxa"/>
                  <w:tcBorders>
                    <w:top w:val="single" w:sz="4" w:space="0" w:color="auto"/>
                    <w:left w:val="single" w:sz="4" w:space="0" w:color="auto"/>
                    <w:bottom w:val="single" w:sz="4" w:space="0" w:color="auto"/>
                    <w:right w:val="single" w:sz="4" w:space="0" w:color="auto"/>
                  </w:tcBorders>
                  <w:hideMark/>
                </w:tcPr>
                <w:p w14:paraId="4A4A0680" w14:textId="2568F664" w:rsidR="002F2FF5" w:rsidRDefault="002F2FF5" w:rsidP="002F2FF5">
                  <w:pPr>
                    <w:pStyle w:val="NGTHeading3"/>
                    <w:numPr>
                      <w:ilvl w:val="0"/>
                      <w:numId w:val="0"/>
                    </w:numPr>
                    <w:tabs>
                      <w:tab w:val="left" w:pos="720"/>
                    </w:tabs>
                    <w:spacing w:line="240" w:lineRule="auto"/>
                    <w:jc w:val="left"/>
                    <w:rPr>
                      <w:szCs w:val="20"/>
                      <w:lang w:val="en-US"/>
                    </w:rPr>
                  </w:pPr>
                  <w:r>
                    <w:rPr>
                      <w:szCs w:val="20"/>
                      <w:lang w:val="en-US"/>
                    </w:rPr>
                    <w:t xml:space="preserve">Cost </w:t>
                  </w:r>
                  <w:r w:rsidR="0079395D">
                    <w:rPr>
                      <w:szCs w:val="20"/>
                      <w:lang w:val="en-US"/>
                    </w:rPr>
                    <w:t xml:space="preserve">&amp; Time </w:t>
                  </w:r>
                  <w:r w:rsidR="00374337">
                    <w:rPr>
                      <w:szCs w:val="20"/>
                      <w:lang w:val="en-US"/>
                    </w:rPr>
                    <w:t>impact</w:t>
                  </w:r>
                  <w:r w:rsidR="0079395D">
                    <w:rPr>
                      <w:szCs w:val="20"/>
                      <w:lang w:val="en-US"/>
                    </w:rPr>
                    <w:t>s</w:t>
                  </w:r>
                </w:p>
              </w:tc>
              <w:tc>
                <w:tcPr>
                  <w:tcW w:w="3208" w:type="dxa"/>
                  <w:tcBorders>
                    <w:top w:val="single" w:sz="4" w:space="0" w:color="auto"/>
                    <w:left w:val="single" w:sz="4" w:space="0" w:color="auto"/>
                    <w:bottom w:val="single" w:sz="4" w:space="0" w:color="auto"/>
                    <w:right w:val="single" w:sz="4" w:space="0" w:color="auto"/>
                  </w:tcBorders>
                  <w:hideMark/>
                </w:tcPr>
                <w:p w14:paraId="14E83BE3" w14:textId="605F4DF4" w:rsidR="002F2FF5" w:rsidRDefault="00D613A0" w:rsidP="002F2FF5">
                  <w:pPr>
                    <w:pStyle w:val="NGTHeading3"/>
                    <w:numPr>
                      <w:ilvl w:val="0"/>
                      <w:numId w:val="0"/>
                    </w:numPr>
                    <w:tabs>
                      <w:tab w:val="left" w:pos="720"/>
                    </w:tabs>
                    <w:spacing w:line="240" w:lineRule="auto"/>
                    <w:jc w:val="left"/>
                    <w:rPr>
                      <w:szCs w:val="20"/>
                      <w:lang w:val="en-US"/>
                    </w:rPr>
                  </w:pPr>
                  <w:r>
                    <w:rPr>
                      <w:szCs w:val="20"/>
                      <w:lang w:val="en-US"/>
                    </w:rPr>
                    <w:t xml:space="preserve">Confirm requirements to detailed design to ensure that there are no changes </w:t>
                  </w:r>
                  <w:r w:rsidR="00374337">
                    <w:rPr>
                      <w:szCs w:val="20"/>
                      <w:lang w:val="en-US"/>
                    </w:rPr>
                    <w:t>required</w:t>
                  </w:r>
                </w:p>
              </w:tc>
              <w:tc>
                <w:tcPr>
                  <w:tcW w:w="1373" w:type="dxa"/>
                  <w:tcBorders>
                    <w:top w:val="single" w:sz="4" w:space="0" w:color="auto"/>
                    <w:left w:val="single" w:sz="4" w:space="0" w:color="auto"/>
                    <w:bottom w:val="single" w:sz="4" w:space="0" w:color="auto"/>
                    <w:right w:val="single" w:sz="4" w:space="0" w:color="auto"/>
                  </w:tcBorders>
                  <w:hideMark/>
                </w:tcPr>
                <w:p w14:paraId="2C4E2FB5" w14:textId="77777777" w:rsidR="002F2FF5" w:rsidRDefault="002F2FF5" w:rsidP="002F2FF5">
                  <w:pPr>
                    <w:pStyle w:val="NGTHeading3"/>
                    <w:numPr>
                      <w:ilvl w:val="0"/>
                      <w:numId w:val="0"/>
                    </w:numPr>
                    <w:tabs>
                      <w:tab w:val="left" w:pos="720"/>
                    </w:tabs>
                    <w:spacing w:line="240" w:lineRule="auto"/>
                    <w:jc w:val="left"/>
                    <w:rPr>
                      <w:szCs w:val="20"/>
                      <w:lang w:val="en-US"/>
                    </w:rPr>
                  </w:pPr>
                  <w:r>
                    <w:rPr>
                      <w:szCs w:val="20"/>
                      <w:lang w:val="en-US"/>
                    </w:rPr>
                    <w:t>Xoserve</w:t>
                  </w:r>
                </w:p>
              </w:tc>
            </w:tr>
            <w:tr w:rsidR="00752EC1" w14:paraId="359B9A5C" w14:textId="77777777" w:rsidTr="009A2042">
              <w:tc>
                <w:tcPr>
                  <w:tcW w:w="3934" w:type="dxa"/>
                  <w:tcBorders>
                    <w:top w:val="single" w:sz="4" w:space="0" w:color="auto"/>
                    <w:left w:val="single" w:sz="4" w:space="0" w:color="auto"/>
                    <w:bottom w:val="single" w:sz="4" w:space="0" w:color="auto"/>
                    <w:right w:val="single" w:sz="4" w:space="0" w:color="auto"/>
                  </w:tcBorders>
                </w:tcPr>
                <w:p w14:paraId="5CA55A4F" w14:textId="029C8003" w:rsidR="00752EC1" w:rsidRDefault="00752EC1" w:rsidP="002F2FF5">
                  <w:pPr>
                    <w:pStyle w:val="NGTHeading3"/>
                    <w:numPr>
                      <w:ilvl w:val="0"/>
                      <w:numId w:val="0"/>
                    </w:numPr>
                    <w:tabs>
                      <w:tab w:val="left" w:pos="720"/>
                    </w:tabs>
                    <w:spacing w:line="240" w:lineRule="auto"/>
                    <w:jc w:val="left"/>
                    <w:rPr>
                      <w:szCs w:val="20"/>
                      <w:lang w:val="en-US"/>
                    </w:rPr>
                  </w:pPr>
                  <w:r>
                    <w:rPr>
                      <w:szCs w:val="20"/>
                      <w:lang w:val="en-US"/>
                    </w:rPr>
                    <w:t>There is a risk that resource</w:t>
                  </w:r>
                  <w:r w:rsidR="006D03EB">
                    <w:rPr>
                      <w:szCs w:val="20"/>
                      <w:lang w:val="en-US"/>
                    </w:rPr>
                    <w:t>s</w:t>
                  </w:r>
                  <w:r>
                    <w:rPr>
                      <w:szCs w:val="20"/>
                      <w:lang w:val="en-US"/>
                    </w:rPr>
                    <w:t xml:space="preserve"> required to support the implementation of this change may be impacted by Change Congestion</w:t>
                  </w:r>
                  <w:r w:rsidR="006D03EB">
                    <w:rPr>
                      <w:szCs w:val="20"/>
                      <w:lang w:val="en-US"/>
                    </w:rPr>
                    <w:t xml:space="preserve"> or BAU </w:t>
                  </w:r>
                  <w:r w:rsidR="001D469D">
                    <w:rPr>
                      <w:szCs w:val="20"/>
                      <w:lang w:val="en-US"/>
                    </w:rPr>
                    <w:t>service provision priorities</w:t>
                  </w:r>
                  <w:r>
                    <w:rPr>
                      <w:szCs w:val="20"/>
                      <w:lang w:val="en-US"/>
                    </w:rPr>
                    <w:t xml:space="preserve"> during Q1 of 2022 leading to a delay in</w:t>
                  </w:r>
                  <w:r w:rsidR="001408C0">
                    <w:rPr>
                      <w:szCs w:val="20"/>
                      <w:lang w:val="en-US"/>
                    </w:rPr>
                    <w:t xml:space="preserve"> </w:t>
                  </w:r>
                  <w:r w:rsidR="001D469D">
                    <w:rPr>
                      <w:szCs w:val="20"/>
                      <w:lang w:val="en-US"/>
                    </w:rPr>
                    <w:t>the plan that impacts</w:t>
                  </w:r>
                  <w:r w:rsidR="001408C0">
                    <w:rPr>
                      <w:szCs w:val="20"/>
                      <w:lang w:val="en-US"/>
                    </w:rPr>
                    <w:t xml:space="preserve"> the</w:t>
                  </w:r>
                  <w:r>
                    <w:rPr>
                      <w:szCs w:val="20"/>
                      <w:lang w:val="en-US"/>
                    </w:rPr>
                    <w:t xml:space="preserve"> Go Live </w:t>
                  </w:r>
                  <w:r w:rsidR="001D469D">
                    <w:rPr>
                      <w:szCs w:val="20"/>
                      <w:lang w:val="en-US"/>
                    </w:rPr>
                    <w:t>date</w:t>
                  </w:r>
                </w:p>
              </w:tc>
              <w:tc>
                <w:tcPr>
                  <w:tcW w:w="1359" w:type="dxa"/>
                  <w:tcBorders>
                    <w:top w:val="single" w:sz="4" w:space="0" w:color="auto"/>
                    <w:left w:val="single" w:sz="4" w:space="0" w:color="auto"/>
                    <w:bottom w:val="single" w:sz="4" w:space="0" w:color="auto"/>
                    <w:right w:val="single" w:sz="4" w:space="0" w:color="auto"/>
                  </w:tcBorders>
                </w:tcPr>
                <w:p w14:paraId="4E866F20" w14:textId="3217C060" w:rsidR="00752EC1" w:rsidRDefault="001408C0" w:rsidP="002F2FF5">
                  <w:pPr>
                    <w:pStyle w:val="NGTHeading3"/>
                    <w:numPr>
                      <w:ilvl w:val="0"/>
                      <w:numId w:val="0"/>
                    </w:numPr>
                    <w:tabs>
                      <w:tab w:val="left" w:pos="720"/>
                    </w:tabs>
                    <w:spacing w:line="240" w:lineRule="auto"/>
                    <w:jc w:val="left"/>
                    <w:rPr>
                      <w:szCs w:val="20"/>
                      <w:lang w:val="en-US"/>
                    </w:rPr>
                  </w:pPr>
                  <w:r>
                    <w:rPr>
                      <w:szCs w:val="20"/>
                      <w:lang w:val="en-US"/>
                    </w:rPr>
                    <w:t>Reputation</w:t>
                  </w:r>
                </w:p>
              </w:tc>
              <w:tc>
                <w:tcPr>
                  <w:tcW w:w="3208" w:type="dxa"/>
                  <w:tcBorders>
                    <w:top w:val="single" w:sz="4" w:space="0" w:color="auto"/>
                    <w:left w:val="single" w:sz="4" w:space="0" w:color="auto"/>
                    <w:bottom w:val="single" w:sz="4" w:space="0" w:color="auto"/>
                    <w:right w:val="single" w:sz="4" w:space="0" w:color="auto"/>
                  </w:tcBorders>
                </w:tcPr>
                <w:p w14:paraId="16620415" w14:textId="7244B84B" w:rsidR="00752EC1" w:rsidRDefault="001408C0" w:rsidP="002F2FF5">
                  <w:pPr>
                    <w:pStyle w:val="NGTHeading3"/>
                    <w:numPr>
                      <w:ilvl w:val="0"/>
                      <w:numId w:val="0"/>
                    </w:numPr>
                    <w:tabs>
                      <w:tab w:val="left" w:pos="720"/>
                    </w:tabs>
                    <w:spacing w:line="240" w:lineRule="auto"/>
                    <w:jc w:val="left"/>
                    <w:rPr>
                      <w:szCs w:val="20"/>
                      <w:lang w:val="en-US"/>
                    </w:rPr>
                  </w:pPr>
                  <w:r>
                    <w:rPr>
                      <w:szCs w:val="20"/>
                      <w:lang w:val="en-US"/>
                    </w:rPr>
                    <w:t xml:space="preserve">Ensure that the </w:t>
                  </w:r>
                  <w:r w:rsidR="001E543F">
                    <w:rPr>
                      <w:szCs w:val="20"/>
                      <w:lang w:val="en-US"/>
                    </w:rPr>
                    <w:t>plan to deliver this change is reflected in the ove</w:t>
                  </w:r>
                  <w:r w:rsidR="001D469D">
                    <w:rPr>
                      <w:szCs w:val="20"/>
                      <w:lang w:val="en-US"/>
                    </w:rPr>
                    <w:t>r</w:t>
                  </w:r>
                  <w:r w:rsidR="001E543F">
                    <w:rPr>
                      <w:szCs w:val="20"/>
                      <w:lang w:val="en-US"/>
                    </w:rPr>
                    <w:t xml:space="preserve">all Portfolio Change plan and </w:t>
                  </w:r>
                  <w:r w:rsidR="00602A9D">
                    <w:rPr>
                      <w:szCs w:val="20"/>
                      <w:lang w:val="en-US"/>
                    </w:rPr>
                    <w:t xml:space="preserve">ensure that all dependencies are </w:t>
                  </w:r>
                  <w:r w:rsidR="001D469D">
                    <w:rPr>
                      <w:szCs w:val="20"/>
                      <w:lang w:val="en-US"/>
                    </w:rPr>
                    <w:t>understood with BAU service provision requirements</w:t>
                  </w:r>
                </w:p>
              </w:tc>
              <w:tc>
                <w:tcPr>
                  <w:tcW w:w="1373" w:type="dxa"/>
                  <w:tcBorders>
                    <w:top w:val="single" w:sz="4" w:space="0" w:color="auto"/>
                    <w:left w:val="single" w:sz="4" w:space="0" w:color="auto"/>
                    <w:bottom w:val="single" w:sz="4" w:space="0" w:color="auto"/>
                    <w:right w:val="single" w:sz="4" w:space="0" w:color="auto"/>
                  </w:tcBorders>
                </w:tcPr>
                <w:p w14:paraId="49434ADB" w14:textId="60338452" w:rsidR="00752EC1" w:rsidRDefault="00602A9D" w:rsidP="002F2FF5">
                  <w:pPr>
                    <w:pStyle w:val="NGTHeading3"/>
                    <w:numPr>
                      <w:ilvl w:val="0"/>
                      <w:numId w:val="0"/>
                    </w:numPr>
                    <w:tabs>
                      <w:tab w:val="left" w:pos="720"/>
                    </w:tabs>
                    <w:spacing w:line="240" w:lineRule="auto"/>
                    <w:jc w:val="left"/>
                    <w:rPr>
                      <w:szCs w:val="20"/>
                      <w:lang w:val="en-US"/>
                    </w:rPr>
                  </w:pPr>
                  <w:r>
                    <w:rPr>
                      <w:szCs w:val="20"/>
                      <w:lang w:val="en-US"/>
                    </w:rPr>
                    <w:t>Xoserve</w:t>
                  </w:r>
                </w:p>
              </w:tc>
            </w:tr>
          </w:tbl>
          <w:p w14:paraId="266D17F7" w14:textId="77777777" w:rsidR="002F2FF5" w:rsidRDefault="002F2FF5" w:rsidP="008D16BE">
            <w:pPr>
              <w:rPr>
                <w:rFonts w:cs="Arial"/>
                <w:b/>
                <w:sz w:val="20"/>
                <w:szCs w:val="20"/>
              </w:rPr>
            </w:pPr>
          </w:p>
          <w:p w14:paraId="2399500B" w14:textId="12AD4A20" w:rsidR="008D16BE" w:rsidRDefault="008D16BE" w:rsidP="008D16BE">
            <w:pPr>
              <w:rPr>
                <w:rFonts w:cs="Arial"/>
                <w:sz w:val="18"/>
                <w:szCs w:val="18"/>
              </w:rPr>
            </w:pPr>
          </w:p>
          <w:p w14:paraId="0620F0A8" w14:textId="7B9FAB4A" w:rsidR="008D16BE" w:rsidRDefault="008D16BE" w:rsidP="008D16BE">
            <w:pPr>
              <w:rPr>
                <w:rFonts w:cs="Arial"/>
                <w:i/>
                <w:color w:val="0070C0"/>
                <w:sz w:val="20"/>
              </w:rPr>
            </w:pPr>
            <w:r>
              <w:rPr>
                <w:rFonts w:cs="Arial"/>
                <w:i/>
                <w:color w:val="0070C0"/>
                <w:sz w:val="20"/>
              </w:rPr>
              <w:t>Please advise of any:</w:t>
            </w:r>
          </w:p>
          <w:p w14:paraId="377B272D" w14:textId="77777777" w:rsidR="00602A9D" w:rsidRDefault="00602A9D" w:rsidP="008D16BE">
            <w:pPr>
              <w:rPr>
                <w:rFonts w:cs="Arial"/>
                <w:i/>
                <w:color w:val="0070C0"/>
                <w:sz w:val="20"/>
              </w:rPr>
            </w:pPr>
          </w:p>
          <w:p w14:paraId="66AB15F6" w14:textId="3E279768" w:rsidR="009215BA" w:rsidRPr="009215BA" w:rsidRDefault="006E15CC" w:rsidP="00602A9D">
            <w:pPr>
              <w:pStyle w:val="ListParagraph"/>
              <w:numPr>
                <w:ilvl w:val="0"/>
                <w:numId w:val="24"/>
              </w:numPr>
              <w:spacing w:after="0" w:line="240" w:lineRule="auto"/>
              <w:rPr>
                <w:rFonts w:cs="Arial"/>
                <w:iCs/>
                <w:color w:val="0070C0"/>
              </w:rPr>
            </w:pPr>
            <w:r>
              <w:rPr>
                <w:rFonts w:cs="Arial"/>
                <w:iCs/>
              </w:rPr>
              <w:t xml:space="preserve">Assumption that National Grid have approved the requirements and High Level Solution design for the </w:t>
            </w:r>
            <w:r w:rsidR="009A2042" w:rsidRPr="00602A9D">
              <w:rPr>
                <w:rFonts w:cs="Arial"/>
                <w:iCs/>
              </w:rPr>
              <w:t xml:space="preserve">project </w:t>
            </w:r>
            <w:r>
              <w:rPr>
                <w:rFonts w:cs="Arial"/>
                <w:iCs/>
              </w:rPr>
              <w:t>to implement</w:t>
            </w:r>
          </w:p>
          <w:p w14:paraId="6855E4C2" w14:textId="77777777" w:rsidR="00007EDA" w:rsidRPr="00007EDA" w:rsidRDefault="009215BA" w:rsidP="00602A9D">
            <w:pPr>
              <w:pStyle w:val="ListParagraph"/>
              <w:numPr>
                <w:ilvl w:val="0"/>
                <w:numId w:val="24"/>
              </w:numPr>
              <w:spacing w:after="0" w:line="240" w:lineRule="auto"/>
              <w:rPr>
                <w:rFonts w:cs="Arial"/>
                <w:iCs/>
                <w:color w:val="0070C0"/>
              </w:rPr>
            </w:pPr>
            <w:r>
              <w:rPr>
                <w:rFonts w:cs="Arial"/>
                <w:iCs/>
              </w:rPr>
              <w:t xml:space="preserve">Assumption that National Grid resources will be available to support any user acceptance testing for the agreed solution design as per </w:t>
            </w:r>
            <w:r w:rsidR="00007EDA">
              <w:rPr>
                <w:rFonts w:cs="Arial"/>
                <w:iCs/>
              </w:rPr>
              <w:t>the project plan</w:t>
            </w:r>
          </w:p>
          <w:p w14:paraId="38BD1501" w14:textId="6A1B43D2" w:rsidR="008D16BE" w:rsidRPr="00602A9D" w:rsidRDefault="00007EDA" w:rsidP="00602A9D">
            <w:pPr>
              <w:pStyle w:val="ListParagraph"/>
              <w:numPr>
                <w:ilvl w:val="0"/>
                <w:numId w:val="24"/>
              </w:numPr>
              <w:spacing w:after="0" w:line="240" w:lineRule="auto"/>
              <w:rPr>
                <w:rFonts w:cs="Arial"/>
                <w:iCs/>
                <w:color w:val="0070C0"/>
              </w:rPr>
            </w:pPr>
            <w:r>
              <w:rPr>
                <w:rFonts w:cs="Arial"/>
                <w:iCs/>
              </w:rPr>
              <w:t>There will be no external customer testing environment to undertake any testing of the agreed solution design</w:t>
            </w:r>
            <w:r w:rsidR="00752EC1" w:rsidRPr="00602A9D">
              <w:rPr>
                <w:rFonts w:cs="Arial"/>
                <w:iCs/>
              </w:rPr>
              <w:t xml:space="preserve">  </w:t>
            </w:r>
          </w:p>
          <w:p w14:paraId="05EEB966" w14:textId="3B9B22F0" w:rsidR="008D16BE" w:rsidRPr="00D24E05" w:rsidRDefault="008D16BE" w:rsidP="00007EDA">
            <w:pPr>
              <w:pStyle w:val="NGTHeading3"/>
              <w:numPr>
                <w:ilvl w:val="0"/>
                <w:numId w:val="0"/>
              </w:numPr>
              <w:spacing w:line="240" w:lineRule="auto"/>
              <w:rPr>
                <w:szCs w:val="20"/>
                <w:lang w:val="en-US"/>
              </w:rPr>
            </w:pPr>
          </w:p>
        </w:tc>
      </w:tr>
    </w:tbl>
    <w:p w14:paraId="093985C6" w14:textId="77777777" w:rsidR="002B2E87" w:rsidRPr="002B2E87" w:rsidRDefault="002B2E87" w:rsidP="002B2E87">
      <w:pPr>
        <w:rPr>
          <w:rFonts w:eastAsia="Arial" w:cs="Arial"/>
          <w:b/>
        </w:rPr>
      </w:pPr>
    </w:p>
    <w:p w14:paraId="0268A5E2" w14:textId="623F31DE" w:rsidR="00D24E05" w:rsidRPr="00B41E08" w:rsidRDefault="002B2E87" w:rsidP="00B41E08">
      <w:pPr>
        <w:rPr>
          <w:rFonts w:eastAsia="Arial" w:cs="Arial"/>
          <w:b/>
        </w:rPr>
      </w:pPr>
      <w:r w:rsidRPr="002B2E87">
        <w:rPr>
          <w:rFonts w:eastAsia="Arial" w:cs="Arial"/>
          <w:b/>
        </w:rPr>
        <w:t xml:space="preserve">Please send completed form to: </w:t>
      </w:r>
      <w:hyperlink r:id="rId13" w:history="1">
        <w:r w:rsidRPr="002B2E87">
          <w:rPr>
            <w:rFonts w:eastAsia="Arial" w:cs="Arial"/>
            <w:b/>
            <w:color w:val="D2232A"/>
            <w:u w:val="single"/>
          </w:rPr>
          <w:t>box.xoserve.portfoliooffice@xoserve.com</w:t>
        </w:r>
      </w:hyperlink>
    </w:p>
    <w:p w14:paraId="312BB892" w14:textId="77777777" w:rsidR="00BF66FB" w:rsidRDefault="00BF66FB" w:rsidP="002B2E87">
      <w:pPr>
        <w:pStyle w:val="NoSpacing"/>
        <w:rPr>
          <w:rFonts w:eastAsia="Arial"/>
        </w:rPr>
      </w:pPr>
    </w:p>
    <w:p w14:paraId="3251AA56" w14:textId="77777777" w:rsidR="002B2E87" w:rsidRPr="002B2E87" w:rsidRDefault="002B2E87" w:rsidP="002B2E87">
      <w:pPr>
        <w:rPr>
          <w:rFonts w:eastAsia="Arial" w:cs="Times New Roman"/>
          <w:b/>
          <w:sz w:val="20"/>
          <w:szCs w:val="20"/>
        </w:rPr>
      </w:pPr>
      <w:r w:rsidRPr="002B2E87">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68"/>
        <w:gridCol w:w="1637"/>
        <w:gridCol w:w="1217"/>
        <w:gridCol w:w="1492"/>
        <w:gridCol w:w="3843"/>
      </w:tblGrid>
      <w:tr w:rsidR="002B2E87" w:rsidRPr="002B2E87" w14:paraId="05C01B9A" w14:textId="77777777" w:rsidTr="001D469D">
        <w:trPr>
          <w:trHeight w:val="611"/>
        </w:trPr>
        <w:tc>
          <w:tcPr>
            <w:tcW w:w="888" w:type="pct"/>
            <w:shd w:val="clear" w:color="auto" w:fill="D6DCF0" w:themeFill="accent1" w:themeFillTint="33"/>
            <w:vAlign w:val="center"/>
          </w:tcPr>
          <w:p w14:paraId="0200727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22" w:type="pct"/>
            <w:shd w:val="clear" w:color="auto" w:fill="D6DCF0" w:themeFill="accent1" w:themeFillTint="33"/>
            <w:vAlign w:val="center"/>
          </w:tcPr>
          <w:p w14:paraId="6635300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611" w:type="pct"/>
            <w:shd w:val="clear" w:color="auto" w:fill="D6DCF0" w:themeFill="accent1" w:themeFillTint="33"/>
            <w:vAlign w:val="center"/>
          </w:tcPr>
          <w:p w14:paraId="218057BC"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49" w:type="pct"/>
            <w:shd w:val="clear" w:color="auto" w:fill="D6DCF0" w:themeFill="accent1" w:themeFillTint="33"/>
            <w:vAlign w:val="center"/>
          </w:tcPr>
          <w:p w14:paraId="53B293F3"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30" w:type="pct"/>
            <w:shd w:val="clear" w:color="auto" w:fill="D6DCF0" w:themeFill="accent1" w:themeFillTint="33"/>
            <w:vAlign w:val="center"/>
          </w:tcPr>
          <w:p w14:paraId="04E2A42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2B2E87" w:rsidRPr="002B2E87" w14:paraId="4BA4A705" w14:textId="77777777" w:rsidTr="001D469D">
        <w:tc>
          <w:tcPr>
            <w:tcW w:w="888" w:type="pct"/>
          </w:tcPr>
          <w:p w14:paraId="35EF9599" w14:textId="4EF48297" w:rsidR="002B2E87" w:rsidRPr="002B2E87" w:rsidRDefault="005250C1" w:rsidP="002B2E87">
            <w:pPr>
              <w:jc w:val="center"/>
              <w:rPr>
                <w:rFonts w:eastAsia="Times New Roman" w:cs="Arial"/>
                <w:sz w:val="20"/>
                <w:szCs w:val="20"/>
              </w:rPr>
            </w:pPr>
            <w:r>
              <w:rPr>
                <w:rFonts w:eastAsia="Times New Roman" w:cs="Arial"/>
                <w:sz w:val="20"/>
                <w:szCs w:val="20"/>
              </w:rPr>
              <w:t>1.0</w:t>
            </w:r>
          </w:p>
        </w:tc>
        <w:tc>
          <w:tcPr>
            <w:tcW w:w="822" w:type="pct"/>
          </w:tcPr>
          <w:p w14:paraId="434AE054" w14:textId="0DF4599D" w:rsidR="002B2E87" w:rsidRPr="002B2E87" w:rsidRDefault="005250C1" w:rsidP="002B2E87">
            <w:pPr>
              <w:jc w:val="center"/>
              <w:rPr>
                <w:rFonts w:eastAsia="Times New Roman" w:cs="Arial"/>
                <w:sz w:val="20"/>
                <w:szCs w:val="20"/>
              </w:rPr>
            </w:pPr>
            <w:r>
              <w:rPr>
                <w:rFonts w:eastAsia="Times New Roman" w:cs="Arial"/>
                <w:sz w:val="20"/>
                <w:szCs w:val="20"/>
              </w:rPr>
              <w:t>Approved</w:t>
            </w:r>
          </w:p>
        </w:tc>
        <w:tc>
          <w:tcPr>
            <w:tcW w:w="611" w:type="pct"/>
          </w:tcPr>
          <w:p w14:paraId="2A8CD6E0" w14:textId="1EC256C8" w:rsidR="002B2E87" w:rsidRPr="002B2E87" w:rsidRDefault="00D5763D" w:rsidP="002B2E87">
            <w:pPr>
              <w:jc w:val="center"/>
              <w:rPr>
                <w:rFonts w:eastAsia="Times New Roman" w:cs="Arial"/>
                <w:sz w:val="20"/>
                <w:szCs w:val="20"/>
              </w:rPr>
            </w:pPr>
            <w:r>
              <w:rPr>
                <w:rFonts w:eastAsia="Times New Roman" w:cs="Arial"/>
                <w:sz w:val="20"/>
                <w:szCs w:val="20"/>
              </w:rPr>
              <w:t>20/12</w:t>
            </w:r>
            <w:r w:rsidR="00496907">
              <w:rPr>
                <w:rFonts w:eastAsia="Times New Roman" w:cs="Arial"/>
                <w:sz w:val="20"/>
                <w:szCs w:val="20"/>
              </w:rPr>
              <w:t>/2021</w:t>
            </w:r>
          </w:p>
        </w:tc>
        <w:tc>
          <w:tcPr>
            <w:tcW w:w="749" w:type="pct"/>
          </w:tcPr>
          <w:p w14:paraId="781C197A" w14:textId="43990D37" w:rsidR="002B2E87" w:rsidRPr="002B2E87" w:rsidRDefault="00496907" w:rsidP="002B2E87">
            <w:pPr>
              <w:jc w:val="center"/>
              <w:rPr>
                <w:rFonts w:eastAsia="Times New Roman" w:cs="Arial"/>
                <w:sz w:val="20"/>
                <w:szCs w:val="20"/>
              </w:rPr>
            </w:pPr>
            <w:r>
              <w:rPr>
                <w:rFonts w:eastAsia="Times New Roman" w:cs="Arial"/>
                <w:sz w:val="20"/>
                <w:szCs w:val="20"/>
              </w:rPr>
              <w:t>Lee Chambers</w:t>
            </w:r>
          </w:p>
        </w:tc>
        <w:tc>
          <w:tcPr>
            <w:tcW w:w="1930" w:type="pct"/>
          </w:tcPr>
          <w:p w14:paraId="690A4FCF" w14:textId="7A8C044F" w:rsidR="002B2E87" w:rsidRPr="002B2E87" w:rsidRDefault="00DA056B" w:rsidP="002B2E87">
            <w:pPr>
              <w:jc w:val="center"/>
              <w:rPr>
                <w:rFonts w:eastAsia="Times New Roman" w:cs="Arial"/>
                <w:sz w:val="20"/>
                <w:szCs w:val="20"/>
              </w:rPr>
            </w:pPr>
            <w:r>
              <w:rPr>
                <w:rFonts w:eastAsia="Times New Roman" w:cs="Arial"/>
                <w:sz w:val="20"/>
                <w:szCs w:val="20"/>
              </w:rPr>
              <w:t>BER created for approval</w:t>
            </w:r>
          </w:p>
        </w:tc>
      </w:tr>
    </w:tbl>
    <w:p w14:paraId="3E175A51" w14:textId="0F18E928" w:rsidR="00D66C7E" w:rsidRPr="00D66C7E" w:rsidRDefault="00D66C7E" w:rsidP="009B3AAA"/>
    <w:sectPr w:rsidR="00D66C7E" w:rsidRPr="00D66C7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1399B" w14:textId="77777777" w:rsidR="00D30AD6" w:rsidRDefault="00D30AD6" w:rsidP="00324744">
      <w:pPr>
        <w:spacing w:after="0" w:line="240" w:lineRule="auto"/>
      </w:pPr>
      <w:r>
        <w:separator/>
      </w:r>
    </w:p>
  </w:endnote>
  <w:endnote w:type="continuationSeparator" w:id="0">
    <w:p w14:paraId="02D5C171" w14:textId="77777777" w:rsidR="00D30AD6" w:rsidRDefault="00D30AD6" w:rsidP="00324744">
      <w:pPr>
        <w:spacing w:after="0" w:line="240" w:lineRule="auto"/>
      </w:pPr>
      <w:r>
        <w:continuationSeparator/>
      </w:r>
    </w:p>
  </w:endnote>
  <w:endnote w:type="continuationNotice" w:id="1">
    <w:p w14:paraId="61A76236" w14:textId="77777777" w:rsidR="00D30AD6" w:rsidRDefault="00D30A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5A75" w14:textId="77777777" w:rsidR="00135C0D" w:rsidRDefault="00135C0D">
    <w:pPr>
      <w:pStyle w:val="Footer"/>
    </w:pPr>
    <w:r>
      <w:rPr>
        <w:noProof/>
      </w:rPr>
      <mc:AlternateContent>
        <mc:Choice Requires="wps">
          <w:drawing>
            <wp:anchor distT="0" distB="0" distL="114300" distR="114300" simplePos="0" relativeHeight="251658241" behindDoc="0" locked="0" layoutInCell="1" allowOverlap="1" wp14:anchorId="3E175A78" wp14:editId="3E175A7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295B24"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AFC66" w14:textId="77777777" w:rsidR="00D30AD6" w:rsidRDefault="00D30AD6" w:rsidP="00324744">
      <w:pPr>
        <w:spacing w:after="0" w:line="240" w:lineRule="auto"/>
      </w:pPr>
      <w:r>
        <w:separator/>
      </w:r>
    </w:p>
  </w:footnote>
  <w:footnote w:type="continuationSeparator" w:id="0">
    <w:p w14:paraId="6B940F5E" w14:textId="77777777" w:rsidR="00D30AD6" w:rsidRDefault="00D30AD6" w:rsidP="00324744">
      <w:pPr>
        <w:spacing w:after="0" w:line="240" w:lineRule="auto"/>
      </w:pPr>
      <w:r>
        <w:continuationSeparator/>
      </w:r>
    </w:p>
  </w:footnote>
  <w:footnote w:type="continuationNotice" w:id="1">
    <w:p w14:paraId="6C0D26F7" w14:textId="77777777" w:rsidR="00D30AD6" w:rsidRDefault="00D30A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5A74" w14:textId="72ED938F" w:rsidR="00135C0D" w:rsidRDefault="00135C0D">
    <w:pPr>
      <w:pStyle w:val="Header"/>
    </w:pPr>
    <w:r>
      <w:rPr>
        <w:noProof/>
      </w:rPr>
      <mc:AlternateContent>
        <mc:Choice Requires="wps">
          <w:drawing>
            <wp:anchor distT="0" distB="0" distL="114300" distR="114300" simplePos="0" relativeHeight="251658240" behindDoc="0" locked="0" layoutInCell="1" allowOverlap="1" wp14:anchorId="3E175A76" wp14:editId="1F42CFE9">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46313B"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697"/>
    <w:multiLevelType w:val="hybridMultilevel"/>
    <w:tmpl w:val="083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A118D"/>
    <w:multiLevelType w:val="multilevel"/>
    <w:tmpl w:val="2746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50B27"/>
    <w:multiLevelType w:val="hybridMultilevel"/>
    <w:tmpl w:val="FFFC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172F3"/>
    <w:multiLevelType w:val="hybridMultilevel"/>
    <w:tmpl w:val="242C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22A7A"/>
    <w:multiLevelType w:val="hybridMultilevel"/>
    <w:tmpl w:val="4EAA3C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7A2E05"/>
    <w:multiLevelType w:val="hybridMultilevel"/>
    <w:tmpl w:val="F61AE970"/>
    <w:lvl w:ilvl="0" w:tplc="C1CA0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9A6DE7"/>
    <w:multiLevelType w:val="hybridMultilevel"/>
    <w:tmpl w:val="20026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E6F16"/>
    <w:multiLevelType w:val="multilevel"/>
    <w:tmpl w:val="688057E0"/>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8" w15:restartNumberingAfterBreak="0">
    <w:nsid w:val="179721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3467D7"/>
    <w:multiLevelType w:val="hybridMultilevel"/>
    <w:tmpl w:val="23CE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211D8"/>
    <w:multiLevelType w:val="hybridMultilevel"/>
    <w:tmpl w:val="8530FD7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39B63969"/>
    <w:multiLevelType w:val="hybridMultilevel"/>
    <w:tmpl w:val="DA78C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FA5C83"/>
    <w:multiLevelType w:val="hybridMultilevel"/>
    <w:tmpl w:val="924271B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B479B"/>
    <w:multiLevelType w:val="hybridMultilevel"/>
    <w:tmpl w:val="777C6DE6"/>
    <w:lvl w:ilvl="0" w:tplc="B746A70C">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0660C"/>
    <w:multiLevelType w:val="hybridMultilevel"/>
    <w:tmpl w:val="49A6C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9807874"/>
    <w:multiLevelType w:val="multilevel"/>
    <w:tmpl w:val="0FA8196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4C2434A6"/>
    <w:multiLevelType w:val="multilevel"/>
    <w:tmpl w:val="208E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18" w15:restartNumberingAfterBreak="0">
    <w:nsid w:val="4F5E1AFB"/>
    <w:multiLevelType w:val="hybridMultilevel"/>
    <w:tmpl w:val="AB0A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ED1E00"/>
    <w:multiLevelType w:val="hybridMultilevel"/>
    <w:tmpl w:val="8D18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DB7462"/>
    <w:multiLevelType w:val="multilevel"/>
    <w:tmpl w:val="4042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A664FD"/>
    <w:multiLevelType w:val="hybridMultilevel"/>
    <w:tmpl w:val="3DBA5FC8"/>
    <w:lvl w:ilvl="0" w:tplc="C3A88E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078BE"/>
    <w:multiLevelType w:val="hybridMultilevel"/>
    <w:tmpl w:val="DE82B7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60144C"/>
    <w:multiLevelType w:val="hybridMultilevel"/>
    <w:tmpl w:val="808E3F0C"/>
    <w:lvl w:ilvl="0" w:tplc="1F229C16">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A3504FD"/>
    <w:multiLevelType w:val="hybridMultilevel"/>
    <w:tmpl w:val="3E9418A2"/>
    <w:lvl w:ilvl="0" w:tplc="B746A70C">
      <w:numFmt w:val="bullet"/>
      <w:lvlText w:val="•"/>
      <w:lvlJc w:val="left"/>
      <w:pPr>
        <w:ind w:left="1080" w:hanging="720"/>
      </w:pPr>
      <w:rPr>
        <w:rFonts w:ascii="Arial" w:eastAsia="Times New Roman" w:hAnsi="Arial" w:cs="Arial" w:hint="default"/>
      </w:rPr>
    </w:lvl>
    <w:lvl w:ilvl="1" w:tplc="5AF834B2">
      <w:numFmt w:val="bullet"/>
      <w:lvlText w:val=""/>
      <w:lvlJc w:val="left"/>
      <w:pPr>
        <w:ind w:left="1800" w:hanging="72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num w:numId="1">
    <w:abstractNumId w:val="8"/>
  </w:num>
  <w:num w:numId="2">
    <w:abstractNumId w:val="9"/>
  </w:num>
  <w:num w:numId="3">
    <w:abstractNumId w:val="7"/>
  </w:num>
  <w:num w:numId="4">
    <w:abstractNumId w:val="15"/>
  </w:num>
  <w:num w:numId="5">
    <w:abstractNumId w:val="0"/>
  </w:num>
  <w:num w:numId="6">
    <w:abstractNumId w:val="19"/>
  </w:num>
  <w:num w:numId="7">
    <w:abstractNumId w:val="3"/>
  </w:num>
  <w:num w:numId="8">
    <w:abstractNumId w:val="18"/>
  </w:num>
  <w:num w:numId="9">
    <w:abstractNumId w:val="25"/>
  </w:num>
  <w:num w:numId="10">
    <w:abstractNumId w:val="17"/>
  </w:num>
  <w:num w:numId="11">
    <w:abstractNumId w:val="5"/>
  </w:num>
  <w:num w:numId="12">
    <w:abstractNumId w:val="4"/>
  </w:num>
  <w:num w:numId="13">
    <w:abstractNumId w:val="22"/>
  </w:num>
  <w:num w:numId="14">
    <w:abstractNumId w:val="10"/>
  </w:num>
  <w:num w:numId="15">
    <w:abstractNumId w:val="21"/>
  </w:num>
  <w:num w:numId="16">
    <w:abstractNumId w:val="11"/>
  </w:num>
  <w:num w:numId="17">
    <w:abstractNumId w:val="2"/>
  </w:num>
  <w:num w:numId="18">
    <w:abstractNumId w:val="24"/>
  </w:num>
  <w:num w:numId="19">
    <w:abstractNumId w:val="13"/>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2"/>
  </w:num>
  <w:num w:numId="24">
    <w:abstractNumId w:val="23"/>
  </w:num>
  <w:num w:numId="25">
    <w:abstractNumId w:val="16"/>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6BB6"/>
    <w:rsid w:val="00006E29"/>
    <w:rsid w:val="00007EDA"/>
    <w:rsid w:val="00010986"/>
    <w:rsid w:val="00011681"/>
    <w:rsid w:val="00014007"/>
    <w:rsid w:val="00014DA2"/>
    <w:rsid w:val="00016736"/>
    <w:rsid w:val="000229F1"/>
    <w:rsid w:val="0002511B"/>
    <w:rsid w:val="00025955"/>
    <w:rsid w:val="0003136C"/>
    <w:rsid w:val="00035EB2"/>
    <w:rsid w:val="0003758F"/>
    <w:rsid w:val="00040B7E"/>
    <w:rsid w:val="00042DB8"/>
    <w:rsid w:val="00043629"/>
    <w:rsid w:val="0004427F"/>
    <w:rsid w:val="00045E44"/>
    <w:rsid w:val="000471A3"/>
    <w:rsid w:val="0005209B"/>
    <w:rsid w:val="00055F7C"/>
    <w:rsid w:val="000560C0"/>
    <w:rsid w:val="00057653"/>
    <w:rsid w:val="00057AFE"/>
    <w:rsid w:val="0006032B"/>
    <w:rsid w:val="000608B3"/>
    <w:rsid w:val="000612CE"/>
    <w:rsid w:val="00061BCD"/>
    <w:rsid w:val="00062EB0"/>
    <w:rsid w:val="00074FDE"/>
    <w:rsid w:val="0007561C"/>
    <w:rsid w:val="00075669"/>
    <w:rsid w:val="000759A1"/>
    <w:rsid w:val="000774B8"/>
    <w:rsid w:val="00077DB3"/>
    <w:rsid w:val="000818D5"/>
    <w:rsid w:val="00083E49"/>
    <w:rsid w:val="00084714"/>
    <w:rsid w:val="00086F14"/>
    <w:rsid w:val="000870F3"/>
    <w:rsid w:val="00093D54"/>
    <w:rsid w:val="000958A5"/>
    <w:rsid w:val="000972CB"/>
    <w:rsid w:val="0009754E"/>
    <w:rsid w:val="00097557"/>
    <w:rsid w:val="000A09DA"/>
    <w:rsid w:val="000A1AD1"/>
    <w:rsid w:val="000A5402"/>
    <w:rsid w:val="000A66E9"/>
    <w:rsid w:val="000A6A9E"/>
    <w:rsid w:val="000A71BB"/>
    <w:rsid w:val="000B1B5B"/>
    <w:rsid w:val="000B1D95"/>
    <w:rsid w:val="000B26DE"/>
    <w:rsid w:val="000B332E"/>
    <w:rsid w:val="000B406F"/>
    <w:rsid w:val="000B411F"/>
    <w:rsid w:val="000B4DF2"/>
    <w:rsid w:val="000B6963"/>
    <w:rsid w:val="000B73EA"/>
    <w:rsid w:val="000B7CF3"/>
    <w:rsid w:val="000C1358"/>
    <w:rsid w:val="000C2924"/>
    <w:rsid w:val="000C3EC6"/>
    <w:rsid w:val="000C6E46"/>
    <w:rsid w:val="000C74D3"/>
    <w:rsid w:val="000D05B9"/>
    <w:rsid w:val="000D16ED"/>
    <w:rsid w:val="000D252F"/>
    <w:rsid w:val="000E0DC2"/>
    <w:rsid w:val="000E1463"/>
    <w:rsid w:val="000E16C9"/>
    <w:rsid w:val="000E3819"/>
    <w:rsid w:val="000E55B0"/>
    <w:rsid w:val="000E5E54"/>
    <w:rsid w:val="000F2D15"/>
    <w:rsid w:val="00103FC5"/>
    <w:rsid w:val="00115508"/>
    <w:rsid w:val="001157A1"/>
    <w:rsid w:val="00120018"/>
    <w:rsid w:val="001207D8"/>
    <w:rsid w:val="00122F88"/>
    <w:rsid w:val="00125B61"/>
    <w:rsid w:val="001270A2"/>
    <w:rsid w:val="00127356"/>
    <w:rsid w:val="00132477"/>
    <w:rsid w:val="001353D7"/>
    <w:rsid w:val="00135C0D"/>
    <w:rsid w:val="00136998"/>
    <w:rsid w:val="00137CB9"/>
    <w:rsid w:val="001408C0"/>
    <w:rsid w:val="001434AA"/>
    <w:rsid w:val="00143EFF"/>
    <w:rsid w:val="001446C2"/>
    <w:rsid w:val="00144E00"/>
    <w:rsid w:val="0014732F"/>
    <w:rsid w:val="001508CC"/>
    <w:rsid w:val="00150D38"/>
    <w:rsid w:val="0015137D"/>
    <w:rsid w:val="001531E7"/>
    <w:rsid w:val="00157073"/>
    <w:rsid w:val="0016147C"/>
    <w:rsid w:val="001742CE"/>
    <w:rsid w:val="00174786"/>
    <w:rsid w:val="001771A2"/>
    <w:rsid w:val="00181F6D"/>
    <w:rsid w:val="00183A53"/>
    <w:rsid w:val="001852E1"/>
    <w:rsid w:val="00186E8F"/>
    <w:rsid w:val="00191D7E"/>
    <w:rsid w:val="00192E27"/>
    <w:rsid w:val="001936FC"/>
    <w:rsid w:val="0019390D"/>
    <w:rsid w:val="00193F34"/>
    <w:rsid w:val="001942F6"/>
    <w:rsid w:val="00195FBE"/>
    <w:rsid w:val="001A4748"/>
    <w:rsid w:val="001B0848"/>
    <w:rsid w:val="001B7DC1"/>
    <w:rsid w:val="001C15F7"/>
    <w:rsid w:val="001C1A4B"/>
    <w:rsid w:val="001D247D"/>
    <w:rsid w:val="001D275E"/>
    <w:rsid w:val="001D469D"/>
    <w:rsid w:val="001D668B"/>
    <w:rsid w:val="001D69A1"/>
    <w:rsid w:val="001E398E"/>
    <w:rsid w:val="001E3C5C"/>
    <w:rsid w:val="001E543F"/>
    <w:rsid w:val="001E58AF"/>
    <w:rsid w:val="001E6419"/>
    <w:rsid w:val="001E6D34"/>
    <w:rsid w:val="001F350A"/>
    <w:rsid w:val="001F7F6F"/>
    <w:rsid w:val="00203FBC"/>
    <w:rsid w:val="0021016C"/>
    <w:rsid w:val="00213B0E"/>
    <w:rsid w:val="0022126F"/>
    <w:rsid w:val="00221538"/>
    <w:rsid w:val="00223716"/>
    <w:rsid w:val="002251F1"/>
    <w:rsid w:val="00226D34"/>
    <w:rsid w:val="00233305"/>
    <w:rsid w:val="00242C0A"/>
    <w:rsid w:val="002466AB"/>
    <w:rsid w:val="00253465"/>
    <w:rsid w:val="002539AB"/>
    <w:rsid w:val="00254336"/>
    <w:rsid w:val="00260F79"/>
    <w:rsid w:val="0026133D"/>
    <w:rsid w:val="00263B6E"/>
    <w:rsid w:val="00263C73"/>
    <w:rsid w:val="0027026C"/>
    <w:rsid w:val="002707BF"/>
    <w:rsid w:val="00275BB6"/>
    <w:rsid w:val="002765FA"/>
    <w:rsid w:val="0028280D"/>
    <w:rsid w:val="00286D0E"/>
    <w:rsid w:val="00290C3C"/>
    <w:rsid w:val="00290CDA"/>
    <w:rsid w:val="00291A42"/>
    <w:rsid w:val="00291D86"/>
    <w:rsid w:val="00292474"/>
    <w:rsid w:val="00294684"/>
    <w:rsid w:val="00294CA5"/>
    <w:rsid w:val="00294DE9"/>
    <w:rsid w:val="00295D27"/>
    <w:rsid w:val="002A03C2"/>
    <w:rsid w:val="002A1FC5"/>
    <w:rsid w:val="002A4458"/>
    <w:rsid w:val="002A554E"/>
    <w:rsid w:val="002A6742"/>
    <w:rsid w:val="002B04DD"/>
    <w:rsid w:val="002B11B2"/>
    <w:rsid w:val="002B27C5"/>
    <w:rsid w:val="002B2B02"/>
    <w:rsid w:val="002B2E87"/>
    <w:rsid w:val="002B4221"/>
    <w:rsid w:val="002B5742"/>
    <w:rsid w:val="002C58D6"/>
    <w:rsid w:val="002D683D"/>
    <w:rsid w:val="002D745C"/>
    <w:rsid w:val="002D74BA"/>
    <w:rsid w:val="002D7A48"/>
    <w:rsid w:val="002E31D5"/>
    <w:rsid w:val="002E511B"/>
    <w:rsid w:val="002F2FF5"/>
    <w:rsid w:val="002F5086"/>
    <w:rsid w:val="002F6CC9"/>
    <w:rsid w:val="002F70A4"/>
    <w:rsid w:val="003016CC"/>
    <w:rsid w:val="0030619C"/>
    <w:rsid w:val="00306F47"/>
    <w:rsid w:val="003138F6"/>
    <w:rsid w:val="0031660D"/>
    <w:rsid w:val="00324744"/>
    <w:rsid w:val="00325F3A"/>
    <w:rsid w:val="0032604C"/>
    <w:rsid w:val="003270E3"/>
    <w:rsid w:val="00330CC3"/>
    <w:rsid w:val="00332325"/>
    <w:rsid w:val="0033543C"/>
    <w:rsid w:val="00336F7E"/>
    <w:rsid w:val="00340205"/>
    <w:rsid w:val="0034304D"/>
    <w:rsid w:val="00345850"/>
    <w:rsid w:val="003558A0"/>
    <w:rsid w:val="0035622F"/>
    <w:rsid w:val="00356379"/>
    <w:rsid w:val="003631E6"/>
    <w:rsid w:val="003650B4"/>
    <w:rsid w:val="0036515E"/>
    <w:rsid w:val="0036721C"/>
    <w:rsid w:val="0037133A"/>
    <w:rsid w:val="00372AF4"/>
    <w:rsid w:val="00373D5C"/>
    <w:rsid w:val="00374337"/>
    <w:rsid w:val="00374984"/>
    <w:rsid w:val="003772D6"/>
    <w:rsid w:val="00385ADF"/>
    <w:rsid w:val="00386C13"/>
    <w:rsid w:val="00386DD6"/>
    <w:rsid w:val="003910C0"/>
    <w:rsid w:val="00391B4E"/>
    <w:rsid w:val="00392D22"/>
    <w:rsid w:val="0039741E"/>
    <w:rsid w:val="00397A48"/>
    <w:rsid w:val="003A0A81"/>
    <w:rsid w:val="003A48B9"/>
    <w:rsid w:val="003B125F"/>
    <w:rsid w:val="003B2395"/>
    <w:rsid w:val="003B52D6"/>
    <w:rsid w:val="003C04A7"/>
    <w:rsid w:val="003C4226"/>
    <w:rsid w:val="003C5A46"/>
    <w:rsid w:val="003C605A"/>
    <w:rsid w:val="003E04A9"/>
    <w:rsid w:val="003E1EC0"/>
    <w:rsid w:val="003E26B0"/>
    <w:rsid w:val="003E4886"/>
    <w:rsid w:val="003E595D"/>
    <w:rsid w:val="003E76C8"/>
    <w:rsid w:val="003F3198"/>
    <w:rsid w:val="003F338D"/>
    <w:rsid w:val="003F509A"/>
    <w:rsid w:val="003F51E3"/>
    <w:rsid w:val="004002B1"/>
    <w:rsid w:val="00401A1F"/>
    <w:rsid w:val="0040241C"/>
    <w:rsid w:val="004038F0"/>
    <w:rsid w:val="00407371"/>
    <w:rsid w:val="00407373"/>
    <w:rsid w:val="0041043A"/>
    <w:rsid w:val="00411FB4"/>
    <w:rsid w:val="0041328B"/>
    <w:rsid w:val="0042046E"/>
    <w:rsid w:val="00420BA0"/>
    <w:rsid w:val="004224DF"/>
    <w:rsid w:val="00426807"/>
    <w:rsid w:val="00434BEE"/>
    <w:rsid w:val="004421A8"/>
    <w:rsid w:val="0044312E"/>
    <w:rsid w:val="00443425"/>
    <w:rsid w:val="00445256"/>
    <w:rsid w:val="0045266B"/>
    <w:rsid w:val="0045742C"/>
    <w:rsid w:val="00463EB7"/>
    <w:rsid w:val="0046467E"/>
    <w:rsid w:val="0046499A"/>
    <w:rsid w:val="00470600"/>
    <w:rsid w:val="00473262"/>
    <w:rsid w:val="00475BAB"/>
    <w:rsid w:val="00476907"/>
    <w:rsid w:val="00477D87"/>
    <w:rsid w:val="00487E4D"/>
    <w:rsid w:val="004903EF"/>
    <w:rsid w:val="0049103B"/>
    <w:rsid w:val="00491D60"/>
    <w:rsid w:val="00496907"/>
    <w:rsid w:val="004A4302"/>
    <w:rsid w:val="004A4941"/>
    <w:rsid w:val="004A7196"/>
    <w:rsid w:val="004B16E0"/>
    <w:rsid w:val="004B34C8"/>
    <w:rsid w:val="004B5DDF"/>
    <w:rsid w:val="004C2371"/>
    <w:rsid w:val="004C3840"/>
    <w:rsid w:val="004C5D53"/>
    <w:rsid w:val="004C7509"/>
    <w:rsid w:val="004D02BC"/>
    <w:rsid w:val="004D06B5"/>
    <w:rsid w:val="004D0B72"/>
    <w:rsid w:val="004D1060"/>
    <w:rsid w:val="004D22D8"/>
    <w:rsid w:val="004E102B"/>
    <w:rsid w:val="004E151D"/>
    <w:rsid w:val="004E2772"/>
    <w:rsid w:val="004E5E53"/>
    <w:rsid w:val="004E630F"/>
    <w:rsid w:val="004F095D"/>
    <w:rsid w:val="004F226A"/>
    <w:rsid w:val="004F3362"/>
    <w:rsid w:val="004F48AC"/>
    <w:rsid w:val="004F5FAD"/>
    <w:rsid w:val="004F7AC5"/>
    <w:rsid w:val="00505225"/>
    <w:rsid w:val="00505A92"/>
    <w:rsid w:val="0051318E"/>
    <w:rsid w:val="005144BB"/>
    <w:rsid w:val="005156C2"/>
    <w:rsid w:val="00515EC5"/>
    <w:rsid w:val="00517F6F"/>
    <w:rsid w:val="005230DF"/>
    <w:rsid w:val="005249FC"/>
    <w:rsid w:val="005250C1"/>
    <w:rsid w:val="00525557"/>
    <w:rsid w:val="00532937"/>
    <w:rsid w:val="00537435"/>
    <w:rsid w:val="00540FDC"/>
    <w:rsid w:val="00543428"/>
    <w:rsid w:val="00544F5A"/>
    <w:rsid w:val="0055011F"/>
    <w:rsid w:val="00550EFE"/>
    <w:rsid w:val="0055298E"/>
    <w:rsid w:val="005538E6"/>
    <w:rsid w:val="00554A0E"/>
    <w:rsid w:val="0055608D"/>
    <w:rsid w:val="00564566"/>
    <w:rsid w:val="00570041"/>
    <w:rsid w:val="005864A5"/>
    <w:rsid w:val="00592987"/>
    <w:rsid w:val="005931DD"/>
    <w:rsid w:val="00595C56"/>
    <w:rsid w:val="005964A0"/>
    <w:rsid w:val="00597E73"/>
    <w:rsid w:val="00597F80"/>
    <w:rsid w:val="005A00C0"/>
    <w:rsid w:val="005A0A28"/>
    <w:rsid w:val="005A0ACF"/>
    <w:rsid w:val="005A153A"/>
    <w:rsid w:val="005A2B58"/>
    <w:rsid w:val="005A47AA"/>
    <w:rsid w:val="005A680F"/>
    <w:rsid w:val="005A6CEB"/>
    <w:rsid w:val="005B4293"/>
    <w:rsid w:val="005B4A6F"/>
    <w:rsid w:val="005D16CA"/>
    <w:rsid w:val="005D1E7E"/>
    <w:rsid w:val="005D40A8"/>
    <w:rsid w:val="005D4F5D"/>
    <w:rsid w:val="005D6096"/>
    <w:rsid w:val="005E1C66"/>
    <w:rsid w:val="005E2260"/>
    <w:rsid w:val="005E2838"/>
    <w:rsid w:val="005E4D31"/>
    <w:rsid w:val="005F1990"/>
    <w:rsid w:val="005F19A3"/>
    <w:rsid w:val="005F37C2"/>
    <w:rsid w:val="006029DE"/>
    <w:rsid w:val="00602A9D"/>
    <w:rsid w:val="0060538C"/>
    <w:rsid w:val="006069BE"/>
    <w:rsid w:val="00607F85"/>
    <w:rsid w:val="00610390"/>
    <w:rsid w:val="00613E31"/>
    <w:rsid w:val="00616DD0"/>
    <w:rsid w:val="00617345"/>
    <w:rsid w:val="0062016E"/>
    <w:rsid w:val="00621BD3"/>
    <w:rsid w:val="006275B2"/>
    <w:rsid w:val="006300B9"/>
    <w:rsid w:val="0063343D"/>
    <w:rsid w:val="00635874"/>
    <w:rsid w:val="00636B0A"/>
    <w:rsid w:val="0064383D"/>
    <w:rsid w:val="00644205"/>
    <w:rsid w:val="00650B5E"/>
    <w:rsid w:val="00651354"/>
    <w:rsid w:val="00660CA9"/>
    <w:rsid w:val="00662760"/>
    <w:rsid w:val="006643E9"/>
    <w:rsid w:val="006657A1"/>
    <w:rsid w:val="006668AF"/>
    <w:rsid w:val="00667F77"/>
    <w:rsid w:val="00672C70"/>
    <w:rsid w:val="006769AC"/>
    <w:rsid w:val="00677270"/>
    <w:rsid w:val="00677C69"/>
    <w:rsid w:val="00680861"/>
    <w:rsid w:val="00682C0C"/>
    <w:rsid w:val="00686115"/>
    <w:rsid w:val="006870DE"/>
    <w:rsid w:val="00690D16"/>
    <w:rsid w:val="006A7370"/>
    <w:rsid w:val="006B1E55"/>
    <w:rsid w:val="006B26D1"/>
    <w:rsid w:val="006B37E7"/>
    <w:rsid w:val="006B5219"/>
    <w:rsid w:val="006B6AFF"/>
    <w:rsid w:val="006C00E4"/>
    <w:rsid w:val="006C09B4"/>
    <w:rsid w:val="006C228D"/>
    <w:rsid w:val="006C2C66"/>
    <w:rsid w:val="006C59B0"/>
    <w:rsid w:val="006C6330"/>
    <w:rsid w:val="006C7029"/>
    <w:rsid w:val="006D03EB"/>
    <w:rsid w:val="006D4434"/>
    <w:rsid w:val="006D44C5"/>
    <w:rsid w:val="006D461D"/>
    <w:rsid w:val="006D5230"/>
    <w:rsid w:val="006D5D08"/>
    <w:rsid w:val="006E15CC"/>
    <w:rsid w:val="006E3803"/>
    <w:rsid w:val="006E5B4C"/>
    <w:rsid w:val="006E6DDA"/>
    <w:rsid w:val="006F062B"/>
    <w:rsid w:val="006F1AE5"/>
    <w:rsid w:val="006F3DB0"/>
    <w:rsid w:val="007004AF"/>
    <w:rsid w:val="007058B9"/>
    <w:rsid w:val="00706CBE"/>
    <w:rsid w:val="00707442"/>
    <w:rsid w:val="00707B37"/>
    <w:rsid w:val="007123BF"/>
    <w:rsid w:val="00712B49"/>
    <w:rsid w:val="00713621"/>
    <w:rsid w:val="0071648B"/>
    <w:rsid w:val="007172CE"/>
    <w:rsid w:val="00724049"/>
    <w:rsid w:val="007243D3"/>
    <w:rsid w:val="00725E9C"/>
    <w:rsid w:val="0072610B"/>
    <w:rsid w:val="00735F2C"/>
    <w:rsid w:val="00737013"/>
    <w:rsid w:val="00742128"/>
    <w:rsid w:val="007426F4"/>
    <w:rsid w:val="00743EB3"/>
    <w:rsid w:val="00744317"/>
    <w:rsid w:val="00745D01"/>
    <w:rsid w:val="0074646A"/>
    <w:rsid w:val="00746EF9"/>
    <w:rsid w:val="00750E30"/>
    <w:rsid w:val="00752EC1"/>
    <w:rsid w:val="00754351"/>
    <w:rsid w:val="007545B7"/>
    <w:rsid w:val="00755B92"/>
    <w:rsid w:val="007647A7"/>
    <w:rsid w:val="00765648"/>
    <w:rsid w:val="0079016D"/>
    <w:rsid w:val="00790295"/>
    <w:rsid w:val="007922AC"/>
    <w:rsid w:val="0079395D"/>
    <w:rsid w:val="00794E22"/>
    <w:rsid w:val="00797CAB"/>
    <w:rsid w:val="007A17E4"/>
    <w:rsid w:val="007A27D2"/>
    <w:rsid w:val="007A2935"/>
    <w:rsid w:val="007A56DB"/>
    <w:rsid w:val="007A7F69"/>
    <w:rsid w:val="007B35C6"/>
    <w:rsid w:val="007B5ECF"/>
    <w:rsid w:val="007B666A"/>
    <w:rsid w:val="007B68F8"/>
    <w:rsid w:val="007B79DF"/>
    <w:rsid w:val="007C0752"/>
    <w:rsid w:val="007C2148"/>
    <w:rsid w:val="007C52CE"/>
    <w:rsid w:val="007D2AFB"/>
    <w:rsid w:val="007D38E1"/>
    <w:rsid w:val="007D4F26"/>
    <w:rsid w:val="007D5D6C"/>
    <w:rsid w:val="007D68DD"/>
    <w:rsid w:val="007E79F2"/>
    <w:rsid w:val="007F351A"/>
    <w:rsid w:val="00800F15"/>
    <w:rsid w:val="008012FE"/>
    <w:rsid w:val="00801CE0"/>
    <w:rsid w:val="00802485"/>
    <w:rsid w:val="008026AC"/>
    <w:rsid w:val="0080492D"/>
    <w:rsid w:val="00810C5C"/>
    <w:rsid w:val="00813C41"/>
    <w:rsid w:val="008158C1"/>
    <w:rsid w:val="008177C1"/>
    <w:rsid w:val="00817F39"/>
    <w:rsid w:val="00825094"/>
    <w:rsid w:val="00826CF4"/>
    <w:rsid w:val="00827695"/>
    <w:rsid w:val="0083252E"/>
    <w:rsid w:val="00833D5E"/>
    <w:rsid w:val="00834D83"/>
    <w:rsid w:val="00841378"/>
    <w:rsid w:val="00845605"/>
    <w:rsid w:val="00845AC9"/>
    <w:rsid w:val="00846B1C"/>
    <w:rsid w:val="00847195"/>
    <w:rsid w:val="008573DE"/>
    <w:rsid w:val="00857E35"/>
    <w:rsid w:val="008605F5"/>
    <w:rsid w:val="00865076"/>
    <w:rsid w:val="00873B2A"/>
    <w:rsid w:val="008775AF"/>
    <w:rsid w:val="00886946"/>
    <w:rsid w:val="00886E75"/>
    <w:rsid w:val="00891794"/>
    <w:rsid w:val="00893050"/>
    <w:rsid w:val="00896180"/>
    <w:rsid w:val="008977AA"/>
    <w:rsid w:val="008A2138"/>
    <w:rsid w:val="008A22D6"/>
    <w:rsid w:val="008A2C31"/>
    <w:rsid w:val="008A4FFC"/>
    <w:rsid w:val="008A53FA"/>
    <w:rsid w:val="008A55AB"/>
    <w:rsid w:val="008B19FA"/>
    <w:rsid w:val="008B5120"/>
    <w:rsid w:val="008B79C2"/>
    <w:rsid w:val="008C6768"/>
    <w:rsid w:val="008C7629"/>
    <w:rsid w:val="008D1540"/>
    <w:rsid w:val="008D16BE"/>
    <w:rsid w:val="008D6278"/>
    <w:rsid w:val="008E40B3"/>
    <w:rsid w:val="008E458F"/>
    <w:rsid w:val="008E4C82"/>
    <w:rsid w:val="008E9538"/>
    <w:rsid w:val="008F247A"/>
    <w:rsid w:val="008F496C"/>
    <w:rsid w:val="008F611C"/>
    <w:rsid w:val="008F63AC"/>
    <w:rsid w:val="008F7493"/>
    <w:rsid w:val="00900AAB"/>
    <w:rsid w:val="009070A3"/>
    <w:rsid w:val="00907531"/>
    <w:rsid w:val="009165C9"/>
    <w:rsid w:val="00916754"/>
    <w:rsid w:val="009215BA"/>
    <w:rsid w:val="00922F4C"/>
    <w:rsid w:val="00925DCB"/>
    <w:rsid w:val="009278E5"/>
    <w:rsid w:val="00932034"/>
    <w:rsid w:val="0093540E"/>
    <w:rsid w:val="009364D3"/>
    <w:rsid w:val="0093742B"/>
    <w:rsid w:val="009436FD"/>
    <w:rsid w:val="0094462E"/>
    <w:rsid w:val="00944FE0"/>
    <w:rsid w:val="009454A8"/>
    <w:rsid w:val="009567F5"/>
    <w:rsid w:val="00970A73"/>
    <w:rsid w:val="00971142"/>
    <w:rsid w:val="00972082"/>
    <w:rsid w:val="009733BE"/>
    <w:rsid w:val="0097393B"/>
    <w:rsid w:val="009756C0"/>
    <w:rsid w:val="00975BC5"/>
    <w:rsid w:val="00980B8C"/>
    <w:rsid w:val="00982681"/>
    <w:rsid w:val="00985C28"/>
    <w:rsid w:val="009929BD"/>
    <w:rsid w:val="00995536"/>
    <w:rsid w:val="0099595C"/>
    <w:rsid w:val="009968AC"/>
    <w:rsid w:val="009A0DD5"/>
    <w:rsid w:val="009A1BEE"/>
    <w:rsid w:val="009A2042"/>
    <w:rsid w:val="009B06B4"/>
    <w:rsid w:val="009B3AAA"/>
    <w:rsid w:val="009B5A05"/>
    <w:rsid w:val="009B6FAF"/>
    <w:rsid w:val="009B7ABC"/>
    <w:rsid w:val="009C19E9"/>
    <w:rsid w:val="009C433B"/>
    <w:rsid w:val="009D0002"/>
    <w:rsid w:val="009D0D1E"/>
    <w:rsid w:val="009D35A6"/>
    <w:rsid w:val="009D464C"/>
    <w:rsid w:val="009D51E0"/>
    <w:rsid w:val="009D63E3"/>
    <w:rsid w:val="009E1C52"/>
    <w:rsid w:val="009E3962"/>
    <w:rsid w:val="009E7CA6"/>
    <w:rsid w:val="009F04DE"/>
    <w:rsid w:val="009F3251"/>
    <w:rsid w:val="009F5D13"/>
    <w:rsid w:val="00A005A3"/>
    <w:rsid w:val="00A01251"/>
    <w:rsid w:val="00A015F7"/>
    <w:rsid w:val="00A02994"/>
    <w:rsid w:val="00A04D14"/>
    <w:rsid w:val="00A060C5"/>
    <w:rsid w:val="00A107AC"/>
    <w:rsid w:val="00A13B7D"/>
    <w:rsid w:val="00A22702"/>
    <w:rsid w:val="00A2707F"/>
    <w:rsid w:val="00A338AC"/>
    <w:rsid w:val="00A419E2"/>
    <w:rsid w:val="00A422CD"/>
    <w:rsid w:val="00A451D3"/>
    <w:rsid w:val="00A571D0"/>
    <w:rsid w:val="00A707ED"/>
    <w:rsid w:val="00A72FB8"/>
    <w:rsid w:val="00A73F93"/>
    <w:rsid w:val="00A83436"/>
    <w:rsid w:val="00A843C2"/>
    <w:rsid w:val="00A8684A"/>
    <w:rsid w:val="00A920FB"/>
    <w:rsid w:val="00A94845"/>
    <w:rsid w:val="00A96DCE"/>
    <w:rsid w:val="00AA1081"/>
    <w:rsid w:val="00AA2FF8"/>
    <w:rsid w:val="00AA60D2"/>
    <w:rsid w:val="00AB0F5F"/>
    <w:rsid w:val="00AB1CE3"/>
    <w:rsid w:val="00AB5B54"/>
    <w:rsid w:val="00AB63DE"/>
    <w:rsid w:val="00AC2244"/>
    <w:rsid w:val="00AC2A3B"/>
    <w:rsid w:val="00AC53A8"/>
    <w:rsid w:val="00AC5FC0"/>
    <w:rsid w:val="00AD03E3"/>
    <w:rsid w:val="00AD5778"/>
    <w:rsid w:val="00AE2302"/>
    <w:rsid w:val="00AE298F"/>
    <w:rsid w:val="00AE31DA"/>
    <w:rsid w:val="00AE33C8"/>
    <w:rsid w:val="00AE5F7F"/>
    <w:rsid w:val="00AF3920"/>
    <w:rsid w:val="00AF3B49"/>
    <w:rsid w:val="00AF3E44"/>
    <w:rsid w:val="00AF635B"/>
    <w:rsid w:val="00B02E70"/>
    <w:rsid w:val="00B03E33"/>
    <w:rsid w:val="00B13330"/>
    <w:rsid w:val="00B13C27"/>
    <w:rsid w:val="00B20283"/>
    <w:rsid w:val="00B229D6"/>
    <w:rsid w:val="00B33D35"/>
    <w:rsid w:val="00B33E2C"/>
    <w:rsid w:val="00B33EAC"/>
    <w:rsid w:val="00B34CAA"/>
    <w:rsid w:val="00B3593B"/>
    <w:rsid w:val="00B36854"/>
    <w:rsid w:val="00B41BFA"/>
    <w:rsid w:val="00B41E08"/>
    <w:rsid w:val="00B41FDB"/>
    <w:rsid w:val="00B4637B"/>
    <w:rsid w:val="00B4794F"/>
    <w:rsid w:val="00B47993"/>
    <w:rsid w:val="00B50D30"/>
    <w:rsid w:val="00B5496A"/>
    <w:rsid w:val="00B62E2C"/>
    <w:rsid w:val="00B64E4A"/>
    <w:rsid w:val="00B660CF"/>
    <w:rsid w:val="00B7195F"/>
    <w:rsid w:val="00B719B1"/>
    <w:rsid w:val="00B71AE4"/>
    <w:rsid w:val="00B763B9"/>
    <w:rsid w:val="00B763CF"/>
    <w:rsid w:val="00B827C6"/>
    <w:rsid w:val="00B91BE7"/>
    <w:rsid w:val="00B945A7"/>
    <w:rsid w:val="00B957D3"/>
    <w:rsid w:val="00B95BC2"/>
    <w:rsid w:val="00BA0DBB"/>
    <w:rsid w:val="00BA3A3F"/>
    <w:rsid w:val="00BA3EE0"/>
    <w:rsid w:val="00BA6734"/>
    <w:rsid w:val="00BB251D"/>
    <w:rsid w:val="00BC1C21"/>
    <w:rsid w:val="00BC4DFE"/>
    <w:rsid w:val="00BD0214"/>
    <w:rsid w:val="00BD0A45"/>
    <w:rsid w:val="00BD1798"/>
    <w:rsid w:val="00BD389E"/>
    <w:rsid w:val="00BF3DF4"/>
    <w:rsid w:val="00BF4C6E"/>
    <w:rsid w:val="00BF66FB"/>
    <w:rsid w:val="00C016C4"/>
    <w:rsid w:val="00C07933"/>
    <w:rsid w:val="00C127EA"/>
    <w:rsid w:val="00C133A0"/>
    <w:rsid w:val="00C134B9"/>
    <w:rsid w:val="00C147D6"/>
    <w:rsid w:val="00C17454"/>
    <w:rsid w:val="00C202D5"/>
    <w:rsid w:val="00C226CF"/>
    <w:rsid w:val="00C25F07"/>
    <w:rsid w:val="00C279BD"/>
    <w:rsid w:val="00C31751"/>
    <w:rsid w:val="00C3295A"/>
    <w:rsid w:val="00C32A28"/>
    <w:rsid w:val="00C36EC3"/>
    <w:rsid w:val="00C4198D"/>
    <w:rsid w:val="00C4330F"/>
    <w:rsid w:val="00C50B49"/>
    <w:rsid w:val="00C52D70"/>
    <w:rsid w:val="00C54CBB"/>
    <w:rsid w:val="00C56FC5"/>
    <w:rsid w:val="00C571CE"/>
    <w:rsid w:val="00C5751B"/>
    <w:rsid w:val="00C57A0A"/>
    <w:rsid w:val="00C57CED"/>
    <w:rsid w:val="00C64854"/>
    <w:rsid w:val="00C64B33"/>
    <w:rsid w:val="00C66E07"/>
    <w:rsid w:val="00C7028B"/>
    <w:rsid w:val="00C7059F"/>
    <w:rsid w:val="00C7121A"/>
    <w:rsid w:val="00C71D7B"/>
    <w:rsid w:val="00C721D4"/>
    <w:rsid w:val="00C7400A"/>
    <w:rsid w:val="00C74383"/>
    <w:rsid w:val="00C75A48"/>
    <w:rsid w:val="00C760B3"/>
    <w:rsid w:val="00C811E7"/>
    <w:rsid w:val="00C8261C"/>
    <w:rsid w:val="00C83698"/>
    <w:rsid w:val="00C873DC"/>
    <w:rsid w:val="00C87499"/>
    <w:rsid w:val="00C907E2"/>
    <w:rsid w:val="00C92201"/>
    <w:rsid w:val="00C94964"/>
    <w:rsid w:val="00C967C0"/>
    <w:rsid w:val="00C96857"/>
    <w:rsid w:val="00C97875"/>
    <w:rsid w:val="00C97E08"/>
    <w:rsid w:val="00CA3866"/>
    <w:rsid w:val="00CA4840"/>
    <w:rsid w:val="00CA6F57"/>
    <w:rsid w:val="00CB043F"/>
    <w:rsid w:val="00CB0E14"/>
    <w:rsid w:val="00CB27FE"/>
    <w:rsid w:val="00CB3DC0"/>
    <w:rsid w:val="00CB572F"/>
    <w:rsid w:val="00CB6DCB"/>
    <w:rsid w:val="00CB70CD"/>
    <w:rsid w:val="00CC0E20"/>
    <w:rsid w:val="00CC2ADC"/>
    <w:rsid w:val="00CC68F6"/>
    <w:rsid w:val="00CC7F24"/>
    <w:rsid w:val="00CD258B"/>
    <w:rsid w:val="00CD3310"/>
    <w:rsid w:val="00CD35A1"/>
    <w:rsid w:val="00CD3B81"/>
    <w:rsid w:val="00CD69CD"/>
    <w:rsid w:val="00CD7E18"/>
    <w:rsid w:val="00CD7F4C"/>
    <w:rsid w:val="00CE01BC"/>
    <w:rsid w:val="00CF074C"/>
    <w:rsid w:val="00CF37EC"/>
    <w:rsid w:val="00D0538A"/>
    <w:rsid w:val="00D06A66"/>
    <w:rsid w:val="00D136FE"/>
    <w:rsid w:val="00D162D0"/>
    <w:rsid w:val="00D21980"/>
    <w:rsid w:val="00D224DA"/>
    <w:rsid w:val="00D22F20"/>
    <w:rsid w:val="00D24E05"/>
    <w:rsid w:val="00D263C7"/>
    <w:rsid w:val="00D30641"/>
    <w:rsid w:val="00D30AD6"/>
    <w:rsid w:val="00D33910"/>
    <w:rsid w:val="00D3531C"/>
    <w:rsid w:val="00D360CF"/>
    <w:rsid w:val="00D36CF6"/>
    <w:rsid w:val="00D41245"/>
    <w:rsid w:val="00D4510D"/>
    <w:rsid w:val="00D47323"/>
    <w:rsid w:val="00D5051B"/>
    <w:rsid w:val="00D52F5C"/>
    <w:rsid w:val="00D56421"/>
    <w:rsid w:val="00D5763D"/>
    <w:rsid w:val="00D613A0"/>
    <w:rsid w:val="00D6193F"/>
    <w:rsid w:val="00D61D8C"/>
    <w:rsid w:val="00D66C7E"/>
    <w:rsid w:val="00D66DF8"/>
    <w:rsid w:val="00D70D71"/>
    <w:rsid w:val="00D713F5"/>
    <w:rsid w:val="00D725DA"/>
    <w:rsid w:val="00D72C35"/>
    <w:rsid w:val="00D73057"/>
    <w:rsid w:val="00D752CE"/>
    <w:rsid w:val="00D76038"/>
    <w:rsid w:val="00D761C5"/>
    <w:rsid w:val="00D80B41"/>
    <w:rsid w:val="00D818BD"/>
    <w:rsid w:val="00D828FD"/>
    <w:rsid w:val="00D82FD6"/>
    <w:rsid w:val="00D83C1B"/>
    <w:rsid w:val="00D8702E"/>
    <w:rsid w:val="00D87FF7"/>
    <w:rsid w:val="00D904B7"/>
    <w:rsid w:val="00D91870"/>
    <w:rsid w:val="00D960BA"/>
    <w:rsid w:val="00D97738"/>
    <w:rsid w:val="00DA056B"/>
    <w:rsid w:val="00DA32E8"/>
    <w:rsid w:val="00DA4910"/>
    <w:rsid w:val="00DB1C70"/>
    <w:rsid w:val="00DB2804"/>
    <w:rsid w:val="00DB488E"/>
    <w:rsid w:val="00DB7344"/>
    <w:rsid w:val="00DD03F7"/>
    <w:rsid w:val="00DD14E1"/>
    <w:rsid w:val="00DD4309"/>
    <w:rsid w:val="00DD55C4"/>
    <w:rsid w:val="00DD5C08"/>
    <w:rsid w:val="00DD70AB"/>
    <w:rsid w:val="00DE0FE3"/>
    <w:rsid w:val="00DE1870"/>
    <w:rsid w:val="00DE6183"/>
    <w:rsid w:val="00DE6368"/>
    <w:rsid w:val="00DF3483"/>
    <w:rsid w:val="00DF7F79"/>
    <w:rsid w:val="00E01B8D"/>
    <w:rsid w:val="00E05837"/>
    <w:rsid w:val="00E106CA"/>
    <w:rsid w:val="00E1121F"/>
    <w:rsid w:val="00E17CF1"/>
    <w:rsid w:val="00E20E6E"/>
    <w:rsid w:val="00E22F8F"/>
    <w:rsid w:val="00E2459A"/>
    <w:rsid w:val="00E24C85"/>
    <w:rsid w:val="00E27E62"/>
    <w:rsid w:val="00E30722"/>
    <w:rsid w:val="00E31D77"/>
    <w:rsid w:val="00E357B8"/>
    <w:rsid w:val="00E41517"/>
    <w:rsid w:val="00E422EC"/>
    <w:rsid w:val="00E43930"/>
    <w:rsid w:val="00E44E1D"/>
    <w:rsid w:val="00E45748"/>
    <w:rsid w:val="00E46BC0"/>
    <w:rsid w:val="00E52009"/>
    <w:rsid w:val="00E55905"/>
    <w:rsid w:val="00E57EF1"/>
    <w:rsid w:val="00E627C1"/>
    <w:rsid w:val="00E630B5"/>
    <w:rsid w:val="00E64078"/>
    <w:rsid w:val="00E65354"/>
    <w:rsid w:val="00E67A9B"/>
    <w:rsid w:val="00E67CA3"/>
    <w:rsid w:val="00E702A2"/>
    <w:rsid w:val="00E70645"/>
    <w:rsid w:val="00E70A7F"/>
    <w:rsid w:val="00E7156A"/>
    <w:rsid w:val="00E720E5"/>
    <w:rsid w:val="00E721CC"/>
    <w:rsid w:val="00E72CA6"/>
    <w:rsid w:val="00E761D3"/>
    <w:rsid w:val="00E8669A"/>
    <w:rsid w:val="00E9528A"/>
    <w:rsid w:val="00E97E8D"/>
    <w:rsid w:val="00EA140D"/>
    <w:rsid w:val="00EC0757"/>
    <w:rsid w:val="00EC10E8"/>
    <w:rsid w:val="00EC132B"/>
    <w:rsid w:val="00EC495E"/>
    <w:rsid w:val="00ED04CF"/>
    <w:rsid w:val="00ED16AA"/>
    <w:rsid w:val="00ED1A0C"/>
    <w:rsid w:val="00ED3AC7"/>
    <w:rsid w:val="00EE2BF2"/>
    <w:rsid w:val="00EE4571"/>
    <w:rsid w:val="00EE4E3F"/>
    <w:rsid w:val="00EE5435"/>
    <w:rsid w:val="00EF327D"/>
    <w:rsid w:val="00EF6BAA"/>
    <w:rsid w:val="00EF70E9"/>
    <w:rsid w:val="00F0059E"/>
    <w:rsid w:val="00F01272"/>
    <w:rsid w:val="00F0272A"/>
    <w:rsid w:val="00F03D06"/>
    <w:rsid w:val="00F07FF2"/>
    <w:rsid w:val="00F10410"/>
    <w:rsid w:val="00F136F7"/>
    <w:rsid w:val="00F14EC6"/>
    <w:rsid w:val="00F15BD3"/>
    <w:rsid w:val="00F1776E"/>
    <w:rsid w:val="00F17BE6"/>
    <w:rsid w:val="00F17CD3"/>
    <w:rsid w:val="00F20834"/>
    <w:rsid w:val="00F20F3C"/>
    <w:rsid w:val="00F226D6"/>
    <w:rsid w:val="00F22FB0"/>
    <w:rsid w:val="00F24979"/>
    <w:rsid w:val="00F267BB"/>
    <w:rsid w:val="00F27D4F"/>
    <w:rsid w:val="00F27EDC"/>
    <w:rsid w:val="00F3152F"/>
    <w:rsid w:val="00F37CF7"/>
    <w:rsid w:val="00F420FC"/>
    <w:rsid w:val="00F427DB"/>
    <w:rsid w:val="00F42E70"/>
    <w:rsid w:val="00F4467F"/>
    <w:rsid w:val="00F44B03"/>
    <w:rsid w:val="00F45E78"/>
    <w:rsid w:val="00F50E2D"/>
    <w:rsid w:val="00F53CA2"/>
    <w:rsid w:val="00F5457A"/>
    <w:rsid w:val="00F54826"/>
    <w:rsid w:val="00F60C1F"/>
    <w:rsid w:val="00F6186F"/>
    <w:rsid w:val="00F648DD"/>
    <w:rsid w:val="00F70FD3"/>
    <w:rsid w:val="00F71999"/>
    <w:rsid w:val="00F7242F"/>
    <w:rsid w:val="00F726C1"/>
    <w:rsid w:val="00F825F9"/>
    <w:rsid w:val="00F852B3"/>
    <w:rsid w:val="00F87354"/>
    <w:rsid w:val="00F91A2E"/>
    <w:rsid w:val="00F9305F"/>
    <w:rsid w:val="00F93C9B"/>
    <w:rsid w:val="00F95876"/>
    <w:rsid w:val="00FA095D"/>
    <w:rsid w:val="00FA0FAB"/>
    <w:rsid w:val="00FA5B25"/>
    <w:rsid w:val="00FB0DA5"/>
    <w:rsid w:val="00FB108A"/>
    <w:rsid w:val="00FB108C"/>
    <w:rsid w:val="00FB2F9A"/>
    <w:rsid w:val="00FB37A5"/>
    <w:rsid w:val="00FB54E9"/>
    <w:rsid w:val="00FB734A"/>
    <w:rsid w:val="00FC3017"/>
    <w:rsid w:val="00FC3424"/>
    <w:rsid w:val="00FD3D80"/>
    <w:rsid w:val="00FD79A4"/>
    <w:rsid w:val="00FD79B0"/>
    <w:rsid w:val="00FE0B99"/>
    <w:rsid w:val="00FE242E"/>
    <w:rsid w:val="00FE496F"/>
    <w:rsid w:val="00FE5813"/>
    <w:rsid w:val="00FE70D0"/>
    <w:rsid w:val="00FF05F8"/>
    <w:rsid w:val="00FF573D"/>
    <w:rsid w:val="00FF77FB"/>
    <w:rsid w:val="0B3F3EB3"/>
    <w:rsid w:val="1CAEF634"/>
    <w:rsid w:val="1D2FE75F"/>
    <w:rsid w:val="2095F158"/>
    <w:rsid w:val="29BB1F16"/>
    <w:rsid w:val="3124A265"/>
    <w:rsid w:val="384532EE"/>
    <w:rsid w:val="39712EE9"/>
    <w:rsid w:val="39D36DB0"/>
    <w:rsid w:val="4BC8E631"/>
    <w:rsid w:val="51AB0AC7"/>
    <w:rsid w:val="59D051A9"/>
    <w:rsid w:val="5C3FA2A3"/>
    <w:rsid w:val="5C4D837B"/>
    <w:rsid w:val="5F2EF19A"/>
    <w:rsid w:val="63699548"/>
    <w:rsid w:val="6EEFDFBD"/>
    <w:rsid w:val="706ACD0C"/>
    <w:rsid w:val="727C089B"/>
    <w:rsid w:val="745268C2"/>
    <w:rsid w:val="7497D44B"/>
    <w:rsid w:val="74B0E446"/>
    <w:rsid w:val="7633A4AC"/>
    <w:rsid w:val="776666EA"/>
    <w:rsid w:val="7E258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75A29"/>
  <w15:docId w15:val="{77224F8A-F14B-49CF-9FA7-A1F42A6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Figure_name,Numbered Indented Text,List Paragraph1,List Paragraph Char Char Char,List Paragraph Char Char,Bullet 1,lp1,List Paragraph11"/>
    <w:basedOn w:val="Normal"/>
    <w:link w:val="ListParagraphChar"/>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3"/>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3"/>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3"/>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3"/>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3"/>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3"/>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3"/>
      </w:numPr>
      <w:tabs>
        <w:tab w:val="left" w:pos="3402"/>
      </w:tabs>
      <w:spacing w:line="360" w:lineRule="auto"/>
      <w:jc w:val="both"/>
    </w:pPr>
    <w:rPr>
      <w:rFonts w:eastAsia="Times New Roman" w:cs="Times New Roman"/>
      <w:sz w:val="20"/>
      <w:szCs w:val="24"/>
      <w:lang w:eastAsia="en-US"/>
    </w:rPr>
  </w:style>
  <w:style w:type="numbering" w:customStyle="1" w:styleId="Style41">
    <w:name w:val="Style41"/>
    <w:qFormat/>
    <w:rsid w:val="00186E8F"/>
    <w:pPr>
      <w:numPr>
        <w:numId w:val="9"/>
      </w:numPr>
    </w:pPr>
  </w:style>
  <w:style w:type="numbering" w:customStyle="1" w:styleId="Style411">
    <w:name w:val="Style411"/>
    <w:qFormat/>
    <w:rsid w:val="005931DD"/>
    <w:pPr>
      <w:numPr>
        <w:numId w:val="10"/>
      </w:numPr>
    </w:pPr>
  </w:style>
  <w:style w:type="character" w:customStyle="1" w:styleId="ListParagraphChar">
    <w:name w:val="List Paragraph Char"/>
    <w:aliases w:val="Equipment Char,Figure_name Char,Numbered Indented Text Char,List Paragraph1 Char,List Paragraph Char Char Char Char,List Paragraph Char Char Char1,Bullet 1 Char,lp1 Char,List Paragraph11 Char"/>
    <w:basedOn w:val="DefaultParagraphFont"/>
    <w:link w:val="ListParagraph"/>
    <w:uiPriority w:val="34"/>
    <w:qFormat/>
    <w:locked/>
    <w:rsid w:val="0028280D"/>
    <w:rPr>
      <w:rFonts w:ascii="Arial" w:eastAsia="Times New Roman" w:hAnsi="Arial" w:cs="Times New Roman"/>
      <w:sz w:val="20"/>
      <w:szCs w:val="24"/>
      <w:lang w:eastAsia="en-US"/>
    </w:rPr>
  </w:style>
  <w:style w:type="character" w:styleId="FollowedHyperlink">
    <w:name w:val="FollowedHyperlink"/>
    <w:basedOn w:val="DefaultParagraphFont"/>
    <w:uiPriority w:val="99"/>
    <w:semiHidden/>
    <w:unhideWhenUsed/>
    <w:rsid w:val="00470600"/>
    <w:rPr>
      <w:color w:val="D2232A"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2EB0"/>
    <w:rPr>
      <w:b/>
      <w:bCs/>
    </w:rPr>
  </w:style>
  <w:style w:type="character" w:customStyle="1" w:styleId="CommentSubjectChar">
    <w:name w:val="Comment Subject Char"/>
    <w:basedOn w:val="CommentTextChar"/>
    <w:link w:val="CommentSubject"/>
    <w:uiPriority w:val="99"/>
    <w:semiHidden/>
    <w:rsid w:val="00062EB0"/>
    <w:rPr>
      <w:rFonts w:ascii="Arial" w:hAnsi="Arial"/>
      <w:b/>
      <w:bCs/>
      <w:sz w:val="20"/>
      <w:szCs w:val="20"/>
    </w:rPr>
  </w:style>
  <w:style w:type="character" w:customStyle="1" w:styleId="ilfuvd">
    <w:name w:val="ilfuvd"/>
    <w:basedOn w:val="DefaultParagraphFont"/>
    <w:rsid w:val="001E58AF"/>
  </w:style>
  <w:style w:type="character" w:styleId="UnresolvedMention">
    <w:name w:val="Unresolved Mention"/>
    <w:basedOn w:val="DefaultParagraphFont"/>
    <w:uiPriority w:val="99"/>
    <w:semiHidden/>
    <w:unhideWhenUsed/>
    <w:rsid w:val="003558A0"/>
    <w:rPr>
      <w:color w:val="605E5C"/>
      <w:shd w:val="clear" w:color="auto" w:fill="E1DFDD"/>
    </w:rPr>
  </w:style>
  <w:style w:type="paragraph" w:styleId="NormalWeb">
    <w:name w:val="Normal (Web)"/>
    <w:basedOn w:val="Normal"/>
    <w:uiPriority w:val="99"/>
    <w:semiHidden/>
    <w:unhideWhenUsed/>
    <w:rsid w:val="001157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496">
      <w:bodyDiv w:val="1"/>
      <w:marLeft w:val="0"/>
      <w:marRight w:val="0"/>
      <w:marTop w:val="0"/>
      <w:marBottom w:val="0"/>
      <w:divBdr>
        <w:top w:val="none" w:sz="0" w:space="0" w:color="auto"/>
        <w:left w:val="none" w:sz="0" w:space="0" w:color="auto"/>
        <w:bottom w:val="none" w:sz="0" w:space="0" w:color="auto"/>
        <w:right w:val="none" w:sz="0" w:space="0" w:color="auto"/>
      </w:divBdr>
    </w:div>
    <w:div w:id="196743059">
      <w:bodyDiv w:val="1"/>
      <w:marLeft w:val="0"/>
      <w:marRight w:val="0"/>
      <w:marTop w:val="0"/>
      <w:marBottom w:val="0"/>
      <w:divBdr>
        <w:top w:val="none" w:sz="0" w:space="0" w:color="auto"/>
        <w:left w:val="none" w:sz="0" w:space="0" w:color="auto"/>
        <w:bottom w:val="none" w:sz="0" w:space="0" w:color="auto"/>
        <w:right w:val="none" w:sz="0" w:space="0" w:color="auto"/>
      </w:divBdr>
    </w:div>
    <w:div w:id="236328324">
      <w:bodyDiv w:val="1"/>
      <w:marLeft w:val="0"/>
      <w:marRight w:val="0"/>
      <w:marTop w:val="0"/>
      <w:marBottom w:val="0"/>
      <w:divBdr>
        <w:top w:val="none" w:sz="0" w:space="0" w:color="auto"/>
        <w:left w:val="none" w:sz="0" w:space="0" w:color="auto"/>
        <w:bottom w:val="none" w:sz="0" w:space="0" w:color="auto"/>
        <w:right w:val="none" w:sz="0" w:space="0" w:color="auto"/>
      </w:divBdr>
    </w:div>
    <w:div w:id="298072006">
      <w:bodyDiv w:val="1"/>
      <w:marLeft w:val="0"/>
      <w:marRight w:val="0"/>
      <w:marTop w:val="0"/>
      <w:marBottom w:val="0"/>
      <w:divBdr>
        <w:top w:val="none" w:sz="0" w:space="0" w:color="auto"/>
        <w:left w:val="none" w:sz="0" w:space="0" w:color="auto"/>
        <w:bottom w:val="none" w:sz="0" w:space="0" w:color="auto"/>
        <w:right w:val="none" w:sz="0" w:space="0" w:color="auto"/>
      </w:divBdr>
    </w:div>
    <w:div w:id="355814935">
      <w:bodyDiv w:val="1"/>
      <w:marLeft w:val="0"/>
      <w:marRight w:val="0"/>
      <w:marTop w:val="0"/>
      <w:marBottom w:val="0"/>
      <w:divBdr>
        <w:top w:val="none" w:sz="0" w:space="0" w:color="auto"/>
        <w:left w:val="none" w:sz="0" w:space="0" w:color="auto"/>
        <w:bottom w:val="none" w:sz="0" w:space="0" w:color="auto"/>
        <w:right w:val="none" w:sz="0" w:space="0" w:color="auto"/>
      </w:divBdr>
    </w:div>
    <w:div w:id="397823575">
      <w:bodyDiv w:val="1"/>
      <w:marLeft w:val="0"/>
      <w:marRight w:val="0"/>
      <w:marTop w:val="0"/>
      <w:marBottom w:val="0"/>
      <w:divBdr>
        <w:top w:val="none" w:sz="0" w:space="0" w:color="auto"/>
        <w:left w:val="none" w:sz="0" w:space="0" w:color="auto"/>
        <w:bottom w:val="none" w:sz="0" w:space="0" w:color="auto"/>
        <w:right w:val="none" w:sz="0" w:space="0" w:color="auto"/>
      </w:divBdr>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89973670">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54274061">
      <w:bodyDiv w:val="1"/>
      <w:marLeft w:val="0"/>
      <w:marRight w:val="0"/>
      <w:marTop w:val="0"/>
      <w:marBottom w:val="0"/>
      <w:divBdr>
        <w:top w:val="none" w:sz="0" w:space="0" w:color="auto"/>
        <w:left w:val="none" w:sz="0" w:space="0" w:color="auto"/>
        <w:bottom w:val="none" w:sz="0" w:space="0" w:color="auto"/>
        <w:right w:val="none" w:sz="0" w:space="0" w:color="auto"/>
      </w:divBdr>
    </w:div>
    <w:div w:id="939605296">
      <w:bodyDiv w:val="1"/>
      <w:marLeft w:val="0"/>
      <w:marRight w:val="0"/>
      <w:marTop w:val="0"/>
      <w:marBottom w:val="0"/>
      <w:divBdr>
        <w:top w:val="none" w:sz="0" w:space="0" w:color="auto"/>
        <w:left w:val="none" w:sz="0" w:space="0" w:color="auto"/>
        <w:bottom w:val="none" w:sz="0" w:space="0" w:color="auto"/>
        <w:right w:val="none" w:sz="0" w:space="0" w:color="auto"/>
      </w:divBdr>
    </w:div>
    <w:div w:id="1067069707">
      <w:bodyDiv w:val="1"/>
      <w:marLeft w:val="0"/>
      <w:marRight w:val="0"/>
      <w:marTop w:val="0"/>
      <w:marBottom w:val="0"/>
      <w:divBdr>
        <w:top w:val="none" w:sz="0" w:space="0" w:color="auto"/>
        <w:left w:val="none" w:sz="0" w:space="0" w:color="auto"/>
        <w:bottom w:val="none" w:sz="0" w:space="0" w:color="auto"/>
        <w:right w:val="none" w:sz="0" w:space="0" w:color="auto"/>
      </w:divBdr>
    </w:div>
    <w:div w:id="1077090019">
      <w:bodyDiv w:val="1"/>
      <w:marLeft w:val="0"/>
      <w:marRight w:val="0"/>
      <w:marTop w:val="0"/>
      <w:marBottom w:val="0"/>
      <w:divBdr>
        <w:top w:val="none" w:sz="0" w:space="0" w:color="auto"/>
        <w:left w:val="none" w:sz="0" w:space="0" w:color="auto"/>
        <w:bottom w:val="none" w:sz="0" w:space="0" w:color="auto"/>
        <w:right w:val="none" w:sz="0" w:space="0" w:color="auto"/>
      </w:divBdr>
    </w:div>
    <w:div w:id="1124467494">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51041111">
      <w:bodyDiv w:val="1"/>
      <w:marLeft w:val="0"/>
      <w:marRight w:val="0"/>
      <w:marTop w:val="0"/>
      <w:marBottom w:val="0"/>
      <w:divBdr>
        <w:top w:val="none" w:sz="0" w:space="0" w:color="auto"/>
        <w:left w:val="none" w:sz="0" w:space="0" w:color="auto"/>
        <w:bottom w:val="none" w:sz="0" w:space="0" w:color="auto"/>
        <w:right w:val="none" w:sz="0" w:space="0" w:color="auto"/>
      </w:divBdr>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1777863782">
      <w:bodyDiv w:val="1"/>
      <w:marLeft w:val="0"/>
      <w:marRight w:val="0"/>
      <w:marTop w:val="0"/>
      <w:marBottom w:val="0"/>
      <w:divBdr>
        <w:top w:val="none" w:sz="0" w:space="0" w:color="auto"/>
        <w:left w:val="none" w:sz="0" w:space="0" w:color="auto"/>
        <w:bottom w:val="none" w:sz="0" w:space="0" w:color="auto"/>
        <w:right w:val="none" w:sz="0" w:space="0" w:color="auto"/>
      </w:divBdr>
    </w:div>
    <w:div w:id="1811895859">
      <w:bodyDiv w:val="1"/>
      <w:marLeft w:val="0"/>
      <w:marRight w:val="0"/>
      <w:marTop w:val="0"/>
      <w:marBottom w:val="0"/>
      <w:divBdr>
        <w:top w:val="none" w:sz="0" w:space="0" w:color="auto"/>
        <w:left w:val="none" w:sz="0" w:space="0" w:color="auto"/>
        <w:bottom w:val="none" w:sz="0" w:space="0" w:color="auto"/>
        <w:right w:val="none" w:sz="0" w:space="0" w:color="auto"/>
      </w:divBdr>
    </w:div>
    <w:div w:id="1914848448">
      <w:bodyDiv w:val="1"/>
      <w:marLeft w:val="0"/>
      <w:marRight w:val="0"/>
      <w:marTop w:val="0"/>
      <w:marBottom w:val="0"/>
      <w:divBdr>
        <w:top w:val="none" w:sz="0" w:space="0" w:color="auto"/>
        <w:left w:val="none" w:sz="0" w:space="0" w:color="auto"/>
        <w:bottom w:val="none" w:sz="0" w:space="0" w:color="auto"/>
        <w:right w:val="none" w:sz="0" w:space="0" w:color="auto"/>
      </w:divBdr>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34990043">
      <w:bodyDiv w:val="1"/>
      <w:marLeft w:val="0"/>
      <w:marRight w:val="0"/>
      <w:marTop w:val="0"/>
      <w:marBottom w:val="0"/>
      <w:divBdr>
        <w:top w:val="none" w:sz="0" w:space="0" w:color="auto"/>
        <w:left w:val="none" w:sz="0" w:space="0" w:color="auto"/>
        <w:bottom w:val="none" w:sz="0" w:space="0" w:color="auto"/>
        <w:right w:val="none" w:sz="0" w:space="0" w:color="auto"/>
      </w:divBdr>
    </w:div>
    <w:div w:id="2041278608">
      <w:bodyDiv w:val="1"/>
      <w:marLeft w:val="0"/>
      <w:marRight w:val="0"/>
      <w:marTop w:val="0"/>
      <w:marBottom w:val="0"/>
      <w:divBdr>
        <w:top w:val="none" w:sz="0" w:space="0" w:color="auto"/>
        <w:left w:val="none" w:sz="0" w:space="0" w:color="auto"/>
        <w:bottom w:val="none" w:sz="0" w:space="0" w:color="auto"/>
        <w:right w:val="none" w:sz="0" w:space="0" w:color="auto"/>
      </w:divBdr>
    </w:div>
    <w:div w:id="2064670581">
      <w:bodyDiv w:val="1"/>
      <w:marLeft w:val="0"/>
      <w:marRight w:val="0"/>
      <w:marTop w:val="0"/>
      <w:marBottom w:val="0"/>
      <w:divBdr>
        <w:top w:val="none" w:sz="0" w:space="0" w:color="auto"/>
        <w:left w:val="none" w:sz="0" w:space="0" w:color="auto"/>
        <w:bottom w:val="none" w:sz="0" w:space="0" w:color="auto"/>
        <w:right w:val="none" w:sz="0" w:space="0" w:color="auto"/>
      </w:divBdr>
    </w:div>
    <w:div w:id="2089888176">
      <w:bodyDiv w:val="1"/>
      <w:marLeft w:val="0"/>
      <w:marRight w:val="0"/>
      <w:marTop w:val="0"/>
      <w:marBottom w:val="0"/>
      <w:divBdr>
        <w:top w:val="none" w:sz="0" w:space="0" w:color="auto"/>
        <w:left w:val="none" w:sz="0" w:space="0" w:color="auto"/>
        <w:bottom w:val="none" w:sz="0" w:space="0" w:color="auto"/>
        <w:right w:val="none" w:sz="0" w:space="0" w:color="auto"/>
      </w:divBdr>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x.xoserve.portfoliooffice@xoserv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xoserve.com/media/42817/xrn5458-change-propos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C354E-4DCE-44F3-89BA-031D0343E81D}"/>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67963DE6-EF85-4121-86D8-BE864687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Ellie Rogers</cp:lastModifiedBy>
  <cp:revision>5</cp:revision>
  <dcterms:created xsi:type="dcterms:W3CDTF">2022-01-18T14:39:00Z</dcterms:created>
  <dcterms:modified xsi:type="dcterms:W3CDTF">2022-01-18T14:51:00Z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_NewReviewCycle">
    <vt:lpwstr/>
  </property>
</Properties>
</file>