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w14:anchorId="5D54D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w14:anchorId="7ABFE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005504A6">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647EFC7A" w:rsidR="007855B1" w:rsidRPr="00BC3CAC" w:rsidRDefault="00DA4062" w:rsidP="00FA3F4F">
            <w:pPr>
              <w:rPr>
                <w:rFonts w:cs="Arial"/>
              </w:rPr>
            </w:pPr>
            <w:r>
              <w:t>XRN 5616</w:t>
            </w:r>
          </w:p>
        </w:tc>
      </w:tr>
      <w:tr w:rsidR="00ED342B" w:rsidRPr="00BC3CAC" w14:paraId="66C5F567" w14:textId="77777777" w:rsidTr="005504A6">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407763F6" w:rsidR="00ED342B" w:rsidRPr="00BC3CAC" w:rsidRDefault="00DA4062" w:rsidP="00ED342B">
            <w:pPr>
              <w:rPr>
                <w:rFonts w:cs="Arial"/>
              </w:rPr>
            </w:pPr>
            <w:r>
              <w:t>CSEP Annual Quantity Capacity Management</w:t>
            </w:r>
          </w:p>
        </w:tc>
      </w:tr>
      <w:tr w:rsidR="00ED342B" w:rsidRPr="00BC3CAC" w14:paraId="66C5F56A" w14:textId="77777777" w:rsidTr="005504A6">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6B50CB90" w:rsidR="6982D0D0" w:rsidRPr="00A830EB" w:rsidRDefault="00DA4062">
            <w:pPr>
              <w:rPr>
                <w:rFonts w:cs="Arial"/>
              </w:rPr>
            </w:pPr>
            <w:r>
              <w:rPr>
                <w:rFonts w:cs="Arial"/>
              </w:rPr>
              <w:t>30/01/2023</w:t>
            </w:r>
          </w:p>
        </w:tc>
      </w:tr>
      <w:tr w:rsidR="008075EF" w:rsidRPr="00BC3CAC" w14:paraId="66C5F56E" w14:textId="77777777" w:rsidTr="00FF79AE">
        <w:trPr>
          <w:trHeight w:val="403"/>
        </w:trPr>
        <w:tc>
          <w:tcPr>
            <w:tcW w:w="1226" w:type="pct"/>
            <w:vMerge w:val="restart"/>
            <w:shd w:val="clear" w:color="auto" w:fill="FDE4BA" w:themeFill="accent6" w:themeFillTint="66"/>
            <w:vAlign w:val="center"/>
          </w:tcPr>
          <w:p w14:paraId="66C5F56B" w14:textId="77777777" w:rsidR="008075EF" w:rsidRDefault="008075EF" w:rsidP="008075EF">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8075EF" w:rsidRDefault="008075EF" w:rsidP="008075EF">
            <w:pPr>
              <w:jc w:val="right"/>
              <w:rPr>
                <w:rFonts w:cs="Arial"/>
              </w:rPr>
            </w:pPr>
            <w:r>
              <w:rPr>
                <w:rFonts w:cs="Arial"/>
              </w:rPr>
              <w:t>Organisation:</w:t>
            </w:r>
          </w:p>
        </w:tc>
        <w:tc>
          <w:tcPr>
            <w:tcW w:w="2868" w:type="pct"/>
            <w:gridSpan w:val="3"/>
            <w:vAlign w:val="center"/>
          </w:tcPr>
          <w:p w14:paraId="66C5F56D" w14:textId="437B1F8D" w:rsidR="008075EF" w:rsidRPr="00BC3CAC" w:rsidRDefault="00DA4062" w:rsidP="008075EF">
            <w:pPr>
              <w:rPr>
                <w:rFonts w:cs="Arial"/>
              </w:rPr>
            </w:pPr>
            <w:r>
              <w:t>Wales &amp; West Utilities</w:t>
            </w:r>
          </w:p>
        </w:tc>
      </w:tr>
      <w:tr w:rsidR="008075EF" w:rsidRPr="00BC3CAC" w14:paraId="66C5F572" w14:textId="77777777" w:rsidTr="00FF79AE">
        <w:trPr>
          <w:trHeight w:val="403"/>
        </w:trPr>
        <w:tc>
          <w:tcPr>
            <w:tcW w:w="1226" w:type="pct"/>
            <w:vMerge/>
            <w:vAlign w:val="center"/>
          </w:tcPr>
          <w:p w14:paraId="66C5F56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0" w14:textId="77777777" w:rsidR="008075EF" w:rsidRDefault="008075EF" w:rsidP="008075EF">
            <w:pPr>
              <w:jc w:val="right"/>
              <w:rPr>
                <w:rFonts w:cs="Arial"/>
              </w:rPr>
            </w:pPr>
            <w:r>
              <w:rPr>
                <w:rFonts w:cs="Arial"/>
              </w:rPr>
              <w:t>Name:</w:t>
            </w:r>
          </w:p>
        </w:tc>
        <w:tc>
          <w:tcPr>
            <w:tcW w:w="2868" w:type="pct"/>
            <w:gridSpan w:val="3"/>
            <w:vAlign w:val="center"/>
          </w:tcPr>
          <w:p w14:paraId="66C5F571" w14:textId="41C39AD9" w:rsidR="008075EF" w:rsidRPr="00BC3CAC" w:rsidRDefault="00DA4062" w:rsidP="008075EF">
            <w:pPr>
              <w:rPr>
                <w:rFonts w:cs="Arial"/>
              </w:rPr>
            </w:pPr>
            <w:r>
              <w:t>Tom Stua</w:t>
            </w:r>
            <w:r>
              <w:t>rt</w:t>
            </w:r>
          </w:p>
        </w:tc>
      </w:tr>
      <w:tr w:rsidR="008075EF" w:rsidRPr="00BC3CAC" w14:paraId="66C5F576" w14:textId="77777777" w:rsidTr="00FF79AE">
        <w:trPr>
          <w:trHeight w:val="403"/>
        </w:trPr>
        <w:tc>
          <w:tcPr>
            <w:tcW w:w="1226" w:type="pct"/>
            <w:vMerge/>
            <w:vAlign w:val="center"/>
          </w:tcPr>
          <w:p w14:paraId="66C5F57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4" w14:textId="77777777" w:rsidR="008075EF" w:rsidRDefault="008075EF" w:rsidP="008075EF">
            <w:pPr>
              <w:jc w:val="right"/>
              <w:rPr>
                <w:rFonts w:cs="Arial"/>
              </w:rPr>
            </w:pPr>
            <w:r>
              <w:rPr>
                <w:rFonts w:cs="Arial"/>
              </w:rPr>
              <w:t>Email:</w:t>
            </w:r>
          </w:p>
        </w:tc>
        <w:tc>
          <w:tcPr>
            <w:tcW w:w="2868" w:type="pct"/>
            <w:gridSpan w:val="3"/>
            <w:vAlign w:val="center"/>
          </w:tcPr>
          <w:p w14:paraId="66C5F575" w14:textId="39251ED1" w:rsidR="008075EF" w:rsidRPr="00BC3CAC" w:rsidRDefault="00DA4062" w:rsidP="008075EF">
            <w:pPr>
              <w:rPr>
                <w:rFonts w:cs="Arial"/>
              </w:rPr>
            </w:pPr>
            <w:r>
              <w:t>Tom.stuart@wwutilities.co.uk</w:t>
            </w:r>
          </w:p>
        </w:tc>
      </w:tr>
      <w:tr w:rsidR="008075EF" w:rsidRPr="00BC3CAC" w14:paraId="66C5F57A" w14:textId="77777777" w:rsidTr="00FF79AE">
        <w:trPr>
          <w:trHeight w:val="403"/>
        </w:trPr>
        <w:tc>
          <w:tcPr>
            <w:tcW w:w="1226" w:type="pct"/>
            <w:vMerge/>
            <w:vAlign w:val="center"/>
          </w:tcPr>
          <w:p w14:paraId="66C5F577"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8" w14:textId="77777777" w:rsidR="008075EF" w:rsidRDefault="008075EF" w:rsidP="008075EF">
            <w:pPr>
              <w:jc w:val="right"/>
              <w:rPr>
                <w:rFonts w:cs="Arial"/>
              </w:rPr>
            </w:pPr>
            <w:r>
              <w:rPr>
                <w:rFonts w:cs="Arial"/>
              </w:rPr>
              <w:t>Telephone:</w:t>
            </w:r>
          </w:p>
        </w:tc>
        <w:tc>
          <w:tcPr>
            <w:tcW w:w="2868" w:type="pct"/>
            <w:gridSpan w:val="3"/>
            <w:vAlign w:val="center"/>
          </w:tcPr>
          <w:p w14:paraId="66C5F579" w14:textId="5B2F0A04" w:rsidR="008075EF" w:rsidRPr="00BC3CAC" w:rsidRDefault="00DA4062" w:rsidP="008075EF">
            <w:pPr>
              <w:rPr>
                <w:rFonts w:cs="Arial"/>
              </w:rPr>
            </w:pPr>
            <w:r>
              <w:t>07964937739</w:t>
            </w:r>
          </w:p>
        </w:tc>
      </w:tr>
      <w:tr w:rsidR="008075EF" w:rsidRPr="00BC3CAC" w14:paraId="66C5F57E" w14:textId="77777777" w:rsidTr="00FF79AE">
        <w:trPr>
          <w:trHeight w:val="403"/>
        </w:trPr>
        <w:tc>
          <w:tcPr>
            <w:tcW w:w="1226" w:type="pct"/>
            <w:vMerge w:val="restart"/>
            <w:shd w:val="clear" w:color="auto" w:fill="FDE4BA" w:themeFill="accent6" w:themeFillTint="66"/>
            <w:vAlign w:val="center"/>
          </w:tcPr>
          <w:p w14:paraId="66C5F57B" w14:textId="77777777" w:rsidR="008075EF" w:rsidRDefault="008075EF" w:rsidP="008075EF">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8075EF" w:rsidRDefault="008075EF" w:rsidP="008075EF">
            <w:pPr>
              <w:jc w:val="right"/>
              <w:rPr>
                <w:rFonts w:cs="Arial"/>
              </w:rPr>
            </w:pPr>
            <w:r>
              <w:rPr>
                <w:rFonts w:cs="Arial"/>
              </w:rPr>
              <w:t>Name:</w:t>
            </w:r>
          </w:p>
        </w:tc>
        <w:tc>
          <w:tcPr>
            <w:tcW w:w="2868" w:type="pct"/>
            <w:gridSpan w:val="3"/>
            <w:vAlign w:val="center"/>
          </w:tcPr>
          <w:p w14:paraId="66C5F57D" w14:textId="16E38B40" w:rsidR="008075EF" w:rsidRPr="00BC3CAC" w:rsidRDefault="00DA4062" w:rsidP="008075EF">
            <w:pPr>
              <w:rPr>
                <w:rFonts w:cs="Arial"/>
              </w:rPr>
            </w:pPr>
            <w:r>
              <w:t>Paul Orsler</w:t>
            </w:r>
          </w:p>
        </w:tc>
      </w:tr>
      <w:tr w:rsidR="008075EF" w:rsidRPr="00BC3CAC" w14:paraId="66C5F582" w14:textId="77777777" w:rsidTr="00FF79AE">
        <w:trPr>
          <w:trHeight w:val="403"/>
        </w:trPr>
        <w:tc>
          <w:tcPr>
            <w:tcW w:w="1226" w:type="pct"/>
            <w:vMerge/>
            <w:vAlign w:val="center"/>
          </w:tcPr>
          <w:p w14:paraId="66C5F57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0" w14:textId="77777777" w:rsidR="008075EF" w:rsidRDefault="008075EF" w:rsidP="008075EF">
            <w:pPr>
              <w:jc w:val="right"/>
              <w:rPr>
                <w:rFonts w:cs="Arial"/>
              </w:rPr>
            </w:pPr>
            <w:r>
              <w:rPr>
                <w:rFonts w:cs="Arial"/>
              </w:rPr>
              <w:t>Email:</w:t>
            </w:r>
          </w:p>
        </w:tc>
        <w:tc>
          <w:tcPr>
            <w:tcW w:w="2868" w:type="pct"/>
            <w:gridSpan w:val="3"/>
            <w:vAlign w:val="center"/>
          </w:tcPr>
          <w:p w14:paraId="66C5F581" w14:textId="1FB32AB3" w:rsidR="008075EF" w:rsidRPr="00BC3CAC" w:rsidRDefault="00DA4062" w:rsidP="008075EF">
            <w:pPr>
              <w:rPr>
                <w:rFonts w:cs="Arial"/>
              </w:rPr>
            </w:pPr>
            <w:r>
              <w:t>Paul.orsler@xoserve.com</w:t>
            </w:r>
          </w:p>
        </w:tc>
      </w:tr>
      <w:tr w:rsidR="008075EF" w:rsidRPr="00BC3CAC" w14:paraId="66C5F586" w14:textId="77777777" w:rsidTr="00FF79AE">
        <w:trPr>
          <w:trHeight w:val="403"/>
        </w:trPr>
        <w:tc>
          <w:tcPr>
            <w:tcW w:w="1226" w:type="pct"/>
            <w:vMerge/>
            <w:vAlign w:val="center"/>
          </w:tcPr>
          <w:p w14:paraId="66C5F58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4" w14:textId="77777777" w:rsidR="008075EF" w:rsidRDefault="008075EF" w:rsidP="008075EF">
            <w:pPr>
              <w:jc w:val="right"/>
              <w:rPr>
                <w:rFonts w:cs="Arial"/>
              </w:rPr>
            </w:pPr>
            <w:r>
              <w:rPr>
                <w:rFonts w:cs="Arial"/>
              </w:rPr>
              <w:t>Telephone:</w:t>
            </w:r>
          </w:p>
        </w:tc>
        <w:tc>
          <w:tcPr>
            <w:tcW w:w="2868" w:type="pct"/>
            <w:gridSpan w:val="3"/>
            <w:vAlign w:val="center"/>
          </w:tcPr>
          <w:p w14:paraId="66C5F585" w14:textId="1EE98808" w:rsidR="008075EF" w:rsidRPr="00BC3CAC" w:rsidRDefault="00DA4062" w:rsidP="008075EF">
            <w:pPr>
              <w:rPr>
                <w:rFonts w:cs="Arial"/>
              </w:rPr>
            </w:pPr>
            <w:r>
              <w:t>n/a</w:t>
            </w:r>
          </w:p>
        </w:tc>
      </w:tr>
      <w:tr w:rsidR="00FF79AE" w:rsidRPr="00BC3CAC" w14:paraId="66C5F58A" w14:textId="77777777" w:rsidTr="00FF79AE">
        <w:trPr>
          <w:trHeight w:val="403"/>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77777777" w:rsidR="00FF79AE" w:rsidRDefault="00FF79AE" w:rsidP="00FF79AE">
            <w:pPr>
              <w:jc w:val="right"/>
              <w:rPr>
                <w:rFonts w:cs="Arial"/>
              </w:rPr>
            </w:pPr>
            <w:r>
              <w:rPr>
                <w:rFonts w:cs="Arial"/>
              </w:rPr>
              <w:t>Business Owner:</w:t>
            </w:r>
          </w:p>
        </w:tc>
        <w:tc>
          <w:tcPr>
            <w:tcW w:w="2868" w:type="pct"/>
            <w:gridSpan w:val="3"/>
            <w:vAlign w:val="center"/>
          </w:tcPr>
          <w:p w14:paraId="66C5F589" w14:textId="2C75824D" w:rsidR="00FF79AE" w:rsidRPr="00BC3CAC" w:rsidRDefault="00FF79AE" w:rsidP="00FF79AE">
            <w:pPr>
              <w:rPr>
                <w:rFonts w:cs="Arial"/>
              </w:rPr>
            </w:pPr>
          </w:p>
        </w:tc>
      </w:tr>
      <w:tr w:rsidR="00FF79AE" w:rsidRPr="00BC3CAC" w14:paraId="66C5F58F" w14:textId="77777777" w:rsidTr="005504A6">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711A89AA" w:rsidR="00FF79AE" w:rsidRPr="00BC3CAC" w:rsidRDefault="00DA4062"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DA4062"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DA4062"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005504A6">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DA4062"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DA4062"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DA4062"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492ABFFA" w:rsidR="009C3AAE" w:rsidRPr="00BC3CAC" w:rsidRDefault="00DA4062"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29B9C9FA" w:rsidR="009C3AAE" w:rsidRPr="00BC3CAC" w:rsidRDefault="00DA4062"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DA4062"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77FCBF43" w:rsidR="009C3AAE" w:rsidRPr="00BC3CAC" w:rsidRDefault="00DA4062"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DA4062"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322E38B6" w:rsidR="009C3AAE" w:rsidRDefault="00DA4062"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w:t>
            </w:r>
            <w:r w:rsidR="008E70D0">
              <w:rPr>
                <w:rFonts w:cs="Arial"/>
                <w:szCs w:val="20"/>
              </w:rPr>
              <w:t>O</w:t>
            </w:r>
            <w:r w:rsidR="008E70D0">
              <w:rPr>
                <w:rFonts w:cs="Arial"/>
              </w:rPr>
              <w:t>ther</w:t>
            </w:r>
          </w:p>
        </w:tc>
      </w:tr>
      <w:tr w:rsidR="005D0AA4" w:rsidRPr="00BC3CAC" w14:paraId="66C5F5A4" w14:textId="77777777" w:rsidTr="005D0AA4">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1B7E6514" w:rsidR="00DA4062" w:rsidRPr="00DA4062" w:rsidRDefault="00DA4062" w:rsidP="00DA4062">
            <w:r>
              <w:t>This change is being raised as the existing process can lead to IGTs exceeding the contractually agreed AQ demand on a CSEP without the DN being aware until after the event. IGTs are impacted by this change as they currently undertake connection activities that increase AQ demand. DNs are impacted as they have a responsibility to manage network capacity demands and the safe operation of the network. Shippers are impacted due to their relationship with the customer once the MPRN is created, however we expect the proposed capacity review to occur before an MPRN is created and therefore anticipate their processes to be unaffected. We recognise there may be some discussions outside of the UNC between the Shipper/supplier and IGT as part of their customer acquisition processes.</w:t>
            </w:r>
          </w:p>
        </w:tc>
      </w:tr>
    </w:tbl>
    <w:p w14:paraId="66C5F5A5"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00F30111">
        <w:trPr>
          <w:trHeight w:val="1523"/>
        </w:trPr>
        <w:tc>
          <w:tcPr>
            <w:tcW w:w="1223" w:type="pct"/>
            <w:shd w:val="clear" w:color="auto" w:fill="FDE4BA" w:themeFill="accent6" w:themeFillTint="66"/>
            <w:vAlign w:val="center"/>
          </w:tcPr>
          <w:p w14:paraId="66C5F5A7" w14:textId="26AAE25F"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3DA96DE3" w14:textId="77777777" w:rsidR="00DA4062" w:rsidRDefault="00DA4062" w:rsidP="00D83DC8">
            <w:r>
              <w:t>Distribution Networks currently do not have the appropriate visibility of IGT network expansion rendering contractual IGT capacity monitoring systems ineffective and thus resulting in instances of low gas pressure issues for GDN and IGT customers. This change will ensure compliance with obligations set out in IGTAD B 2.2.1 (c):</w:t>
            </w:r>
          </w:p>
          <w:p w14:paraId="41B28718" w14:textId="77777777" w:rsidR="00DA4062" w:rsidRDefault="00DA4062" w:rsidP="00D83DC8"/>
          <w:p w14:paraId="19FE0D55" w14:textId="77777777" w:rsidR="00DA4062" w:rsidRDefault="00DA4062" w:rsidP="00D83DC8">
            <w:r>
              <w:t>2.2.1 It is a requirement for the purposes of the Code that, before any of the following:</w:t>
            </w:r>
          </w:p>
          <w:p w14:paraId="67006E99" w14:textId="77777777" w:rsidR="00DA4062" w:rsidRDefault="00DA4062" w:rsidP="00D83DC8"/>
          <w:p w14:paraId="2E4434A3" w14:textId="77777777" w:rsidR="00DA4062" w:rsidRDefault="00DA4062" w:rsidP="00D83DC8">
            <w:r>
              <w:t>(c) the expansion of any part of the Aggregate IGT System by the connection of any premises (or a change in load at premises) such that the number of premises or A IGTS AQ exceeds what was specified in the prevailing CSEP Connection Data,</w:t>
            </w:r>
          </w:p>
          <w:p w14:paraId="778AE6FB" w14:textId="77777777" w:rsidR="00DA4062" w:rsidRDefault="00DA4062" w:rsidP="00D83DC8"/>
          <w:p w14:paraId="6B72D59A" w14:textId="77777777" w:rsidR="00DA4062" w:rsidRDefault="00DA4062" w:rsidP="00D83DC8">
            <w:r>
              <w:t>the directly-connected Independent Gas Transporter shall estimate or (as the case may be) determine and submit to the DN Operator the CSEP Connection Data or (as the case may be) updated CSEP Connection Data, and obtain from the DN Operator approval for the connection or (as the case may be) change in load, in accordance with the CSEP Connection Arrangements.</w:t>
            </w:r>
          </w:p>
          <w:p w14:paraId="611760E9" w14:textId="77777777" w:rsidR="00DA4062" w:rsidRDefault="00DA4062" w:rsidP="00D83DC8"/>
          <w:p w14:paraId="3FE91D85" w14:textId="2F797201" w:rsidR="0030378A" w:rsidRDefault="00DA4062" w:rsidP="00D83DC8">
            <w:r>
              <w:t>This change will prevent CSEP AQs from being exceeded without the DN being aware.</w:t>
            </w:r>
          </w:p>
          <w:p w14:paraId="66C5F5A8" w14:textId="13E128DB" w:rsidR="00DA4062" w:rsidRPr="00DA4062" w:rsidRDefault="00DA4062" w:rsidP="00D83DC8">
            <w:pPr>
              <w:rPr>
                <w:rFonts w:cs="Arial"/>
                <w:szCs w:val="20"/>
              </w:rPr>
            </w:pPr>
          </w:p>
        </w:tc>
      </w:tr>
      <w:tr w:rsidR="00F30111" w:rsidRPr="00BC3CAC" w14:paraId="66C5F5AC" w14:textId="77777777" w:rsidTr="00F30111">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t>Change Description:</w:t>
            </w:r>
          </w:p>
        </w:tc>
        <w:tc>
          <w:tcPr>
            <w:tcW w:w="3777" w:type="pct"/>
            <w:gridSpan w:val="2"/>
            <w:vAlign w:val="center"/>
          </w:tcPr>
          <w:p w14:paraId="61D0AF1A" w14:textId="77777777" w:rsidR="00DA4062" w:rsidRDefault="00DA4062" w:rsidP="00565F66">
            <w:pPr>
              <w:spacing w:before="100" w:beforeAutospacing="1" w:after="100" w:afterAutospacing="1"/>
            </w:pPr>
            <w:r>
              <w:t>This change will introduce a process to enable GDNs to review, authorise and approve the application for the creation of MPRNs on IGT CSEP sites where the CSEP will exceed the agreed demands aligned to obligations set out in IGTAD B 2.2.1 (c).</w:t>
            </w:r>
          </w:p>
          <w:p w14:paraId="2521ABAD" w14:textId="77777777" w:rsidR="00DA4062" w:rsidRDefault="00DA4062" w:rsidP="00565F66">
            <w:pPr>
              <w:spacing w:before="100" w:beforeAutospacing="1" w:after="100" w:afterAutospacing="1"/>
            </w:pPr>
            <w:r>
              <w:t>Upon submission of the request by the IGT to amend or add Supply Meter Points to the existing IGT network that exceeds the original agreed demands, the DN will be notified and have 10 Business Days to confirm the creation of the Supply Meter Point. If after 10 Business Days, the DN does not respond to the request then the MPRNs are automatically created using existing processes. This process seeks to confirm the release of the maximum number of MPRNs provided on the CCN and CUN files.</w:t>
            </w:r>
          </w:p>
          <w:p w14:paraId="3391F767" w14:textId="77777777" w:rsidR="00DA4062" w:rsidRDefault="00DA4062" w:rsidP="00565F66">
            <w:pPr>
              <w:spacing w:before="100" w:beforeAutospacing="1" w:after="100" w:afterAutospacing="1"/>
            </w:pPr>
            <w:r>
              <w:t>The GDN may reject any Supply Meter Point creation request if it is unable to provide the capacity required and, in this case, it will provide a reason to the IGT. Subject to system constraints, the DN can provide partial capacity, and this will be communicated through the review process.</w:t>
            </w:r>
          </w:p>
          <w:p w14:paraId="44505EAF" w14:textId="77777777" w:rsidR="00DA4062" w:rsidRPr="00DA4062" w:rsidRDefault="00DA4062" w:rsidP="00565F66">
            <w:pPr>
              <w:spacing w:before="100" w:beforeAutospacing="1" w:after="100" w:afterAutospacing="1"/>
              <w:rPr>
                <w:b/>
                <w:bCs/>
                <w:u w:val="single"/>
              </w:rPr>
            </w:pPr>
            <w:r w:rsidRPr="00DA4062">
              <w:rPr>
                <w:b/>
                <w:bCs/>
                <w:u w:val="single"/>
              </w:rPr>
              <w:t>Supporting information in relation to this process</w:t>
            </w:r>
          </w:p>
          <w:p w14:paraId="66C5F5AB" w14:textId="31C74289" w:rsidR="00444C4C" w:rsidRPr="000768BB" w:rsidRDefault="00DA4062" w:rsidP="00565F66">
            <w:pPr>
              <w:spacing w:before="100" w:beforeAutospacing="1" w:after="100" w:afterAutospacing="1"/>
              <w:rPr>
                <w:rFonts w:cs="Arial"/>
              </w:rPr>
            </w:pPr>
            <w:r>
              <w:t>Where an IGT has had a Supply Meter Point creation request rejected it may submit an application for increased CSEP capacity using the existing connection process.</w:t>
            </w:r>
          </w:p>
        </w:tc>
      </w:tr>
      <w:tr w:rsidR="00F30111" w:rsidRPr="00BC3CAC" w14:paraId="66C5F5AF" w14:textId="77777777" w:rsidTr="00F30111">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66C5F5AE" w14:textId="0A5251E0" w:rsidR="00F30111" w:rsidRPr="00BC3CAC" w:rsidRDefault="00DA4062" w:rsidP="00F30111">
            <w:pPr>
              <w:rPr>
                <w:rFonts w:cs="Arial"/>
              </w:rPr>
            </w:pPr>
            <w:r>
              <w:rPr>
                <w:rFonts w:cs="Arial"/>
              </w:rPr>
              <w:t>Adhoc</w:t>
            </w:r>
          </w:p>
        </w:tc>
      </w:tr>
      <w:tr w:rsidR="00F30111" w:rsidRPr="00BC3CAC" w14:paraId="66C5F5B3" w14:textId="77777777" w:rsidTr="00F30111">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2A31F678" w:rsidR="00F30111" w:rsidRPr="00BC3CAC" w:rsidRDefault="00DA4062" w:rsidP="00F30111">
            <w:pPr>
              <w:rPr>
                <w:rFonts w:cs="Arial"/>
              </w:rPr>
            </w:pPr>
            <w:sdt>
              <w:sdtPr>
                <w:rPr>
                  <w:rFonts w:cs="Arial"/>
                  <w:szCs w:val="20"/>
                </w:rPr>
                <w:id w:val="-1493093530"/>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F30111">
              <w:rPr>
                <w:rFonts w:cs="Arial"/>
                <w:szCs w:val="20"/>
              </w:rPr>
              <w:t xml:space="preserve"> 10 Working Days</w:t>
            </w:r>
          </w:p>
        </w:tc>
        <w:tc>
          <w:tcPr>
            <w:tcW w:w="1888" w:type="pct"/>
            <w:vAlign w:val="center"/>
          </w:tcPr>
          <w:p w14:paraId="66C5F5B2" w14:textId="77777777" w:rsidR="00F30111" w:rsidRPr="00BC3CAC" w:rsidRDefault="00DA4062"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00F30111">
        <w:trPr>
          <w:trHeight w:val="403"/>
        </w:trPr>
        <w:tc>
          <w:tcPr>
            <w:tcW w:w="1223" w:type="pct"/>
            <w:vMerge/>
            <w:shd w:val="clear" w:color="auto" w:fill="FDE4BA" w:themeFill="accent6" w:themeFillTint="66"/>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DA4062"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8" w:type="pct"/>
            <w:vAlign w:val="center"/>
          </w:tcPr>
          <w:p w14:paraId="66C5F5B6" w14:textId="3A7C452F" w:rsidR="00F30111" w:rsidRPr="00BC3CAC" w:rsidRDefault="00DA4062" w:rsidP="00F3011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Other </w:t>
            </w:r>
            <w:r w:rsidR="00485E77">
              <w:rPr>
                <w:rFonts w:cs="Arial"/>
              </w:rPr>
              <w:t>[</w:t>
            </w:r>
            <w:r w:rsidR="00367BC0">
              <w:rPr>
                <w:rFonts w:cs="Arial"/>
              </w:rPr>
              <w:t>write specific here</w:t>
            </w:r>
            <w:r w:rsidR="00485E77">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420D7FF9" w14:textId="77777777" w:rsidR="00ED6D3A" w:rsidRDefault="00DA4062" w:rsidP="00ED6D3A">
            <w:r>
              <w:t>This change will help improve data consistency between the commercial arrangements and the physical capabilities of the network. This change ensures that the IGT does not commit to connections where they have not secured enough capacity from the DN. It would prevent the IGT from increasing the CSEP Max AQ above the contractually agreed figure and should the CSEP exceed the CSEP Max AQ, it would be highlighted by the DDP and the CGI file. If it is found that the GDN’s network requires reinforcement due to the expansion of the IGT’s CSEP then the costs of undertaking this work can be attributed to the IGT rather than the cost being socialised to other users of the network.</w:t>
            </w:r>
          </w:p>
          <w:p w14:paraId="66C5F5BA" w14:textId="04F83B74" w:rsidR="00DA4062" w:rsidRPr="00BC3CAC" w:rsidRDefault="00DA4062" w:rsidP="00ED6D3A">
            <w:pPr>
              <w:rPr>
                <w:rFonts w:cs="Arial"/>
              </w:rPr>
            </w:pPr>
          </w:p>
        </w:tc>
      </w:tr>
      <w:tr w:rsidR="00ED6D3A"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40E93404" w14:textId="4D7D59EA" w:rsidR="00084C47" w:rsidRDefault="00DA4062" w:rsidP="00084C47">
            <w:r>
              <w:t>The benefits would be realised immediately upon implementation as this would reduce the risk of customers experiencing poor pressure instances occurring on the extremities of the DN and IGT networks through better management of system capacity</w:t>
            </w:r>
            <w:r>
              <w:t>.</w:t>
            </w:r>
          </w:p>
          <w:p w14:paraId="66C5F5C0" w14:textId="15DFAC7F" w:rsidR="00DA4062" w:rsidRPr="00BC3CAC" w:rsidRDefault="00DA4062" w:rsidP="00084C47">
            <w:pPr>
              <w:rPr>
                <w:rFonts w:cs="Arial"/>
              </w:rPr>
            </w:pPr>
          </w:p>
        </w:tc>
      </w:tr>
      <w:tr w:rsidR="00084C47"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6C7574D0" w:rsidR="00084C47" w:rsidRDefault="00DA4062" w:rsidP="00084C47">
            <w:pPr>
              <w:rPr>
                <w:rFonts w:cs="Arial"/>
              </w:rPr>
            </w:pPr>
            <w:r>
              <w:t>All parties being prepared and able to deliver solutions that align with the detailed design proposed under this change</w:t>
            </w:r>
            <w:r>
              <w:t>.</w:t>
            </w:r>
          </w:p>
        </w:tc>
      </w:tr>
      <w:tr w:rsidR="00084C47"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212B1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1E3D77C1" w14:textId="77777777" w:rsidR="00DA4062" w:rsidRDefault="00DA4062" w:rsidP="009C3AAE">
            <w:r>
              <w:t>The process being discussed aligns closest to Service Area 3 – Manage Updates to Customer Portfolio;</w:t>
            </w:r>
          </w:p>
          <w:p w14:paraId="12779C4F" w14:textId="77777777" w:rsidR="00DA4062" w:rsidRDefault="00DA4062" w:rsidP="009C3AAE"/>
          <w:p w14:paraId="049628BD" w14:textId="77777777" w:rsidR="00DA4062" w:rsidRDefault="00DA4062" w:rsidP="009C3AAE">
            <w:r>
              <w:t>On initial review the following Service Lines may be impacted;</w:t>
            </w:r>
          </w:p>
          <w:p w14:paraId="5AFA8107" w14:textId="77777777" w:rsidR="00DA4062" w:rsidRDefault="00DA4062" w:rsidP="009C3AAE"/>
          <w:p w14:paraId="4B202042" w14:textId="77777777" w:rsidR="00DA4062" w:rsidRDefault="00DA4062" w:rsidP="009C3AAE">
            <w:r>
              <w:t>• DS-CS-SA3-01</w:t>
            </w:r>
          </w:p>
          <w:p w14:paraId="67F6B9D8" w14:textId="77777777" w:rsidR="00DA4062" w:rsidRDefault="00DA4062" w:rsidP="009C3AAE">
            <w:r>
              <w:t xml:space="preserve">• ASGT-CS-SA3-15 </w:t>
            </w:r>
          </w:p>
          <w:p w14:paraId="0180C616" w14:textId="77777777" w:rsidR="00DA4062" w:rsidRDefault="00DA4062" w:rsidP="009C3AAE"/>
          <w:p w14:paraId="66C5F5CE" w14:textId="7F447D1D" w:rsidR="008E6888" w:rsidRDefault="00DA4062" w:rsidP="009C3AAE">
            <w:pPr>
              <w:rPr>
                <w:rFonts w:cs="Arial"/>
              </w:rPr>
            </w:pPr>
            <w:r>
              <w:t>Further impacts and the introduction of new service lines may be identified during the change process.</w:t>
            </w:r>
          </w:p>
        </w:tc>
      </w:tr>
      <w:tr w:rsidR="008E6888" w:rsidRPr="00BC3CAC" w14:paraId="66C5F5D2" w14:textId="77777777" w:rsidTr="00212B1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31C15CA8" w:rsidR="008E6888" w:rsidRDefault="00112A91" w:rsidP="009C3AAE">
            <w:pPr>
              <w:rPr>
                <w:rFonts w:cs="Arial"/>
              </w:rPr>
            </w:pPr>
            <w:r>
              <w:rPr>
                <w:rFonts w:cs="Arial"/>
              </w:rPr>
              <w:t>Unclear</w:t>
            </w:r>
          </w:p>
        </w:tc>
      </w:tr>
      <w:tr w:rsidR="008E6888" w:rsidRPr="00BC3CAC" w14:paraId="66C5F5D5" w14:textId="77777777" w:rsidTr="00212B1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77777777" w:rsidR="008E6888" w:rsidRDefault="008E6888" w:rsidP="009C3AAE">
            <w:pPr>
              <w:rPr>
                <w:rFonts w:cs="Arial"/>
              </w:rPr>
            </w:pPr>
          </w:p>
        </w:tc>
      </w:tr>
      <w:tr w:rsidR="00477440" w:rsidRPr="00BC3CAC" w14:paraId="66C5F5D8" w14:textId="77777777" w:rsidTr="00212B1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lastRenderedPageBreak/>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0DF74854" w14:textId="77777777" w:rsidR="00477440" w:rsidRDefault="00DA4062" w:rsidP="009C3AAE">
            <w:r>
              <w:t>Definition of the process and any impacts to the current interfaces / datasets as outlined within the UK Link Manual will need to be reviewed and approved by impacted DSC Customers.</w:t>
            </w:r>
          </w:p>
          <w:p w14:paraId="66C5F5D7" w14:textId="42AD5088" w:rsidR="00DA4062" w:rsidRDefault="00DA4062" w:rsidP="009C3AAE">
            <w:pPr>
              <w:rPr>
                <w:rFonts w:cs="Arial"/>
              </w:rPr>
            </w:pPr>
          </w:p>
        </w:tc>
      </w:tr>
      <w:tr w:rsidR="00112A91" w:rsidRPr="00BC3CAC" w14:paraId="66C5F5DB" w14:textId="77777777" w:rsidTr="00212B1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025B6213" w:rsidR="00112A91" w:rsidRDefault="00112A91" w:rsidP="009C3AAE">
            <w:pPr>
              <w:rPr>
                <w:rFonts w:cs="Arial"/>
              </w:rPr>
            </w:pPr>
            <w:r>
              <w:rPr>
                <w:rFonts w:cs="Arial"/>
              </w:rPr>
              <w:t>Unclear</w:t>
            </w:r>
          </w:p>
        </w:tc>
      </w:tr>
      <w:tr w:rsidR="00112A91" w:rsidRPr="00BC3CAC" w14:paraId="66C5F5DE" w14:textId="77777777" w:rsidTr="00212B1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77777777" w:rsidR="00112A91" w:rsidRDefault="00112A91" w:rsidP="009C3AAE">
            <w:pPr>
              <w:rPr>
                <w:rFonts w:cs="Arial"/>
              </w:rPr>
            </w:pPr>
          </w:p>
        </w:tc>
      </w:tr>
      <w:tr w:rsidR="00212B1C"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77777777" w:rsidR="00212B1C" w:rsidRPr="00BC3CAC" w:rsidRDefault="00DA4062"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77777777" w:rsidR="00212B1C" w:rsidRPr="00BC3CAC" w:rsidRDefault="00212B1C" w:rsidP="009C3AAE">
            <w:pPr>
              <w:rPr>
                <w:rFonts w:cs="Arial"/>
              </w:rPr>
            </w:pPr>
            <w:r>
              <w:rPr>
                <w:rFonts w:cs="Arial"/>
              </w:rPr>
              <w:t>XX %</w:t>
            </w:r>
          </w:p>
        </w:tc>
        <w:tc>
          <w:tcPr>
            <w:tcW w:w="1027" w:type="pct"/>
            <w:vAlign w:val="center"/>
          </w:tcPr>
          <w:p w14:paraId="66C5F5E8" w14:textId="77777777" w:rsidR="00212B1C" w:rsidRPr="00BC3CAC" w:rsidRDefault="00212B1C" w:rsidP="005E4C74">
            <w:pPr>
              <w:rPr>
                <w:rFonts w:cs="Arial"/>
              </w:rPr>
            </w:pPr>
            <w:r>
              <w:rPr>
                <w:rFonts w:cs="Arial"/>
              </w:rPr>
              <w:t>XX %</w:t>
            </w:r>
          </w:p>
        </w:tc>
      </w:tr>
      <w:tr w:rsidR="00212B1C"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DA4062"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77777777" w:rsidR="00212B1C" w:rsidRPr="00BC3CAC" w:rsidRDefault="00212B1C" w:rsidP="009C3AAE">
            <w:pPr>
              <w:rPr>
                <w:rFonts w:cs="Arial"/>
              </w:rPr>
            </w:pPr>
            <w:r>
              <w:rPr>
                <w:rFonts w:cs="Arial"/>
              </w:rPr>
              <w:t>XX %</w:t>
            </w:r>
          </w:p>
        </w:tc>
        <w:tc>
          <w:tcPr>
            <w:tcW w:w="1027" w:type="pct"/>
            <w:vAlign w:val="center"/>
          </w:tcPr>
          <w:p w14:paraId="66C5F5ED" w14:textId="77777777" w:rsidR="00212B1C" w:rsidRPr="00BC3CAC" w:rsidRDefault="00212B1C" w:rsidP="005E4C74">
            <w:pPr>
              <w:rPr>
                <w:rFonts w:cs="Arial"/>
              </w:rPr>
            </w:pPr>
            <w:r>
              <w:rPr>
                <w:rFonts w:cs="Arial"/>
              </w:rPr>
              <w:t>XX %</w:t>
            </w:r>
          </w:p>
        </w:tc>
      </w:tr>
      <w:tr w:rsidR="00212B1C"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2EAB9D04" w:rsidR="00212B1C" w:rsidRPr="00BC3CAC" w:rsidRDefault="00DA4062"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7B602B24" w:rsidR="00212B1C" w:rsidRPr="00BC3CAC" w:rsidRDefault="00DA4062" w:rsidP="009C3AAE">
            <w:pPr>
              <w:rPr>
                <w:rFonts w:cs="Arial"/>
              </w:rPr>
            </w:pPr>
            <w:r>
              <w:rPr>
                <w:rFonts w:cs="Arial"/>
              </w:rPr>
              <w:t>50</w:t>
            </w:r>
            <w:r w:rsidR="00212B1C">
              <w:rPr>
                <w:rFonts w:cs="Arial"/>
              </w:rPr>
              <w:t xml:space="preserve"> %</w:t>
            </w:r>
          </w:p>
        </w:tc>
        <w:tc>
          <w:tcPr>
            <w:tcW w:w="1027" w:type="pct"/>
            <w:vAlign w:val="center"/>
          </w:tcPr>
          <w:p w14:paraId="66C5F5F2" w14:textId="77777777" w:rsidR="00212B1C" w:rsidRPr="00BC3CAC" w:rsidRDefault="00212B1C" w:rsidP="005E4C74">
            <w:pPr>
              <w:rPr>
                <w:rFonts w:cs="Arial"/>
              </w:rPr>
            </w:pPr>
            <w:r>
              <w:rPr>
                <w:rFonts w:cs="Arial"/>
              </w:rPr>
              <w:t>XX %</w:t>
            </w:r>
          </w:p>
        </w:tc>
      </w:tr>
      <w:tr w:rsidR="00212B1C"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6701B278" w:rsidR="00212B1C" w:rsidRPr="00BC3CAC" w:rsidRDefault="00DA4062" w:rsidP="009C3AAE">
            <w:pPr>
              <w:rPr>
                <w:rFonts w:cs="Arial"/>
              </w:rPr>
            </w:pPr>
            <w:sdt>
              <w:sdtPr>
                <w:rPr>
                  <w:rFonts w:cs="Arial"/>
                  <w:szCs w:val="20"/>
                </w:rPr>
                <w:id w:val="1780915693"/>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0E1D4C20" w:rsidR="00212B1C" w:rsidRPr="00BC3CAC" w:rsidRDefault="00DA4062" w:rsidP="009C3AAE">
            <w:pPr>
              <w:rPr>
                <w:rFonts w:cs="Arial"/>
              </w:rPr>
            </w:pPr>
            <w:r>
              <w:rPr>
                <w:rFonts w:cs="Arial"/>
              </w:rPr>
              <w:t>50</w:t>
            </w:r>
            <w:r w:rsidR="00212B1C">
              <w:rPr>
                <w:rFonts w:cs="Arial"/>
              </w:rPr>
              <w:t xml:space="preserve"> %</w:t>
            </w:r>
          </w:p>
        </w:tc>
        <w:tc>
          <w:tcPr>
            <w:tcW w:w="1027" w:type="pct"/>
            <w:vAlign w:val="center"/>
          </w:tcPr>
          <w:p w14:paraId="66C5F5F7" w14:textId="77777777" w:rsidR="00212B1C" w:rsidRPr="00BC3CAC" w:rsidRDefault="00212B1C" w:rsidP="005E4C74">
            <w:pPr>
              <w:rPr>
                <w:rFonts w:cs="Arial"/>
              </w:rPr>
            </w:pPr>
            <w:r>
              <w:rPr>
                <w:rFonts w:cs="Arial"/>
              </w:rPr>
              <w:t>XX %</w:t>
            </w:r>
          </w:p>
        </w:tc>
      </w:tr>
      <w:tr w:rsidR="00212B1C"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DA4062"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7777777" w:rsidR="00212B1C" w:rsidRPr="00BC3CAC" w:rsidRDefault="00212B1C" w:rsidP="009C3AAE">
            <w:pPr>
              <w:rPr>
                <w:rFonts w:cs="Arial"/>
              </w:rPr>
            </w:pPr>
            <w:r>
              <w:rPr>
                <w:rFonts w:cs="Arial"/>
              </w:rPr>
              <w:t>XX %</w:t>
            </w:r>
          </w:p>
        </w:tc>
        <w:tc>
          <w:tcPr>
            <w:tcW w:w="1027" w:type="pct"/>
            <w:vAlign w:val="center"/>
          </w:tcPr>
          <w:p w14:paraId="66C5F5FC" w14:textId="77777777" w:rsidR="00212B1C" w:rsidRPr="00BC3CAC" w:rsidRDefault="00212B1C" w:rsidP="005E4C74">
            <w:pPr>
              <w:rPr>
                <w:rFonts w:cs="Arial"/>
              </w:rPr>
            </w:pPr>
            <w:r>
              <w:rPr>
                <w:rFonts w:cs="Arial"/>
              </w:rPr>
              <w:t>XX %</w:t>
            </w:r>
          </w:p>
        </w:tc>
      </w:tr>
      <w:tr w:rsidR="008E6888" w:rsidRPr="00BC3CAC" w14:paraId="66C5F600" w14:textId="77777777" w:rsidTr="00212B1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0820A35F" w:rsidR="008E6888" w:rsidRDefault="00DA4062" w:rsidP="009C3AAE">
            <w:pPr>
              <w:rPr>
                <w:rFonts w:cs="Arial"/>
              </w:rPr>
            </w:pPr>
            <w:r>
              <w:rPr>
                <w:rFonts w:cs="Arial"/>
              </w:rPr>
              <w:t>N/A</w:t>
            </w:r>
          </w:p>
        </w:tc>
      </w:tr>
      <w:tr w:rsidR="008E6888" w:rsidRPr="00BC3CAC" w14:paraId="66C5F603" w14:textId="77777777" w:rsidTr="00212B1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59B37239" w:rsidR="008E6888" w:rsidRDefault="00DA4062" w:rsidP="009C3AAE">
            <w:pPr>
              <w:rPr>
                <w:rFonts w:cs="Arial"/>
              </w:rPr>
            </w:pPr>
            <w:r>
              <w:t>The proposer of this change has recommended a funding split of 50% DN and 50% IGT. This based on both parties sharing responsibility for the effect management of capacity, ensuring that offtakes do not present supply constraints to consumers and ensuring industry data accuracy is protected.</w:t>
            </w: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1"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500" w:type="pct"/>
        <w:tblLayout w:type="fixed"/>
        <w:tblLook w:val="04A0" w:firstRow="1" w:lastRow="0" w:firstColumn="1" w:lastColumn="0" w:noHBand="0" w:noVBand="1"/>
      </w:tblPr>
      <w:tblGrid>
        <w:gridCol w:w="1076"/>
        <w:gridCol w:w="1382"/>
        <w:gridCol w:w="1383"/>
        <w:gridCol w:w="1660"/>
        <w:gridCol w:w="4417"/>
      </w:tblGrid>
      <w:tr w:rsidR="0051349C" w:rsidRPr="006C66CA" w14:paraId="66C5F64A" w14:textId="77777777" w:rsidTr="00412F12">
        <w:trPr>
          <w:trHeight w:val="403"/>
        </w:trPr>
        <w:tc>
          <w:tcPr>
            <w:tcW w:w="542"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69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69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837"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2227"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412F12">
        <w:trPr>
          <w:trHeight w:val="403"/>
        </w:trPr>
        <w:tc>
          <w:tcPr>
            <w:tcW w:w="542" w:type="pct"/>
            <w:shd w:val="clear" w:color="auto" w:fill="auto"/>
            <w:vAlign w:val="center"/>
          </w:tcPr>
          <w:p w14:paraId="66C5F64B" w14:textId="66EFD6A7" w:rsidR="0051349C" w:rsidRPr="00470388" w:rsidRDefault="0051349C" w:rsidP="0051349C">
            <w:pPr>
              <w:rPr>
                <w:rFonts w:cs="Arial"/>
                <w:szCs w:val="20"/>
              </w:rPr>
            </w:pPr>
          </w:p>
        </w:tc>
        <w:tc>
          <w:tcPr>
            <w:tcW w:w="696" w:type="pct"/>
            <w:shd w:val="clear" w:color="auto" w:fill="auto"/>
            <w:vAlign w:val="center"/>
          </w:tcPr>
          <w:p w14:paraId="66C5F64C" w14:textId="1C5AEAD6" w:rsidR="0051349C" w:rsidRPr="00470388" w:rsidRDefault="0051349C" w:rsidP="0051349C">
            <w:pPr>
              <w:rPr>
                <w:rFonts w:cs="Arial"/>
                <w:szCs w:val="20"/>
              </w:rPr>
            </w:pPr>
          </w:p>
        </w:tc>
        <w:tc>
          <w:tcPr>
            <w:tcW w:w="697" w:type="pct"/>
            <w:shd w:val="clear" w:color="auto" w:fill="auto"/>
            <w:vAlign w:val="center"/>
          </w:tcPr>
          <w:p w14:paraId="66C5F64D" w14:textId="7D7C15BD" w:rsidR="0051349C" w:rsidRPr="00470388" w:rsidRDefault="0051349C" w:rsidP="0051349C">
            <w:pPr>
              <w:rPr>
                <w:rFonts w:cs="Arial"/>
                <w:szCs w:val="20"/>
              </w:rPr>
            </w:pPr>
          </w:p>
        </w:tc>
        <w:tc>
          <w:tcPr>
            <w:tcW w:w="837" w:type="pct"/>
            <w:shd w:val="clear" w:color="auto" w:fill="auto"/>
            <w:vAlign w:val="center"/>
          </w:tcPr>
          <w:p w14:paraId="66C5F64E" w14:textId="31CF6C57" w:rsidR="0051349C" w:rsidRPr="00470388" w:rsidRDefault="0051349C" w:rsidP="0051349C">
            <w:pPr>
              <w:rPr>
                <w:rFonts w:cs="Arial"/>
                <w:szCs w:val="20"/>
              </w:rPr>
            </w:pPr>
          </w:p>
        </w:tc>
        <w:tc>
          <w:tcPr>
            <w:tcW w:w="2227" w:type="pct"/>
            <w:shd w:val="clear" w:color="auto" w:fill="auto"/>
            <w:vAlign w:val="center"/>
          </w:tcPr>
          <w:p w14:paraId="66C5F64F" w14:textId="3252E95D" w:rsidR="0051349C" w:rsidRPr="00470388" w:rsidRDefault="0051349C" w:rsidP="0051349C">
            <w:pPr>
              <w:rPr>
                <w:rFonts w:cs="Arial"/>
                <w:szCs w:val="20"/>
              </w:rPr>
            </w:pPr>
          </w:p>
        </w:tc>
      </w:tr>
    </w:tbl>
    <w:p w14:paraId="66C5F693" w14:textId="77777777" w:rsidR="0051349C" w:rsidRPr="0051349C" w:rsidRDefault="0051349C" w:rsidP="00412F12">
      <w:pPr>
        <w:pStyle w:val="Heading1"/>
      </w:pPr>
    </w:p>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E27E" w14:textId="77777777" w:rsidR="00A32370" w:rsidRDefault="00A32370" w:rsidP="00324744">
      <w:pPr>
        <w:spacing w:after="0" w:line="240" w:lineRule="auto"/>
      </w:pPr>
      <w:r>
        <w:separator/>
      </w:r>
    </w:p>
  </w:endnote>
  <w:endnote w:type="continuationSeparator" w:id="0">
    <w:p w14:paraId="76B0CA34" w14:textId="77777777" w:rsidR="00A32370" w:rsidRDefault="00A32370" w:rsidP="00324744">
      <w:pPr>
        <w:spacing w:after="0" w:line="240" w:lineRule="auto"/>
      </w:pPr>
      <w:r>
        <w:continuationSeparator/>
      </w:r>
    </w:p>
  </w:endnote>
  <w:endnote w:type="continuationNotice" w:id="1">
    <w:p w14:paraId="6F8093C7" w14:textId="77777777" w:rsidR="00A32370" w:rsidRDefault="00A32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58241"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2CE05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8A5E" w14:textId="77777777" w:rsidR="00A32370" w:rsidRDefault="00A32370" w:rsidP="00324744">
      <w:pPr>
        <w:spacing w:after="0" w:line="240" w:lineRule="auto"/>
      </w:pPr>
      <w:r>
        <w:separator/>
      </w:r>
    </w:p>
  </w:footnote>
  <w:footnote w:type="continuationSeparator" w:id="0">
    <w:p w14:paraId="2AFC28D8" w14:textId="77777777" w:rsidR="00A32370" w:rsidRDefault="00A32370" w:rsidP="00324744">
      <w:pPr>
        <w:spacing w:after="0" w:line="240" w:lineRule="auto"/>
      </w:pPr>
      <w:r>
        <w:continuationSeparator/>
      </w:r>
    </w:p>
  </w:footnote>
  <w:footnote w:type="continuationNotice" w:id="1">
    <w:p w14:paraId="6DC49D22" w14:textId="77777777" w:rsidR="00A32370" w:rsidRDefault="00A32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2"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327AC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9"/>
  </w:num>
  <w:num w:numId="6">
    <w:abstractNumId w:val="8"/>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2555E"/>
    <w:rsid w:val="00033212"/>
    <w:rsid w:val="00043E6A"/>
    <w:rsid w:val="00046BA6"/>
    <w:rsid w:val="00050A89"/>
    <w:rsid w:val="000521F3"/>
    <w:rsid w:val="0006690B"/>
    <w:rsid w:val="00066F35"/>
    <w:rsid w:val="000768BB"/>
    <w:rsid w:val="00084C47"/>
    <w:rsid w:val="00093D75"/>
    <w:rsid w:val="000A1AD1"/>
    <w:rsid w:val="000B4820"/>
    <w:rsid w:val="000E3E26"/>
    <w:rsid w:val="000F589F"/>
    <w:rsid w:val="00107BC2"/>
    <w:rsid w:val="00112A91"/>
    <w:rsid w:val="00122449"/>
    <w:rsid w:val="00125B61"/>
    <w:rsid w:val="00132F81"/>
    <w:rsid w:val="0014162E"/>
    <w:rsid w:val="00144E00"/>
    <w:rsid w:val="00147035"/>
    <w:rsid w:val="00151C09"/>
    <w:rsid w:val="00156FD9"/>
    <w:rsid w:val="00195C86"/>
    <w:rsid w:val="001A626D"/>
    <w:rsid w:val="001B2D13"/>
    <w:rsid w:val="00212B1C"/>
    <w:rsid w:val="002201FE"/>
    <w:rsid w:val="002247C6"/>
    <w:rsid w:val="00226D34"/>
    <w:rsid w:val="00232B34"/>
    <w:rsid w:val="002365D1"/>
    <w:rsid w:val="00253C79"/>
    <w:rsid w:val="00260BBF"/>
    <w:rsid w:val="00277F06"/>
    <w:rsid w:val="0029036C"/>
    <w:rsid w:val="00290A05"/>
    <w:rsid w:val="002A278D"/>
    <w:rsid w:val="002B3E04"/>
    <w:rsid w:val="002B3FC0"/>
    <w:rsid w:val="002D053D"/>
    <w:rsid w:val="002F0323"/>
    <w:rsid w:val="002F448E"/>
    <w:rsid w:val="0030378A"/>
    <w:rsid w:val="00310A64"/>
    <w:rsid w:val="003201A4"/>
    <w:rsid w:val="00324744"/>
    <w:rsid w:val="00337F65"/>
    <w:rsid w:val="003463C5"/>
    <w:rsid w:val="0035652F"/>
    <w:rsid w:val="00363E3A"/>
    <w:rsid w:val="00367BC0"/>
    <w:rsid w:val="003774C3"/>
    <w:rsid w:val="00377B3E"/>
    <w:rsid w:val="00386287"/>
    <w:rsid w:val="003A32EA"/>
    <w:rsid w:val="003A5CFC"/>
    <w:rsid w:val="003B4D44"/>
    <w:rsid w:val="003B7E16"/>
    <w:rsid w:val="00403D4A"/>
    <w:rsid w:val="00407C41"/>
    <w:rsid w:val="00412F12"/>
    <w:rsid w:val="00426807"/>
    <w:rsid w:val="004313FE"/>
    <w:rsid w:val="004336C5"/>
    <w:rsid w:val="00444C4C"/>
    <w:rsid w:val="00453135"/>
    <w:rsid w:val="00464FAE"/>
    <w:rsid w:val="00470388"/>
    <w:rsid w:val="004730B0"/>
    <w:rsid w:val="00477440"/>
    <w:rsid w:val="00485E77"/>
    <w:rsid w:val="00485F6F"/>
    <w:rsid w:val="00494523"/>
    <w:rsid w:val="004B4891"/>
    <w:rsid w:val="004F2A47"/>
    <w:rsid w:val="004F3362"/>
    <w:rsid w:val="0050049E"/>
    <w:rsid w:val="005027CC"/>
    <w:rsid w:val="00512309"/>
    <w:rsid w:val="005132C1"/>
    <w:rsid w:val="0051349C"/>
    <w:rsid w:val="00516D8E"/>
    <w:rsid w:val="00517F6F"/>
    <w:rsid w:val="00524A8B"/>
    <w:rsid w:val="00525A7D"/>
    <w:rsid w:val="005504A6"/>
    <w:rsid w:val="0055298E"/>
    <w:rsid w:val="00552F64"/>
    <w:rsid w:val="0055478D"/>
    <w:rsid w:val="00565F66"/>
    <w:rsid w:val="00567C13"/>
    <w:rsid w:val="0057075F"/>
    <w:rsid w:val="005746AF"/>
    <w:rsid w:val="00575310"/>
    <w:rsid w:val="00582C46"/>
    <w:rsid w:val="0058557B"/>
    <w:rsid w:val="005A1776"/>
    <w:rsid w:val="005A44DF"/>
    <w:rsid w:val="005A6B14"/>
    <w:rsid w:val="005A6CFA"/>
    <w:rsid w:val="005B3F96"/>
    <w:rsid w:val="005B744C"/>
    <w:rsid w:val="005C15DD"/>
    <w:rsid w:val="005C4554"/>
    <w:rsid w:val="005D0AA4"/>
    <w:rsid w:val="005D4EDB"/>
    <w:rsid w:val="005E1608"/>
    <w:rsid w:val="005E4C74"/>
    <w:rsid w:val="00602977"/>
    <w:rsid w:val="00613BC5"/>
    <w:rsid w:val="0064277C"/>
    <w:rsid w:val="006471D5"/>
    <w:rsid w:val="006514E4"/>
    <w:rsid w:val="00667338"/>
    <w:rsid w:val="006718CF"/>
    <w:rsid w:val="00674DE5"/>
    <w:rsid w:val="0067534D"/>
    <w:rsid w:val="0068210E"/>
    <w:rsid w:val="006953DA"/>
    <w:rsid w:val="006A2B81"/>
    <w:rsid w:val="006A2C69"/>
    <w:rsid w:val="006A7E10"/>
    <w:rsid w:val="006B18D0"/>
    <w:rsid w:val="006B2C14"/>
    <w:rsid w:val="006B5363"/>
    <w:rsid w:val="006C5AB1"/>
    <w:rsid w:val="006C5DC1"/>
    <w:rsid w:val="006C66CA"/>
    <w:rsid w:val="006F3657"/>
    <w:rsid w:val="007204AB"/>
    <w:rsid w:val="00722970"/>
    <w:rsid w:val="007229EF"/>
    <w:rsid w:val="007243D3"/>
    <w:rsid w:val="00727180"/>
    <w:rsid w:val="00733FF7"/>
    <w:rsid w:val="00734A65"/>
    <w:rsid w:val="00734DC4"/>
    <w:rsid w:val="0075531C"/>
    <w:rsid w:val="007715F3"/>
    <w:rsid w:val="00771B44"/>
    <w:rsid w:val="007836E3"/>
    <w:rsid w:val="007855B1"/>
    <w:rsid w:val="00786E61"/>
    <w:rsid w:val="007A2F99"/>
    <w:rsid w:val="007A56DB"/>
    <w:rsid w:val="007D0D1F"/>
    <w:rsid w:val="007D4F26"/>
    <w:rsid w:val="007D796E"/>
    <w:rsid w:val="007F09E3"/>
    <w:rsid w:val="007F5643"/>
    <w:rsid w:val="00807258"/>
    <w:rsid w:val="008075EF"/>
    <w:rsid w:val="0081275F"/>
    <w:rsid w:val="0082322E"/>
    <w:rsid w:val="00833E9C"/>
    <w:rsid w:val="00843613"/>
    <w:rsid w:val="00853AEB"/>
    <w:rsid w:val="00853EE7"/>
    <w:rsid w:val="00864211"/>
    <w:rsid w:val="00870EC1"/>
    <w:rsid w:val="00874C46"/>
    <w:rsid w:val="00876BE6"/>
    <w:rsid w:val="00886E23"/>
    <w:rsid w:val="008932EE"/>
    <w:rsid w:val="00894BD9"/>
    <w:rsid w:val="00897E29"/>
    <w:rsid w:val="008B7C4E"/>
    <w:rsid w:val="008B7E39"/>
    <w:rsid w:val="008C078A"/>
    <w:rsid w:val="008C7942"/>
    <w:rsid w:val="008D2FCD"/>
    <w:rsid w:val="008E6888"/>
    <w:rsid w:val="008E70D0"/>
    <w:rsid w:val="008F05D1"/>
    <w:rsid w:val="008F2612"/>
    <w:rsid w:val="008F53E8"/>
    <w:rsid w:val="00905F03"/>
    <w:rsid w:val="009439D5"/>
    <w:rsid w:val="00945316"/>
    <w:rsid w:val="0095319A"/>
    <w:rsid w:val="00977AD7"/>
    <w:rsid w:val="00977B79"/>
    <w:rsid w:val="009B7B91"/>
    <w:rsid w:val="009C1729"/>
    <w:rsid w:val="009C3AAE"/>
    <w:rsid w:val="009D38A3"/>
    <w:rsid w:val="009D6EE7"/>
    <w:rsid w:val="009E3053"/>
    <w:rsid w:val="009E485B"/>
    <w:rsid w:val="009E49DE"/>
    <w:rsid w:val="009E6FF9"/>
    <w:rsid w:val="009F7831"/>
    <w:rsid w:val="00A2050B"/>
    <w:rsid w:val="00A30CDA"/>
    <w:rsid w:val="00A32370"/>
    <w:rsid w:val="00A3623B"/>
    <w:rsid w:val="00A41B8E"/>
    <w:rsid w:val="00A57CE8"/>
    <w:rsid w:val="00A700B7"/>
    <w:rsid w:val="00A82A57"/>
    <w:rsid w:val="00A830EB"/>
    <w:rsid w:val="00AB5B54"/>
    <w:rsid w:val="00AB63DE"/>
    <w:rsid w:val="00AC7EC6"/>
    <w:rsid w:val="00B11FE6"/>
    <w:rsid w:val="00B237DE"/>
    <w:rsid w:val="00B453CA"/>
    <w:rsid w:val="00B47489"/>
    <w:rsid w:val="00B50EDC"/>
    <w:rsid w:val="00B542B2"/>
    <w:rsid w:val="00B6118E"/>
    <w:rsid w:val="00B75013"/>
    <w:rsid w:val="00B82492"/>
    <w:rsid w:val="00BA0FED"/>
    <w:rsid w:val="00BB0C50"/>
    <w:rsid w:val="00BB65EE"/>
    <w:rsid w:val="00BC00E9"/>
    <w:rsid w:val="00BC3CAC"/>
    <w:rsid w:val="00BC6C45"/>
    <w:rsid w:val="00BD0A45"/>
    <w:rsid w:val="00BD6281"/>
    <w:rsid w:val="00BE0BE9"/>
    <w:rsid w:val="00BE2EFD"/>
    <w:rsid w:val="00C01CAE"/>
    <w:rsid w:val="00C06409"/>
    <w:rsid w:val="00C07B83"/>
    <w:rsid w:val="00C14B32"/>
    <w:rsid w:val="00C22090"/>
    <w:rsid w:val="00C300AE"/>
    <w:rsid w:val="00C30FB9"/>
    <w:rsid w:val="00C34211"/>
    <w:rsid w:val="00C368A4"/>
    <w:rsid w:val="00C408DE"/>
    <w:rsid w:val="00C44CF7"/>
    <w:rsid w:val="00C4790B"/>
    <w:rsid w:val="00C51384"/>
    <w:rsid w:val="00C51745"/>
    <w:rsid w:val="00C63328"/>
    <w:rsid w:val="00C67E20"/>
    <w:rsid w:val="00C70976"/>
    <w:rsid w:val="00C769A1"/>
    <w:rsid w:val="00C87A73"/>
    <w:rsid w:val="00C923FC"/>
    <w:rsid w:val="00C941BD"/>
    <w:rsid w:val="00CC2E61"/>
    <w:rsid w:val="00CD1EC2"/>
    <w:rsid w:val="00CD22FC"/>
    <w:rsid w:val="00CE135D"/>
    <w:rsid w:val="00CF035F"/>
    <w:rsid w:val="00CF131E"/>
    <w:rsid w:val="00CF1408"/>
    <w:rsid w:val="00D05E11"/>
    <w:rsid w:val="00D12DF0"/>
    <w:rsid w:val="00D13777"/>
    <w:rsid w:val="00D15204"/>
    <w:rsid w:val="00D16D33"/>
    <w:rsid w:val="00D2202F"/>
    <w:rsid w:val="00D33058"/>
    <w:rsid w:val="00D348F5"/>
    <w:rsid w:val="00D36766"/>
    <w:rsid w:val="00D36B2F"/>
    <w:rsid w:val="00D42773"/>
    <w:rsid w:val="00D66C7E"/>
    <w:rsid w:val="00D73EAA"/>
    <w:rsid w:val="00D83DC8"/>
    <w:rsid w:val="00D877EF"/>
    <w:rsid w:val="00D93896"/>
    <w:rsid w:val="00D96E9D"/>
    <w:rsid w:val="00DA4062"/>
    <w:rsid w:val="00DA6D80"/>
    <w:rsid w:val="00DB3AC2"/>
    <w:rsid w:val="00DE4CEA"/>
    <w:rsid w:val="00E04E8E"/>
    <w:rsid w:val="00E22E54"/>
    <w:rsid w:val="00E304FD"/>
    <w:rsid w:val="00E32DB9"/>
    <w:rsid w:val="00E365C3"/>
    <w:rsid w:val="00E366A7"/>
    <w:rsid w:val="00E4292E"/>
    <w:rsid w:val="00E472C6"/>
    <w:rsid w:val="00E83155"/>
    <w:rsid w:val="00E960BE"/>
    <w:rsid w:val="00E97641"/>
    <w:rsid w:val="00EA511E"/>
    <w:rsid w:val="00EA56F6"/>
    <w:rsid w:val="00EC622A"/>
    <w:rsid w:val="00EC649B"/>
    <w:rsid w:val="00EC75E7"/>
    <w:rsid w:val="00ED342B"/>
    <w:rsid w:val="00ED41AC"/>
    <w:rsid w:val="00ED6D3A"/>
    <w:rsid w:val="00EF2B03"/>
    <w:rsid w:val="00EF7B70"/>
    <w:rsid w:val="00F02291"/>
    <w:rsid w:val="00F04A62"/>
    <w:rsid w:val="00F12D81"/>
    <w:rsid w:val="00F146A4"/>
    <w:rsid w:val="00F26010"/>
    <w:rsid w:val="00F30111"/>
    <w:rsid w:val="00F478AE"/>
    <w:rsid w:val="00F5564D"/>
    <w:rsid w:val="00F63724"/>
    <w:rsid w:val="00F72FAC"/>
    <w:rsid w:val="00F83D67"/>
    <w:rsid w:val="00F9391E"/>
    <w:rsid w:val="00F95876"/>
    <w:rsid w:val="00FA0009"/>
    <w:rsid w:val="00FA3F4F"/>
    <w:rsid w:val="00FB04DB"/>
    <w:rsid w:val="00FB1FA8"/>
    <w:rsid w:val="00FB4F8F"/>
    <w:rsid w:val="00FC182B"/>
    <w:rsid w:val="00FF79AE"/>
    <w:rsid w:val="28903D4B"/>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14029732">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83213205">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0879436">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78a4dae-5fc0-4ed3-ad80-da51122ab114"/>
    <ds:schemaRef ds:uri="5844fa40-a696-4ac9-bd38-c0330d295109"/>
  </ds:schemaRefs>
</ds:datastoreItem>
</file>

<file path=customXml/itemProps2.xml><?xml version="1.0" encoding="utf-8"?>
<ds:datastoreItem xmlns:ds="http://schemas.openxmlformats.org/officeDocument/2006/customXml" ds:itemID="{668BF3FB-3F9B-47D9-B7EF-28C81A9153A2}">
  <ds:schemaRefs>
    <ds:schemaRef ds:uri="http://schemas.openxmlformats.org/officeDocument/2006/bibliography"/>
  </ds:schemaRefs>
</ds:datastoreItem>
</file>

<file path=customXml/itemProps3.xml><?xml version="1.0" encoding="utf-8"?>
<ds:datastoreItem xmlns:ds="http://schemas.openxmlformats.org/officeDocument/2006/customXml" ds:itemID="{C78F1257-154F-42BE-8BAD-B30F6384A358}"/>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1104</Words>
  <Characters>6295</Characters>
  <Application>Microsoft Office Word</Application>
  <DocSecurity>0</DocSecurity>
  <Lines>52</Lines>
  <Paragraphs>14</Paragraphs>
  <ScaleCrop>false</ScaleCrop>
  <Company>National Grid</Company>
  <LinksUpToDate>false</LinksUpToDate>
  <CharactersWithSpaces>7385</CharactersWithSpaces>
  <SharedDoc>false</SharedDoc>
  <HLinks>
    <vt:vector size="6" baseType="variant">
      <vt:variant>
        <vt:i4>6815836</vt:i4>
      </vt:variant>
      <vt:variant>
        <vt:i4>0</vt:i4>
      </vt:variant>
      <vt:variant>
        <vt:i4>0</vt:i4>
      </vt:variant>
      <vt:variant>
        <vt:i4>5</vt:i4>
      </vt:variant>
      <vt:variant>
        <vt:lpwstr>mailto:uklink@xoserve.com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2</cp:revision>
  <cp:lastPrinted>2019-02-07T14:31:00Z</cp:lastPrinted>
  <dcterms:created xsi:type="dcterms:W3CDTF">2023-01-30T15:25:00Z</dcterms:created>
  <dcterms:modified xsi:type="dcterms:W3CDTF">2023-01-30T15:25:00Z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