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5F55E" w14:textId="77777777" w:rsidR="007D4F26" w:rsidRDefault="00156FD9" w:rsidP="00324744">
      <w:pPr>
        <w:pStyle w:val="Title"/>
      </w:pPr>
      <w:r w:rsidRPr="00156FD9">
        <w:t>DSC Change Proposal</w:t>
      </w:r>
      <w:r w:rsidR="00FA3F4F">
        <w:t xml:space="preserve"> Document</w:t>
      </w:r>
    </w:p>
    <w:p w14:paraId="66C5F55F" w14:textId="77777777" w:rsidR="003B7E16" w:rsidRDefault="007855B1" w:rsidP="00ED342B">
      <w:pPr>
        <w:spacing w:after="0"/>
      </w:pPr>
      <w:r w:rsidRPr="00192B0D">
        <w:rPr>
          <w:rFonts w:cs="Arial"/>
          <w:b/>
          <w:noProof/>
          <w:color w:val="3E5AA8" w:themeColor="accent1"/>
        </w:rPr>
        <mc:AlternateContent>
          <mc:Choice Requires="wps">
            <w:drawing>
              <wp:anchor distT="0" distB="0" distL="114300" distR="114300" simplePos="0" relativeHeight="251658240" behindDoc="0" locked="0" layoutInCell="1" allowOverlap="1" wp14:anchorId="66C5F694" wp14:editId="66C5F695">
                <wp:simplePos x="0" y="0"/>
                <wp:positionH relativeFrom="column">
                  <wp:posOffset>4111625</wp:posOffset>
                </wp:positionH>
                <wp:positionV relativeFrom="paragraph">
                  <wp:posOffset>36195</wp:posOffset>
                </wp:positionV>
                <wp:extent cx="116840" cy="93345"/>
                <wp:effectExtent l="0" t="0" r="0" b="1905"/>
                <wp:wrapNone/>
                <wp:docPr id="4" name="Rectangle 4"/>
                <wp:cNvGraphicFramePr/>
                <a:graphic xmlns:a="http://schemas.openxmlformats.org/drawingml/2006/main">
                  <a:graphicData uri="http://schemas.microsoft.com/office/word/2010/wordprocessingShape">
                    <wps:wsp>
                      <wps:cNvSpPr/>
                      <wps:spPr>
                        <a:xfrm>
                          <a:off x="0" y="0"/>
                          <a:ext cx="116840" cy="93345"/>
                        </a:xfrm>
                        <a:prstGeom prst="rect">
                          <a:avLst/>
                        </a:prstGeom>
                        <a:solidFill>
                          <a:schemeClr val="accent6">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6873EC" id="Rectangle 4" o:spid="_x0000_s1026" style="position:absolute;margin-left:323.75pt;margin-top:2.85pt;width:9.2pt;height: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" fillcolor="#fde4ba [1305]" stroked="f" strokeweight="2pt"/>
            </w:pict>
          </mc:Fallback>
        </mc:AlternateContent>
      </w:r>
      <w:r w:rsidR="003B7E16">
        <w:t>Customers to fill ou</w:t>
      </w:r>
      <w:r w:rsidR="00722970">
        <w:t xml:space="preserve">t all of the information in the sections </w:t>
      </w:r>
      <w:r w:rsidR="003B7E16">
        <w:t>colour</w:t>
      </w:r>
      <w:r w:rsidR="00722970">
        <w:t xml:space="preserve">ed </w:t>
      </w:r>
      <w:r>
        <w:t xml:space="preserve">  </w:t>
      </w:r>
    </w:p>
    <w:p w14:paraId="66C5F560" w14:textId="77777777" w:rsidR="003B7E16" w:rsidRPr="003B7E16" w:rsidRDefault="007855B1" w:rsidP="00ED342B">
      <w:pPr>
        <w:spacing w:after="0"/>
      </w:pPr>
      <w:r w:rsidRPr="00192B0D">
        <w:rPr>
          <w:rFonts w:cs="Arial"/>
          <w:b/>
          <w:noProof/>
          <w:color w:val="3E5AA8" w:themeColor="accent1"/>
        </w:rPr>
        <mc:AlternateContent>
          <mc:Choice Requires="wps">
            <w:drawing>
              <wp:anchor distT="0" distB="0" distL="114300" distR="114300" simplePos="0" relativeHeight="251658241" behindDoc="0" locked="0" layoutInCell="1" allowOverlap="1" wp14:anchorId="66C5F696" wp14:editId="66C5F697">
                <wp:simplePos x="0" y="0"/>
                <wp:positionH relativeFrom="column">
                  <wp:posOffset>3949700</wp:posOffset>
                </wp:positionH>
                <wp:positionV relativeFrom="paragraph">
                  <wp:posOffset>32385</wp:posOffset>
                </wp:positionV>
                <wp:extent cx="116840" cy="93345"/>
                <wp:effectExtent l="0" t="0" r="0" b="1905"/>
                <wp:wrapNone/>
                <wp:docPr id="5" name="Rectangle 5"/>
                <wp:cNvGraphicFramePr/>
                <a:graphic xmlns:a="http://schemas.openxmlformats.org/drawingml/2006/main">
                  <a:graphicData uri="http://schemas.microsoft.com/office/word/2010/wordprocessingShape">
                    <wps:wsp>
                      <wps:cNvSpPr/>
                      <wps:spPr>
                        <a:xfrm>
                          <a:off x="0" y="0"/>
                          <a:ext cx="116840" cy="93345"/>
                        </a:xfrm>
                        <a:prstGeom prst="rect">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78275A" id="Rectangle 5" o:spid="_x0000_s1026" style="position:absolute;margin-left:311pt;margin-top:2.55pt;width:9.2pt;height:7.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" fillcolor="#b2ecfb [1304]" stroked="f" strokeweight="2pt"/>
            </w:pict>
          </mc:Fallback>
        </mc:AlternateContent>
      </w:r>
      <w:r w:rsidR="003B7E16">
        <w:t>Xoserve to fill o</w:t>
      </w:r>
      <w:r w:rsidR="00722970">
        <w:t>ut all of the information in the sections</w:t>
      </w:r>
      <w:r w:rsidR="003B7E16">
        <w:t xml:space="preserve"> colour</w:t>
      </w:r>
      <w:r w:rsidR="00722970">
        <w:t>ed</w:t>
      </w:r>
      <w:r>
        <w:t xml:space="preserve"> </w:t>
      </w:r>
    </w:p>
    <w:p w14:paraId="66C5F561" w14:textId="77777777" w:rsidR="00310A64" w:rsidRDefault="00156FD9" w:rsidP="00310A64">
      <w:pPr>
        <w:pStyle w:val="Heading1"/>
      </w:pPr>
      <w:r>
        <w:t xml:space="preserve">A1: </w:t>
      </w:r>
      <w:r w:rsidRPr="00156FD9">
        <w:t>General Details</w:t>
      </w:r>
    </w:p>
    <w:tbl>
      <w:tblPr>
        <w:tblStyle w:val="TableGrid"/>
        <w:tblW w:w="5018" w:type="pct"/>
        <w:tblInd w:w="-34" w:type="dxa"/>
        <w:tblLayout w:type="fixed"/>
        <w:tblLook w:val="04A0" w:firstRow="1" w:lastRow="0" w:firstColumn="1" w:lastColumn="0" w:noHBand="0" w:noVBand="1"/>
      </w:tblPr>
      <w:tblGrid>
        <w:gridCol w:w="2219"/>
        <w:gridCol w:w="1639"/>
        <w:gridCol w:w="637"/>
        <w:gridCol w:w="2278"/>
        <w:gridCol w:w="2275"/>
      </w:tblGrid>
      <w:tr w:rsidR="007855B1" w:rsidRPr="00BC3CAC" w14:paraId="66C5F564" w14:textId="77777777" w:rsidTr="005504A6">
        <w:trPr>
          <w:trHeight w:val="403"/>
        </w:trPr>
        <w:tc>
          <w:tcPr>
            <w:tcW w:w="1226" w:type="pct"/>
            <w:shd w:val="clear" w:color="auto" w:fill="B2ECFB" w:themeFill="accent5" w:themeFillTint="66"/>
            <w:vAlign w:val="center"/>
          </w:tcPr>
          <w:p w14:paraId="66C5F562" w14:textId="77777777" w:rsidR="007855B1" w:rsidRDefault="007855B1" w:rsidP="00ED342B">
            <w:pPr>
              <w:jc w:val="right"/>
              <w:rPr>
                <w:rFonts w:cs="Arial"/>
                <w:szCs w:val="20"/>
              </w:rPr>
            </w:pPr>
            <w:r>
              <w:rPr>
                <w:rFonts w:cs="Arial"/>
                <w:szCs w:val="20"/>
              </w:rPr>
              <w:t>Change Reference:</w:t>
            </w:r>
          </w:p>
        </w:tc>
        <w:tc>
          <w:tcPr>
            <w:tcW w:w="3774" w:type="pct"/>
            <w:gridSpan w:val="4"/>
            <w:vAlign w:val="center"/>
          </w:tcPr>
          <w:p w14:paraId="66C5F563" w14:textId="065C72EC" w:rsidR="007855B1" w:rsidRPr="00BC3CAC" w:rsidRDefault="00BE2EFD" w:rsidP="00FA3F4F">
            <w:pPr>
              <w:rPr>
                <w:rFonts w:cs="Arial"/>
              </w:rPr>
            </w:pPr>
            <w:r>
              <w:rPr>
                <w:rFonts w:cs="Arial"/>
              </w:rPr>
              <w:t>XRN</w:t>
            </w:r>
            <w:r w:rsidR="000A1437">
              <w:rPr>
                <w:rFonts w:cs="Arial"/>
              </w:rPr>
              <w:t>5615</w:t>
            </w:r>
          </w:p>
        </w:tc>
      </w:tr>
      <w:tr w:rsidR="00ED342B" w:rsidRPr="00BC3CAC" w14:paraId="66C5F567" w14:textId="77777777" w:rsidTr="005504A6">
        <w:trPr>
          <w:trHeight w:val="403"/>
        </w:trPr>
        <w:tc>
          <w:tcPr>
            <w:tcW w:w="1226" w:type="pct"/>
            <w:shd w:val="clear" w:color="auto" w:fill="FDE4BA" w:themeFill="accent6" w:themeFillTint="66"/>
            <w:vAlign w:val="center"/>
          </w:tcPr>
          <w:p w14:paraId="66C5F565" w14:textId="77777777" w:rsidR="00ED342B" w:rsidRPr="00470388" w:rsidRDefault="00ED342B" w:rsidP="00ED342B">
            <w:pPr>
              <w:jc w:val="right"/>
              <w:rPr>
                <w:rFonts w:cs="Arial"/>
                <w:szCs w:val="20"/>
              </w:rPr>
            </w:pPr>
            <w:r>
              <w:rPr>
                <w:rFonts w:cs="Arial"/>
                <w:szCs w:val="20"/>
              </w:rPr>
              <w:t>Change Title:</w:t>
            </w:r>
          </w:p>
        </w:tc>
        <w:tc>
          <w:tcPr>
            <w:tcW w:w="3774" w:type="pct"/>
            <w:gridSpan w:val="4"/>
            <w:vAlign w:val="center"/>
          </w:tcPr>
          <w:p w14:paraId="66C5F566" w14:textId="12C11FA9" w:rsidR="00ED342B" w:rsidRPr="00450A2C" w:rsidRDefault="004A1BD9" w:rsidP="00ED342B">
            <w:pPr>
              <w:rPr>
                <w:rFonts w:cs="Arial"/>
              </w:rPr>
            </w:pPr>
            <w:r w:rsidRPr="00450A2C">
              <w:t xml:space="preserve">Modification </w:t>
            </w:r>
            <w:r w:rsidR="000F5E2E">
              <w:t>0819</w:t>
            </w:r>
            <w:r w:rsidR="003402DF" w:rsidRPr="00450A2C">
              <w:t xml:space="preserve"> </w:t>
            </w:r>
            <w:r w:rsidR="000F5E2E">
              <w:t>Establishing/Amending a Gas Vacant Site Process</w:t>
            </w:r>
          </w:p>
        </w:tc>
      </w:tr>
      <w:tr w:rsidR="00ED342B" w:rsidRPr="00BC3CAC" w14:paraId="66C5F56A" w14:textId="77777777" w:rsidTr="005504A6">
        <w:trPr>
          <w:trHeight w:val="403"/>
        </w:trPr>
        <w:tc>
          <w:tcPr>
            <w:tcW w:w="1226" w:type="pct"/>
            <w:shd w:val="clear" w:color="auto" w:fill="FDE4BA" w:themeFill="accent6" w:themeFillTint="66"/>
            <w:vAlign w:val="center"/>
          </w:tcPr>
          <w:p w14:paraId="66C5F568" w14:textId="77777777" w:rsidR="00ED342B" w:rsidRDefault="00ED342B" w:rsidP="00ED342B">
            <w:pPr>
              <w:jc w:val="right"/>
              <w:rPr>
                <w:rFonts w:cs="Arial"/>
                <w:szCs w:val="20"/>
              </w:rPr>
            </w:pPr>
            <w:r>
              <w:rPr>
                <w:rFonts w:cs="Arial"/>
                <w:szCs w:val="20"/>
              </w:rPr>
              <w:t>Date Raised:</w:t>
            </w:r>
          </w:p>
        </w:tc>
        <w:tc>
          <w:tcPr>
            <w:tcW w:w="3774" w:type="pct"/>
            <w:gridSpan w:val="4"/>
            <w:vAlign w:val="center"/>
          </w:tcPr>
          <w:p w14:paraId="7E745343" w14:textId="16580E6B" w:rsidR="6982D0D0" w:rsidRPr="00A830EB" w:rsidRDefault="00690309">
            <w:pPr>
              <w:rPr>
                <w:rFonts w:cs="Arial"/>
              </w:rPr>
            </w:pPr>
            <w:r>
              <w:rPr>
                <w:rFonts w:cs="Arial"/>
              </w:rPr>
              <w:t>TBC</w:t>
            </w:r>
          </w:p>
        </w:tc>
      </w:tr>
      <w:tr w:rsidR="008075EF" w:rsidRPr="00BC3CAC" w14:paraId="66C5F56E" w14:textId="77777777" w:rsidTr="00FF79AE">
        <w:trPr>
          <w:trHeight w:val="403"/>
        </w:trPr>
        <w:tc>
          <w:tcPr>
            <w:tcW w:w="1226" w:type="pct"/>
            <w:vMerge w:val="restart"/>
            <w:shd w:val="clear" w:color="auto" w:fill="FDE4BA" w:themeFill="accent6" w:themeFillTint="66"/>
            <w:vAlign w:val="center"/>
          </w:tcPr>
          <w:p w14:paraId="66C5F56B" w14:textId="77777777" w:rsidR="008075EF" w:rsidRDefault="008075EF" w:rsidP="008075EF">
            <w:pPr>
              <w:jc w:val="right"/>
              <w:rPr>
                <w:rFonts w:cs="Arial"/>
                <w:szCs w:val="20"/>
              </w:rPr>
            </w:pPr>
            <w:r>
              <w:rPr>
                <w:rFonts w:cs="Arial"/>
                <w:szCs w:val="20"/>
              </w:rPr>
              <w:t>Sponsor Representative Details:</w:t>
            </w:r>
          </w:p>
        </w:tc>
        <w:tc>
          <w:tcPr>
            <w:tcW w:w="906" w:type="pct"/>
            <w:shd w:val="clear" w:color="auto" w:fill="FDE4BA" w:themeFill="accent6" w:themeFillTint="66"/>
            <w:vAlign w:val="center"/>
          </w:tcPr>
          <w:p w14:paraId="66C5F56C" w14:textId="77777777" w:rsidR="008075EF" w:rsidRDefault="008075EF" w:rsidP="008075EF">
            <w:pPr>
              <w:jc w:val="right"/>
              <w:rPr>
                <w:rFonts w:cs="Arial"/>
              </w:rPr>
            </w:pPr>
            <w:r>
              <w:rPr>
                <w:rFonts w:cs="Arial"/>
              </w:rPr>
              <w:t>Organisation:</w:t>
            </w:r>
          </w:p>
        </w:tc>
        <w:tc>
          <w:tcPr>
            <w:tcW w:w="2868" w:type="pct"/>
            <w:gridSpan w:val="3"/>
            <w:vAlign w:val="center"/>
          </w:tcPr>
          <w:p w14:paraId="66C5F56D" w14:textId="4258F5A5" w:rsidR="008075EF" w:rsidRPr="00BC3CAC" w:rsidRDefault="000F5E2E" w:rsidP="008075EF">
            <w:pPr>
              <w:rPr>
                <w:rFonts w:cs="Arial"/>
              </w:rPr>
            </w:pPr>
            <w:r>
              <w:rPr>
                <w:rFonts w:cs="Arial"/>
              </w:rPr>
              <w:t>British Gas</w:t>
            </w:r>
          </w:p>
        </w:tc>
      </w:tr>
      <w:tr w:rsidR="008075EF" w:rsidRPr="00BC3CAC" w14:paraId="66C5F572" w14:textId="77777777" w:rsidTr="00FF79AE">
        <w:trPr>
          <w:trHeight w:val="403"/>
        </w:trPr>
        <w:tc>
          <w:tcPr>
            <w:tcW w:w="1226" w:type="pct"/>
            <w:vMerge/>
            <w:vAlign w:val="center"/>
          </w:tcPr>
          <w:p w14:paraId="66C5F56F" w14:textId="77777777" w:rsidR="008075EF" w:rsidRDefault="008075EF" w:rsidP="008075EF">
            <w:pPr>
              <w:jc w:val="right"/>
              <w:rPr>
                <w:rFonts w:cs="Arial"/>
                <w:szCs w:val="20"/>
              </w:rPr>
            </w:pPr>
          </w:p>
        </w:tc>
        <w:tc>
          <w:tcPr>
            <w:tcW w:w="906" w:type="pct"/>
            <w:shd w:val="clear" w:color="auto" w:fill="FDE4BA" w:themeFill="accent6" w:themeFillTint="66"/>
            <w:vAlign w:val="center"/>
          </w:tcPr>
          <w:p w14:paraId="66C5F570" w14:textId="77777777" w:rsidR="008075EF" w:rsidRDefault="008075EF" w:rsidP="008075EF">
            <w:pPr>
              <w:jc w:val="right"/>
              <w:rPr>
                <w:rFonts w:cs="Arial"/>
              </w:rPr>
            </w:pPr>
            <w:r>
              <w:rPr>
                <w:rFonts w:cs="Arial"/>
              </w:rPr>
              <w:t>Name:</w:t>
            </w:r>
          </w:p>
        </w:tc>
        <w:tc>
          <w:tcPr>
            <w:tcW w:w="2868" w:type="pct"/>
            <w:gridSpan w:val="3"/>
            <w:vAlign w:val="center"/>
          </w:tcPr>
          <w:p w14:paraId="66C5F571" w14:textId="00472E28" w:rsidR="008075EF" w:rsidRPr="00BC3CAC" w:rsidRDefault="00E11BBD" w:rsidP="008075EF">
            <w:pPr>
              <w:rPr>
                <w:rFonts w:cs="Arial"/>
              </w:rPr>
            </w:pPr>
            <w:r>
              <w:rPr>
                <w:rFonts w:cs="Arial"/>
              </w:rPr>
              <w:t>Lee Greenwood</w:t>
            </w:r>
          </w:p>
        </w:tc>
      </w:tr>
      <w:tr w:rsidR="008075EF" w:rsidRPr="00BC3CAC" w14:paraId="66C5F576" w14:textId="77777777" w:rsidTr="00FF79AE">
        <w:trPr>
          <w:trHeight w:val="403"/>
        </w:trPr>
        <w:tc>
          <w:tcPr>
            <w:tcW w:w="1226" w:type="pct"/>
            <w:vMerge/>
            <w:vAlign w:val="center"/>
          </w:tcPr>
          <w:p w14:paraId="66C5F573" w14:textId="77777777" w:rsidR="008075EF" w:rsidRDefault="008075EF" w:rsidP="008075EF">
            <w:pPr>
              <w:jc w:val="right"/>
              <w:rPr>
                <w:rFonts w:cs="Arial"/>
                <w:szCs w:val="20"/>
              </w:rPr>
            </w:pPr>
          </w:p>
        </w:tc>
        <w:tc>
          <w:tcPr>
            <w:tcW w:w="906" w:type="pct"/>
            <w:shd w:val="clear" w:color="auto" w:fill="FDE4BA" w:themeFill="accent6" w:themeFillTint="66"/>
            <w:vAlign w:val="center"/>
          </w:tcPr>
          <w:p w14:paraId="66C5F574" w14:textId="77777777" w:rsidR="008075EF" w:rsidRDefault="008075EF" w:rsidP="008075EF">
            <w:pPr>
              <w:jc w:val="right"/>
              <w:rPr>
                <w:rFonts w:cs="Arial"/>
              </w:rPr>
            </w:pPr>
            <w:r>
              <w:rPr>
                <w:rFonts w:cs="Arial"/>
              </w:rPr>
              <w:t>Email:</w:t>
            </w:r>
          </w:p>
        </w:tc>
        <w:tc>
          <w:tcPr>
            <w:tcW w:w="2868" w:type="pct"/>
            <w:gridSpan w:val="3"/>
            <w:vAlign w:val="center"/>
          </w:tcPr>
          <w:p w14:paraId="66C5F575" w14:textId="7A94C62E" w:rsidR="008075EF" w:rsidRPr="00E11BBD" w:rsidRDefault="00E11BBD" w:rsidP="008075EF">
            <w:pPr>
              <w:rPr>
                <w:rFonts w:cs="Arial"/>
              </w:rPr>
            </w:pPr>
            <w:r>
              <w:rPr>
                <w:rFonts w:cs="Arial"/>
              </w:rPr>
              <w:t>lee.greenwood@britishgas.co.uk</w:t>
            </w:r>
          </w:p>
        </w:tc>
      </w:tr>
      <w:tr w:rsidR="008075EF" w:rsidRPr="00BC3CAC" w14:paraId="66C5F57A" w14:textId="77777777" w:rsidTr="00FF79AE">
        <w:trPr>
          <w:trHeight w:val="403"/>
        </w:trPr>
        <w:tc>
          <w:tcPr>
            <w:tcW w:w="1226" w:type="pct"/>
            <w:vMerge/>
            <w:vAlign w:val="center"/>
          </w:tcPr>
          <w:p w14:paraId="66C5F577" w14:textId="77777777" w:rsidR="008075EF" w:rsidRDefault="008075EF" w:rsidP="008075EF">
            <w:pPr>
              <w:jc w:val="right"/>
              <w:rPr>
                <w:rFonts w:cs="Arial"/>
                <w:szCs w:val="20"/>
              </w:rPr>
            </w:pPr>
          </w:p>
        </w:tc>
        <w:tc>
          <w:tcPr>
            <w:tcW w:w="906" w:type="pct"/>
            <w:shd w:val="clear" w:color="auto" w:fill="FDE4BA" w:themeFill="accent6" w:themeFillTint="66"/>
            <w:vAlign w:val="center"/>
          </w:tcPr>
          <w:p w14:paraId="66C5F578" w14:textId="77777777" w:rsidR="008075EF" w:rsidRDefault="008075EF" w:rsidP="008075EF">
            <w:pPr>
              <w:jc w:val="right"/>
              <w:rPr>
                <w:rFonts w:cs="Arial"/>
              </w:rPr>
            </w:pPr>
            <w:r>
              <w:rPr>
                <w:rFonts w:cs="Arial"/>
              </w:rPr>
              <w:t>Telephone:</w:t>
            </w:r>
          </w:p>
        </w:tc>
        <w:tc>
          <w:tcPr>
            <w:tcW w:w="2868" w:type="pct"/>
            <w:gridSpan w:val="3"/>
            <w:vAlign w:val="center"/>
          </w:tcPr>
          <w:p w14:paraId="66C5F579" w14:textId="1C7F793E" w:rsidR="008075EF" w:rsidRPr="00E11BBD" w:rsidRDefault="00487736" w:rsidP="008075EF">
            <w:pPr>
              <w:rPr>
                <w:rFonts w:cs="Arial"/>
                <w:color w:val="FF0000"/>
              </w:rPr>
            </w:pPr>
            <w:r w:rsidRPr="006B5242">
              <w:rPr>
                <w:rFonts w:cs="Arial"/>
                <w:color w:val="000000" w:themeColor="text1"/>
              </w:rPr>
              <w:t>0</w:t>
            </w:r>
            <w:r w:rsidR="006B5242" w:rsidRPr="006B5242">
              <w:rPr>
                <w:rFonts w:cs="Arial"/>
                <w:color w:val="000000" w:themeColor="text1"/>
              </w:rPr>
              <w:t>7557 612456</w:t>
            </w:r>
          </w:p>
        </w:tc>
      </w:tr>
      <w:tr w:rsidR="008075EF" w:rsidRPr="00BC3CAC" w14:paraId="66C5F57E" w14:textId="77777777" w:rsidTr="00FF79AE">
        <w:trPr>
          <w:trHeight w:val="403"/>
        </w:trPr>
        <w:tc>
          <w:tcPr>
            <w:tcW w:w="1226" w:type="pct"/>
            <w:vMerge w:val="restart"/>
            <w:shd w:val="clear" w:color="auto" w:fill="FDE4BA" w:themeFill="accent6" w:themeFillTint="66"/>
            <w:vAlign w:val="center"/>
          </w:tcPr>
          <w:p w14:paraId="66C5F57B" w14:textId="77777777" w:rsidR="008075EF" w:rsidRDefault="008075EF" w:rsidP="008075EF">
            <w:pPr>
              <w:jc w:val="right"/>
              <w:rPr>
                <w:rFonts w:cs="Arial"/>
                <w:szCs w:val="20"/>
              </w:rPr>
            </w:pPr>
            <w:r>
              <w:rPr>
                <w:rFonts w:cs="Arial"/>
                <w:szCs w:val="20"/>
              </w:rPr>
              <w:t>Xoserve Representative Details:</w:t>
            </w:r>
          </w:p>
        </w:tc>
        <w:tc>
          <w:tcPr>
            <w:tcW w:w="906" w:type="pct"/>
            <w:shd w:val="clear" w:color="auto" w:fill="FDE4BA" w:themeFill="accent6" w:themeFillTint="66"/>
            <w:vAlign w:val="center"/>
          </w:tcPr>
          <w:p w14:paraId="66C5F57C" w14:textId="77777777" w:rsidR="008075EF" w:rsidRDefault="008075EF" w:rsidP="008075EF">
            <w:pPr>
              <w:jc w:val="right"/>
              <w:rPr>
                <w:rFonts w:cs="Arial"/>
              </w:rPr>
            </w:pPr>
            <w:r>
              <w:rPr>
                <w:rFonts w:cs="Arial"/>
              </w:rPr>
              <w:t>Name:</w:t>
            </w:r>
          </w:p>
        </w:tc>
        <w:tc>
          <w:tcPr>
            <w:tcW w:w="2868" w:type="pct"/>
            <w:gridSpan w:val="3"/>
            <w:vAlign w:val="center"/>
          </w:tcPr>
          <w:p w14:paraId="66C5F57D" w14:textId="43A6C35E" w:rsidR="008075EF" w:rsidRPr="00B967D9" w:rsidRDefault="00991D1C" w:rsidP="008075EF">
            <w:pPr>
              <w:rPr>
                <w:rFonts w:cs="Arial"/>
              </w:rPr>
            </w:pPr>
            <w:r w:rsidRPr="00B967D9">
              <w:rPr>
                <w:rFonts w:cs="Arial"/>
              </w:rPr>
              <w:t>Kathryn Adeseye</w:t>
            </w:r>
          </w:p>
        </w:tc>
      </w:tr>
      <w:tr w:rsidR="008075EF" w:rsidRPr="00BC3CAC" w14:paraId="66C5F582" w14:textId="77777777" w:rsidTr="00FF79AE">
        <w:trPr>
          <w:trHeight w:val="403"/>
        </w:trPr>
        <w:tc>
          <w:tcPr>
            <w:tcW w:w="1226" w:type="pct"/>
            <w:vMerge/>
            <w:vAlign w:val="center"/>
          </w:tcPr>
          <w:p w14:paraId="66C5F57F" w14:textId="77777777" w:rsidR="008075EF" w:rsidRDefault="008075EF" w:rsidP="008075EF">
            <w:pPr>
              <w:jc w:val="right"/>
              <w:rPr>
                <w:rFonts w:cs="Arial"/>
                <w:szCs w:val="20"/>
              </w:rPr>
            </w:pPr>
          </w:p>
        </w:tc>
        <w:tc>
          <w:tcPr>
            <w:tcW w:w="906" w:type="pct"/>
            <w:shd w:val="clear" w:color="auto" w:fill="FDE4BA" w:themeFill="accent6" w:themeFillTint="66"/>
            <w:vAlign w:val="center"/>
          </w:tcPr>
          <w:p w14:paraId="66C5F580" w14:textId="77777777" w:rsidR="008075EF" w:rsidRDefault="008075EF" w:rsidP="008075EF">
            <w:pPr>
              <w:jc w:val="right"/>
              <w:rPr>
                <w:rFonts w:cs="Arial"/>
              </w:rPr>
            </w:pPr>
            <w:r>
              <w:rPr>
                <w:rFonts w:cs="Arial"/>
              </w:rPr>
              <w:t>Email:</w:t>
            </w:r>
          </w:p>
        </w:tc>
        <w:tc>
          <w:tcPr>
            <w:tcW w:w="2868" w:type="pct"/>
            <w:gridSpan w:val="3"/>
            <w:vAlign w:val="center"/>
          </w:tcPr>
          <w:p w14:paraId="66C5F581" w14:textId="29733587" w:rsidR="008075EF" w:rsidRPr="00B967D9" w:rsidRDefault="00991D1C" w:rsidP="008075EF">
            <w:pPr>
              <w:rPr>
                <w:rFonts w:cs="Arial"/>
              </w:rPr>
            </w:pPr>
            <w:r w:rsidRPr="00B967D9">
              <w:rPr>
                <w:rFonts w:cs="Arial"/>
              </w:rPr>
              <w:t>kathryn.adeseye3@xoserve.com</w:t>
            </w:r>
          </w:p>
        </w:tc>
      </w:tr>
      <w:tr w:rsidR="008075EF" w:rsidRPr="00BC3CAC" w14:paraId="66C5F586" w14:textId="77777777" w:rsidTr="00FF79AE">
        <w:trPr>
          <w:trHeight w:val="403"/>
        </w:trPr>
        <w:tc>
          <w:tcPr>
            <w:tcW w:w="1226" w:type="pct"/>
            <w:vMerge/>
            <w:vAlign w:val="center"/>
          </w:tcPr>
          <w:p w14:paraId="66C5F583" w14:textId="77777777" w:rsidR="008075EF" w:rsidRDefault="008075EF" w:rsidP="008075EF">
            <w:pPr>
              <w:jc w:val="right"/>
              <w:rPr>
                <w:rFonts w:cs="Arial"/>
                <w:szCs w:val="20"/>
              </w:rPr>
            </w:pPr>
          </w:p>
        </w:tc>
        <w:tc>
          <w:tcPr>
            <w:tcW w:w="906" w:type="pct"/>
            <w:shd w:val="clear" w:color="auto" w:fill="FDE4BA" w:themeFill="accent6" w:themeFillTint="66"/>
            <w:vAlign w:val="center"/>
          </w:tcPr>
          <w:p w14:paraId="66C5F584" w14:textId="77777777" w:rsidR="008075EF" w:rsidRDefault="008075EF" w:rsidP="008075EF">
            <w:pPr>
              <w:jc w:val="right"/>
              <w:rPr>
                <w:rFonts w:cs="Arial"/>
              </w:rPr>
            </w:pPr>
            <w:r>
              <w:rPr>
                <w:rFonts w:cs="Arial"/>
              </w:rPr>
              <w:t>Telephone:</w:t>
            </w:r>
          </w:p>
        </w:tc>
        <w:tc>
          <w:tcPr>
            <w:tcW w:w="2868" w:type="pct"/>
            <w:gridSpan w:val="3"/>
            <w:vAlign w:val="center"/>
          </w:tcPr>
          <w:p w14:paraId="66C5F585" w14:textId="0D1256F7" w:rsidR="008075EF" w:rsidRPr="00B967D9" w:rsidRDefault="0070264A" w:rsidP="008075EF">
            <w:pPr>
              <w:rPr>
                <w:rFonts w:cs="Arial"/>
              </w:rPr>
            </w:pPr>
            <w:r w:rsidRPr="00B967D9">
              <w:rPr>
                <w:rFonts w:cs="Arial"/>
              </w:rPr>
              <w:t>0121 2292351</w:t>
            </w:r>
          </w:p>
        </w:tc>
      </w:tr>
      <w:tr w:rsidR="00FF79AE" w:rsidRPr="00BC3CAC" w14:paraId="66C5F58A" w14:textId="77777777" w:rsidTr="004E5DA8">
        <w:trPr>
          <w:trHeight w:val="836"/>
        </w:trPr>
        <w:tc>
          <w:tcPr>
            <w:tcW w:w="1226" w:type="pct"/>
            <w:vMerge/>
            <w:vAlign w:val="center"/>
          </w:tcPr>
          <w:p w14:paraId="66C5F587" w14:textId="77777777" w:rsidR="00FF79AE" w:rsidRDefault="00FF79AE" w:rsidP="00FF79AE">
            <w:pPr>
              <w:jc w:val="right"/>
              <w:rPr>
                <w:rFonts w:cs="Arial"/>
                <w:szCs w:val="20"/>
              </w:rPr>
            </w:pPr>
          </w:p>
        </w:tc>
        <w:tc>
          <w:tcPr>
            <w:tcW w:w="906" w:type="pct"/>
            <w:shd w:val="clear" w:color="auto" w:fill="B2ECFB" w:themeFill="accent5" w:themeFillTint="66"/>
            <w:vAlign w:val="center"/>
          </w:tcPr>
          <w:p w14:paraId="66C5F588" w14:textId="77777777" w:rsidR="00FF79AE" w:rsidRDefault="00FF79AE" w:rsidP="00FF79AE">
            <w:pPr>
              <w:jc w:val="right"/>
              <w:rPr>
                <w:rFonts w:cs="Arial"/>
              </w:rPr>
            </w:pPr>
            <w:r>
              <w:rPr>
                <w:rFonts w:cs="Arial"/>
              </w:rPr>
              <w:t>Business Owner:</w:t>
            </w:r>
          </w:p>
        </w:tc>
        <w:tc>
          <w:tcPr>
            <w:tcW w:w="2868" w:type="pct"/>
            <w:gridSpan w:val="3"/>
            <w:vAlign w:val="center"/>
          </w:tcPr>
          <w:p w14:paraId="66C5F589" w14:textId="357FB637" w:rsidR="004E5DA8" w:rsidRPr="00B967D9" w:rsidRDefault="000D47E5" w:rsidP="004E5DA8">
            <w:pPr>
              <w:rPr>
                <w:rFonts w:cs="Arial"/>
              </w:rPr>
            </w:pPr>
            <w:r>
              <w:rPr>
                <w:rFonts w:cs="Arial"/>
              </w:rPr>
              <w:t>TBC</w:t>
            </w:r>
            <w:r w:rsidR="004E5DA8">
              <w:rPr>
                <w:rFonts w:cs="Arial"/>
              </w:rPr>
              <w:t xml:space="preserve"> </w:t>
            </w:r>
          </w:p>
        </w:tc>
      </w:tr>
      <w:tr w:rsidR="00FF79AE" w:rsidRPr="00BC3CAC" w14:paraId="66C5F58F" w14:textId="77777777" w:rsidTr="005504A6">
        <w:trPr>
          <w:trHeight w:val="403"/>
        </w:trPr>
        <w:tc>
          <w:tcPr>
            <w:tcW w:w="1226" w:type="pct"/>
            <w:vMerge w:val="restart"/>
            <w:shd w:val="clear" w:color="auto" w:fill="FDE4BA" w:themeFill="accent6" w:themeFillTint="66"/>
            <w:vAlign w:val="center"/>
          </w:tcPr>
          <w:p w14:paraId="66C5F58B" w14:textId="77777777" w:rsidR="00FF79AE" w:rsidRDefault="00FF79AE" w:rsidP="00FF79AE">
            <w:pPr>
              <w:jc w:val="right"/>
              <w:rPr>
                <w:rFonts w:cs="Arial"/>
                <w:szCs w:val="20"/>
              </w:rPr>
            </w:pPr>
            <w:r w:rsidRPr="000E3E26">
              <w:rPr>
                <w:rFonts w:cs="Arial"/>
                <w:szCs w:val="20"/>
              </w:rPr>
              <w:t>Change Status</w:t>
            </w:r>
            <w:r>
              <w:rPr>
                <w:rFonts w:cs="Arial"/>
                <w:szCs w:val="20"/>
              </w:rPr>
              <w:t>:</w:t>
            </w:r>
          </w:p>
        </w:tc>
        <w:tc>
          <w:tcPr>
            <w:tcW w:w="1258" w:type="pct"/>
            <w:gridSpan w:val="2"/>
            <w:vAlign w:val="center"/>
          </w:tcPr>
          <w:p w14:paraId="66C5F58C" w14:textId="5413C494" w:rsidR="00FF79AE" w:rsidRPr="00BC3CAC" w:rsidRDefault="008E3A73" w:rsidP="00FF79AE">
            <w:pPr>
              <w:rPr>
                <w:rFonts w:cs="Arial"/>
              </w:rPr>
            </w:pPr>
            <w:sdt>
              <w:sdtPr>
                <w:rPr>
                  <w:rFonts w:cs="Arial"/>
                  <w:szCs w:val="20"/>
                </w:rPr>
                <w:id w:val="-2086907103"/>
                <w14:checkbox>
                  <w14:checked w14:val="1"/>
                  <w14:checkedState w14:val="2612" w14:font="MS Gothic"/>
                  <w14:uncheckedState w14:val="2610" w14:font="MS Gothic"/>
                </w14:checkbox>
              </w:sdtPr>
              <w:sdtEndPr/>
              <w:sdtContent>
                <w:r w:rsidR="00D77A83">
                  <w:rPr>
                    <w:rFonts w:ascii="MS Gothic" w:eastAsia="MS Gothic" w:hAnsi="MS Gothic" w:cs="Arial" w:hint="eastAsia"/>
                    <w:szCs w:val="20"/>
                  </w:rPr>
                  <w:t>☒</w:t>
                </w:r>
              </w:sdtContent>
            </w:sdt>
            <w:r w:rsidR="00FF79AE">
              <w:rPr>
                <w:rFonts w:cs="Arial"/>
                <w:szCs w:val="20"/>
              </w:rPr>
              <w:t xml:space="preserve"> Proposal</w:t>
            </w:r>
          </w:p>
        </w:tc>
        <w:tc>
          <w:tcPr>
            <w:tcW w:w="1259" w:type="pct"/>
            <w:vAlign w:val="center"/>
          </w:tcPr>
          <w:p w14:paraId="66C5F58D" w14:textId="77777777" w:rsidR="00FF79AE" w:rsidRPr="00BC3CAC" w:rsidRDefault="008E3A73" w:rsidP="00FF79AE">
            <w:pPr>
              <w:rPr>
                <w:rFonts w:cs="Arial"/>
              </w:rPr>
            </w:pPr>
            <w:sdt>
              <w:sdtPr>
                <w:rPr>
                  <w:rFonts w:cs="Arial"/>
                  <w:szCs w:val="20"/>
                </w:rPr>
                <w:id w:val="875900823"/>
                <w14:checkbox>
                  <w14:checked w14:val="0"/>
                  <w14:checkedState w14:val="2612" w14:font="MS Gothic"/>
                  <w14:uncheckedState w14:val="2610" w14:font="MS Gothic"/>
                </w14:checkbox>
              </w:sdtPr>
              <w:sdtEndPr/>
              <w:sdtContent>
                <w:r w:rsidR="00FF79AE">
                  <w:rPr>
                    <w:rFonts w:ascii="MS Gothic" w:eastAsia="MS Gothic" w:hAnsi="MS Gothic" w:cs="Arial" w:hint="eastAsia"/>
                    <w:szCs w:val="20"/>
                  </w:rPr>
                  <w:t>☐</w:t>
                </w:r>
              </w:sdtContent>
            </w:sdt>
            <w:r w:rsidR="00FF79AE">
              <w:rPr>
                <w:rFonts w:cs="Arial"/>
                <w:szCs w:val="20"/>
              </w:rPr>
              <w:t xml:space="preserve"> With DSG</w:t>
            </w:r>
          </w:p>
        </w:tc>
        <w:tc>
          <w:tcPr>
            <w:tcW w:w="1257" w:type="pct"/>
            <w:vAlign w:val="center"/>
          </w:tcPr>
          <w:p w14:paraId="66C5F58E" w14:textId="77777777" w:rsidR="00FF79AE" w:rsidRPr="00BC3CAC" w:rsidRDefault="008E3A73" w:rsidP="00FF79AE">
            <w:pPr>
              <w:rPr>
                <w:rFonts w:cs="Arial"/>
              </w:rPr>
            </w:pPr>
            <w:sdt>
              <w:sdtPr>
                <w:rPr>
                  <w:rFonts w:cs="Arial"/>
                  <w:szCs w:val="20"/>
                </w:rPr>
                <w:id w:val="-205874792"/>
                <w14:checkbox>
                  <w14:checked w14:val="0"/>
                  <w14:checkedState w14:val="2612" w14:font="MS Gothic"/>
                  <w14:uncheckedState w14:val="2610" w14:font="MS Gothic"/>
                </w14:checkbox>
              </w:sdtPr>
              <w:sdtEndPr/>
              <w:sdtContent>
                <w:r w:rsidR="00FF79AE">
                  <w:rPr>
                    <w:rFonts w:ascii="MS Gothic" w:eastAsia="MS Gothic" w:hAnsi="MS Gothic" w:cs="Arial" w:hint="eastAsia"/>
                    <w:szCs w:val="20"/>
                  </w:rPr>
                  <w:t>☐</w:t>
                </w:r>
              </w:sdtContent>
            </w:sdt>
            <w:r w:rsidR="00FF79AE">
              <w:rPr>
                <w:rFonts w:cs="Arial"/>
                <w:szCs w:val="20"/>
              </w:rPr>
              <w:t xml:space="preserve"> Out for Review</w:t>
            </w:r>
          </w:p>
        </w:tc>
      </w:tr>
      <w:tr w:rsidR="00FF79AE" w:rsidRPr="00BC3CAC" w14:paraId="66C5F594" w14:textId="77777777" w:rsidTr="005504A6">
        <w:trPr>
          <w:trHeight w:val="403"/>
        </w:trPr>
        <w:tc>
          <w:tcPr>
            <w:tcW w:w="1226" w:type="pct"/>
            <w:vMerge/>
            <w:vAlign w:val="center"/>
          </w:tcPr>
          <w:p w14:paraId="66C5F590" w14:textId="77777777" w:rsidR="00FF79AE" w:rsidRDefault="00FF79AE" w:rsidP="00FF79AE">
            <w:pPr>
              <w:jc w:val="right"/>
              <w:rPr>
                <w:rFonts w:cs="Arial"/>
                <w:szCs w:val="20"/>
              </w:rPr>
            </w:pPr>
          </w:p>
        </w:tc>
        <w:tc>
          <w:tcPr>
            <w:tcW w:w="1258" w:type="pct"/>
            <w:gridSpan w:val="2"/>
            <w:vAlign w:val="center"/>
          </w:tcPr>
          <w:p w14:paraId="66C5F591" w14:textId="77777777" w:rsidR="00FF79AE" w:rsidRPr="00BC3CAC" w:rsidRDefault="008E3A73" w:rsidP="00FF79AE">
            <w:pPr>
              <w:rPr>
                <w:rFonts w:cs="Arial"/>
              </w:rPr>
            </w:pPr>
            <w:sdt>
              <w:sdtPr>
                <w:rPr>
                  <w:rFonts w:cs="Arial"/>
                  <w:szCs w:val="20"/>
                </w:rPr>
                <w:id w:val="-1174489870"/>
                <w14:checkbox>
                  <w14:checked w14:val="0"/>
                  <w14:checkedState w14:val="2612" w14:font="MS Gothic"/>
                  <w14:uncheckedState w14:val="2610" w14:font="MS Gothic"/>
                </w14:checkbox>
              </w:sdtPr>
              <w:sdtEndPr/>
              <w:sdtContent>
                <w:r w:rsidR="00FF79AE">
                  <w:rPr>
                    <w:rFonts w:ascii="MS Gothic" w:eastAsia="MS Gothic" w:hAnsi="MS Gothic" w:cs="Arial" w:hint="eastAsia"/>
                    <w:szCs w:val="20"/>
                  </w:rPr>
                  <w:t>☐</w:t>
                </w:r>
              </w:sdtContent>
            </w:sdt>
            <w:r w:rsidR="00FF79AE">
              <w:rPr>
                <w:rFonts w:cs="Arial"/>
                <w:szCs w:val="20"/>
              </w:rPr>
              <w:t xml:space="preserve"> Voting</w:t>
            </w:r>
          </w:p>
        </w:tc>
        <w:tc>
          <w:tcPr>
            <w:tcW w:w="1259" w:type="pct"/>
            <w:vAlign w:val="center"/>
          </w:tcPr>
          <w:p w14:paraId="66C5F592" w14:textId="77777777" w:rsidR="00FF79AE" w:rsidRPr="00BC3CAC" w:rsidRDefault="008E3A73" w:rsidP="00FF79AE">
            <w:pPr>
              <w:rPr>
                <w:rFonts w:cs="Arial"/>
              </w:rPr>
            </w:pPr>
            <w:sdt>
              <w:sdtPr>
                <w:rPr>
                  <w:rFonts w:cs="Arial"/>
                  <w:szCs w:val="20"/>
                </w:rPr>
                <w:id w:val="-1118375638"/>
                <w14:checkbox>
                  <w14:checked w14:val="0"/>
                  <w14:checkedState w14:val="2612" w14:font="MS Gothic"/>
                  <w14:uncheckedState w14:val="2610" w14:font="MS Gothic"/>
                </w14:checkbox>
              </w:sdtPr>
              <w:sdtEndPr/>
              <w:sdtContent>
                <w:r w:rsidR="00FF79AE">
                  <w:rPr>
                    <w:rFonts w:ascii="MS Gothic" w:eastAsia="MS Gothic" w:hAnsi="MS Gothic" w:cs="Arial" w:hint="eastAsia"/>
                    <w:szCs w:val="20"/>
                  </w:rPr>
                  <w:t>☐</w:t>
                </w:r>
              </w:sdtContent>
            </w:sdt>
            <w:r w:rsidR="00FF79AE">
              <w:rPr>
                <w:rFonts w:cs="Arial"/>
                <w:szCs w:val="20"/>
              </w:rPr>
              <w:t xml:space="preserve"> Approved</w:t>
            </w:r>
          </w:p>
        </w:tc>
        <w:tc>
          <w:tcPr>
            <w:tcW w:w="1257" w:type="pct"/>
            <w:vAlign w:val="center"/>
          </w:tcPr>
          <w:p w14:paraId="66C5F593" w14:textId="77777777" w:rsidR="00FF79AE" w:rsidRPr="00BC3CAC" w:rsidRDefault="008E3A73" w:rsidP="00FF79AE">
            <w:pPr>
              <w:rPr>
                <w:rFonts w:cs="Arial"/>
              </w:rPr>
            </w:pPr>
            <w:sdt>
              <w:sdtPr>
                <w:rPr>
                  <w:rFonts w:cs="Arial"/>
                  <w:szCs w:val="20"/>
                </w:rPr>
                <w:id w:val="-1656301510"/>
                <w14:checkbox>
                  <w14:checked w14:val="0"/>
                  <w14:checkedState w14:val="2612" w14:font="MS Gothic"/>
                  <w14:uncheckedState w14:val="2610" w14:font="MS Gothic"/>
                </w14:checkbox>
              </w:sdtPr>
              <w:sdtEndPr/>
              <w:sdtContent>
                <w:r w:rsidR="00FF79AE">
                  <w:rPr>
                    <w:rFonts w:ascii="MS Gothic" w:eastAsia="MS Gothic" w:hAnsi="MS Gothic" w:cs="Arial" w:hint="eastAsia"/>
                    <w:szCs w:val="20"/>
                  </w:rPr>
                  <w:t>☐</w:t>
                </w:r>
              </w:sdtContent>
            </w:sdt>
            <w:r w:rsidR="00FF79AE">
              <w:rPr>
                <w:rFonts w:cs="Arial"/>
                <w:szCs w:val="20"/>
              </w:rPr>
              <w:t xml:space="preserve"> Rejected</w:t>
            </w:r>
          </w:p>
        </w:tc>
      </w:tr>
    </w:tbl>
    <w:p w14:paraId="66C5F595" w14:textId="77777777" w:rsidR="00156FD9" w:rsidRDefault="00156FD9" w:rsidP="00156FD9">
      <w:pPr>
        <w:pStyle w:val="Heading1"/>
      </w:pPr>
      <w:r>
        <w:t>A2: Impacted Parties</w:t>
      </w:r>
    </w:p>
    <w:tbl>
      <w:tblPr>
        <w:tblStyle w:val="TableGrid"/>
        <w:tblW w:w="5018" w:type="pct"/>
        <w:tblInd w:w="-34" w:type="dxa"/>
        <w:tblLayout w:type="fixed"/>
        <w:tblLook w:val="04A0" w:firstRow="1" w:lastRow="0" w:firstColumn="1" w:lastColumn="0" w:noHBand="0" w:noVBand="1"/>
      </w:tblPr>
      <w:tblGrid>
        <w:gridCol w:w="2217"/>
        <w:gridCol w:w="2763"/>
        <w:gridCol w:w="4068"/>
      </w:tblGrid>
      <w:tr w:rsidR="009C3AAE" w:rsidRPr="00796430" w14:paraId="66C5F599" w14:textId="77777777" w:rsidTr="005D0AA4">
        <w:trPr>
          <w:trHeight w:val="403"/>
        </w:trPr>
        <w:tc>
          <w:tcPr>
            <w:tcW w:w="1225" w:type="pct"/>
            <w:vMerge w:val="restart"/>
            <w:shd w:val="clear" w:color="auto" w:fill="FDE4BA" w:themeFill="accent6" w:themeFillTint="66"/>
            <w:vAlign w:val="center"/>
          </w:tcPr>
          <w:p w14:paraId="66C5F596" w14:textId="77777777" w:rsidR="009C3AAE" w:rsidRPr="00796430" w:rsidRDefault="009C3AAE" w:rsidP="000E3E26">
            <w:pPr>
              <w:jc w:val="right"/>
              <w:rPr>
                <w:rFonts w:cs="Arial"/>
                <w:szCs w:val="20"/>
              </w:rPr>
            </w:pPr>
            <w:r w:rsidRPr="00796430">
              <w:rPr>
                <w:rFonts w:cs="Arial"/>
                <w:szCs w:val="20"/>
              </w:rPr>
              <w:t>Customer Class(es):</w:t>
            </w:r>
          </w:p>
        </w:tc>
        <w:tc>
          <w:tcPr>
            <w:tcW w:w="1527" w:type="pct"/>
            <w:vAlign w:val="center"/>
          </w:tcPr>
          <w:p w14:paraId="66C5F597" w14:textId="256E5146" w:rsidR="009C3AAE" w:rsidRPr="00796430" w:rsidRDefault="008E3A73" w:rsidP="000E3E26">
            <w:pPr>
              <w:rPr>
                <w:rFonts w:cs="Arial"/>
              </w:rPr>
            </w:pPr>
            <w:sdt>
              <w:sdtPr>
                <w:rPr>
                  <w:rFonts w:cs="Arial"/>
                  <w:szCs w:val="20"/>
                </w:rPr>
                <w:id w:val="-1865433840"/>
                <w14:checkbox>
                  <w14:checked w14:val="1"/>
                  <w14:checkedState w14:val="2612" w14:font="MS Gothic"/>
                  <w14:uncheckedState w14:val="2610" w14:font="MS Gothic"/>
                </w14:checkbox>
              </w:sdtPr>
              <w:sdtEndPr/>
              <w:sdtContent>
                <w:r w:rsidR="009F3F13">
                  <w:rPr>
                    <w:rFonts w:ascii="MS Gothic" w:eastAsia="MS Gothic" w:hAnsi="MS Gothic" w:cs="Arial" w:hint="eastAsia"/>
                    <w:szCs w:val="20"/>
                  </w:rPr>
                  <w:t>☒</w:t>
                </w:r>
              </w:sdtContent>
            </w:sdt>
            <w:r w:rsidR="009C3AAE" w:rsidRPr="00796430">
              <w:rPr>
                <w:rFonts w:cs="Arial"/>
                <w:szCs w:val="20"/>
              </w:rPr>
              <w:t xml:space="preserve"> Shipper</w:t>
            </w:r>
          </w:p>
        </w:tc>
        <w:tc>
          <w:tcPr>
            <w:tcW w:w="2248" w:type="pct"/>
            <w:vAlign w:val="center"/>
          </w:tcPr>
          <w:p w14:paraId="66C5F598" w14:textId="34B1A4E2" w:rsidR="009C3AAE" w:rsidRPr="00796430" w:rsidRDefault="008E3A73" w:rsidP="000E3E26">
            <w:pPr>
              <w:rPr>
                <w:rFonts w:cs="Arial"/>
              </w:rPr>
            </w:pPr>
            <w:sdt>
              <w:sdtPr>
                <w:rPr>
                  <w:rFonts w:cs="Arial"/>
                  <w:szCs w:val="20"/>
                </w:rPr>
                <w:id w:val="712157959"/>
                <w14:checkbox>
                  <w14:checked w14:val="1"/>
                  <w14:checkedState w14:val="2612" w14:font="MS Gothic"/>
                  <w14:uncheckedState w14:val="2610" w14:font="MS Gothic"/>
                </w14:checkbox>
              </w:sdtPr>
              <w:sdtEndPr/>
              <w:sdtContent>
                <w:r w:rsidR="00061EEE">
                  <w:rPr>
                    <w:rFonts w:ascii="MS Gothic" w:eastAsia="MS Gothic" w:hAnsi="MS Gothic" w:cs="Arial" w:hint="eastAsia"/>
                    <w:szCs w:val="20"/>
                  </w:rPr>
                  <w:t>☒</w:t>
                </w:r>
              </w:sdtContent>
            </w:sdt>
            <w:r w:rsidR="009C3AAE" w:rsidRPr="00796430">
              <w:rPr>
                <w:rFonts w:cs="Arial"/>
                <w:szCs w:val="20"/>
              </w:rPr>
              <w:t xml:space="preserve"> Distribution Network Operator</w:t>
            </w:r>
          </w:p>
        </w:tc>
      </w:tr>
      <w:tr w:rsidR="009C3AAE" w:rsidRPr="00796430" w14:paraId="66C5F59D" w14:textId="77777777" w:rsidTr="005D0AA4">
        <w:trPr>
          <w:trHeight w:val="403"/>
        </w:trPr>
        <w:tc>
          <w:tcPr>
            <w:tcW w:w="1225" w:type="pct"/>
            <w:vMerge/>
            <w:shd w:val="clear" w:color="auto" w:fill="FDE4BA" w:themeFill="accent6" w:themeFillTint="66"/>
            <w:vAlign w:val="center"/>
          </w:tcPr>
          <w:p w14:paraId="66C5F59A" w14:textId="77777777" w:rsidR="009C3AAE" w:rsidRPr="00796430" w:rsidRDefault="009C3AAE" w:rsidP="000E3E26">
            <w:pPr>
              <w:jc w:val="right"/>
              <w:rPr>
                <w:rFonts w:cs="Arial"/>
                <w:szCs w:val="20"/>
              </w:rPr>
            </w:pPr>
          </w:p>
        </w:tc>
        <w:tc>
          <w:tcPr>
            <w:tcW w:w="1527" w:type="pct"/>
            <w:vAlign w:val="center"/>
          </w:tcPr>
          <w:p w14:paraId="66C5F59B" w14:textId="3CF6C6C5" w:rsidR="009C3AAE" w:rsidRPr="00796430" w:rsidRDefault="008E3A73" w:rsidP="009C3AAE">
            <w:pPr>
              <w:rPr>
                <w:rFonts w:cs="Arial"/>
              </w:rPr>
            </w:pPr>
            <w:sdt>
              <w:sdtPr>
                <w:rPr>
                  <w:rFonts w:cs="Arial"/>
                  <w:szCs w:val="20"/>
                </w:rPr>
                <w:id w:val="-813639791"/>
                <w14:checkbox>
                  <w14:checked w14:val="0"/>
                  <w14:checkedState w14:val="2612" w14:font="MS Gothic"/>
                  <w14:uncheckedState w14:val="2610" w14:font="MS Gothic"/>
                </w14:checkbox>
              </w:sdtPr>
              <w:sdtEndPr/>
              <w:sdtContent>
                <w:r w:rsidR="00E11BBD">
                  <w:rPr>
                    <w:rFonts w:ascii="MS Gothic" w:eastAsia="MS Gothic" w:hAnsi="MS Gothic" w:cs="Arial" w:hint="eastAsia"/>
                    <w:szCs w:val="20"/>
                  </w:rPr>
                  <w:t>☐</w:t>
                </w:r>
              </w:sdtContent>
            </w:sdt>
            <w:r w:rsidR="009C3AAE" w:rsidRPr="00796430">
              <w:rPr>
                <w:rFonts w:cs="Arial"/>
                <w:szCs w:val="20"/>
              </w:rPr>
              <w:t xml:space="preserve"> NG Transmission</w:t>
            </w:r>
          </w:p>
        </w:tc>
        <w:tc>
          <w:tcPr>
            <w:tcW w:w="2248" w:type="pct"/>
            <w:vAlign w:val="center"/>
          </w:tcPr>
          <w:p w14:paraId="66C5F59C" w14:textId="1C54143C" w:rsidR="009C3AAE" w:rsidRPr="00796430" w:rsidRDefault="008E3A73" w:rsidP="000E3E26">
            <w:pPr>
              <w:rPr>
                <w:rFonts w:cs="Arial"/>
              </w:rPr>
            </w:pPr>
            <w:sdt>
              <w:sdtPr>
                <w:rPr>
                  <w:rFonts w:cs="Arial"/>
                  <w:szCs w:val="20"/>
                </w:rPr>
                <w:id w:val="90598905"/>
                <w14:checkbox>
                  <w14:checked w14:val="1"/>
                  <w14:checkedState w14:val="2612" w14:font="MS Gothic"/>
                  <w14:uncheckedState w14:val="2610" w14:font="MS Gothic"/>
                </w14:checkbox>
              </w:sdtPr>
              <w:sdtEndPr/>
              <w:sdtContent>
                <w:r w:rsidR="000D47E5">
                  <w:rPr>
                    <w:rFonts w:ascii="MS Gothic" w:eastAsia="MS Gothic" w:hAnsi="MS Gothic" w:cs="Arial" w:hint="eastAsia"/>
                    <w:szCs w:val="20"/>
                  </w:rPr>
                  <w:t>☒</w:t>
                </w:r>
              </w:sdtContent>
            </w:sdt>
            <w:r w:rsidR="009C3AAE" w:rsidRPr="00796430">
              <w:rPr>
                <w:rFonts w:cs="Arial"/>
                <w:szCs w:val="20"/>
              </w:rPr>
              <w:t xml:space="preserve"> IGT</w:t>
            </w:r>
          </w:p>
        </w:tc>
      </w:tr>
      <w:tr w:rsidR="009C3AAE" w:rsidRPr="00796430" w14:paraId="66C5F5A1" w14:textId="77777777" w:rsidTr="005D0AA4">
        <w:trPr>
          <w:trHeight w:val="403"/>
        </w:trPr>
        <w:tc>
          <w:tcPr>
            <w:tcW w:w="1225" w:type="pct"/>
            <w:vMerge/>
            <w:shd w:val="clear" w:color="auto" w:fill="FDE4BA" w:themeFill="accent6" w:themeFillTint="66"/>
            <w:vAlign w:val="center"/>
          </w:tcPr>
          <w:p w14:paraId="66C5F59E" w14:textId="77777777" w:rsidR="009C3AAE" w:rsidRPr="00796430" w:rsidRDefault="009C3AAE" w:rsidP="000E3E26">
            <w:pPr>
              <w:jc w:val="right"/>
              <w:rPr>
                <w:rFonts w:cs="Arial"/>
                <w:szCs w:val="20"/>
              </w:rPr>
            </w:pPr>
          </w:p>
        </w:tc>
        <w:tc>
          <w:tcPr>
            <w:tcW w:w="1527" w:type="pct"/>
            <w:vAlign w:val="center"/>
          </w:tcPr>
          <w:p w14:paraId="66C5F59F" w14:textId="77777777" w:rsidR="009C3AAE" w:rsidRPr="00796430" w:rsidRDefault="008E3A73" w:rsidP="005D0AA4">
            <w:pPr>
              <w:rPr>
                <w:rFonts w:cs="Arial"/>
                <w:szCs w:val="20"/>
              </w:rPr>
            </w:pPr>
            <w:sdt>
              <w:sdtPr>
                <w:rPr>
                  <w:rFonts w:cs="Arial"/>
                  <w:szCs w:val="20"/>
                </w:rPr>
                <w:id w:val="35473888"/>
                <w14:checkbox>
                  <w14:checked w14:val="0"/>
                  <w14:checkedState w14:val="2612" w14:font="MS Gothic"/>
                  <w14:uncheckedState w14:val="2610" w14:font="MS Gothic"/>
                </w14:checkbox>
              </w:sdtPr>
              <w:sdtEndPr/>
              <w:sdtContent>
                <w:r w:rsidR="009C3AAE" w:rsidRPr="00796430">
                  <w:rPr>
                    <w:rFonts w:ascii="MS Gothic" w:eastAsia="MS Gothic" w:hAnsi="MS Gothic" w:cs="Arial" w:hint="eastAsia"/>
                    <w:szCs w:val="20"/>
                  </w:rPr>
                  <w:t>☐</w:t>
                </w:r>
              </w:sdtContent>
            </w:sdt>
            <w:r w:rsidR="009C3AAE" w:rsidRPr="00796430">
              <w:rPr>
                <w:rFonts w:cs="Arial"/>
                <w:szCs w:val="20"/>
              </w:rPr>
              <w:t xml:space="preserve"> </w:t>
            </w:r>
            <w:r w:rsidR="005D0AA4" w:rsidRPr="00796430">
              <w:rPr>
                <w:rFonts w:cs="Arial"/>
                <w:szCs w:val="20"/>
              </w:rPr>
              <w:t>All</w:t>
            </w:r>
          </w:p>
        </w:tc>
        <w:tc>
          <w:tcPr>
            <w:tcW w:w="2248" w:type="pct"/>
            <w:vAlign w:val="center"/>
          </w:tcPr>
          <w:p w14:paraId="66C5F5A0" w14:textId="2B3A62A5" w:rsidR="009C3AAE" w:rsidRPr="00796430" w:rsidRDefault="008E3A73" w:rsidP="000E3E26">
            <w:pPr>
              <w:rPr>
                <w:rFonts w:cs="Arial"/>
                <w:szCs w:val="20"/>
              </w:rPr>
            </w:pPr>
            <w:sdt>
              <w:sdtPr>
                <w:rPr>
                  <w:rFonts w:cs="Arial"/>
                  <w:szCs w:val="20"/>
                </w:rPr>
                <w:id w:val="-2124295731"/>
                <w14:checkbox>
                  <w14:checked w14:val="0"/>
                  <w14:checkedState w14:val="2612" w14:font="MS Gothic"/>
                  <w14:uncheckedState w14:val="2610" w14:font="MS Gothic"/>
                </w14:checkbox>
              </w:sdtPr>
              <w:sdtEndPr/>
              <w:sdtContent>
                <w:r w:rsidR="00061EEE">
                  <w:rPr>
                    <w:rFonts w:ascii="MS Gothic" w:eastAsia="MS Gothic" w:hAnsi="MS Gothic" w:cs="Arial" w:hint="eastAsia"/>
                    <w:szCs w:val="20"/>
                  </w:rPr>
                  <w:t>☐</w:t>
                </w:r>
              </w:sdtContent>
            </w:sdt>
            <w:r w:rsidR="00046BA6" w:rsidRPr="00796430">
              <w:rPr>
                <w:rFonts w:cs="Arial"/>
                <w:szCs w:val="20"/>
              </w:rPr>
              <w:t xml:space="preserve"> </w:t>
            </w:r>
            <w:r w:rsidR="008E70D0" w:rsidRPr="00796430">
              <w:rPr>
                <w:rFonts w:cs="Arial"/>
                <w:szCs w:val="20"/>
              </w:rPr>
              <w:t>O</w:t>
            </w:r>
            <w:r w:rsidR="008E70D0" w:rsidRPr="00796430">
              <w:rPr>
                <w:rFonts w:cs="Arial"/>
              </w:rPr>
              <w:t>ther</w:t>
            </w:r>
            <w:r w:rsidR="00610AA8" w:rsidRPr="00796430">
              <w:rPr>
                <w:rFonts w:cs="Arial"/>
              </w:rPr>
              <w:t xml:space="preserve"> </w:t>
            </w:r>
            <w:r w:rsidR="00796430" w:rsidRPr="00796430">
              <w:rPr>
                <w:rFonts w:cs="Arial"/>
              </w:rPr>
              <w:t>- Suppliers</w:t>
            </w:r>
          </w:p>
        </w:tc>
      </w:tr>
      <w:tr w:rsidR="005D0AA4" w:rsidRPr="00796430" w14:paraId="66C5F5A4" w14:textId="77777777" w:rsidTr="005D0AA4">
        <w:trPr>
          <w:trHeight w:val="403"/>
        </w:trPr>
        <w:tc>
          <w:tcPr>
            <w:tcW w:w="1225" w:type="pct"/>
            <w:shd w:val="clear" w:color="auto" w:fill="FDE4BA" w:themeFill="accent6" w:themeFillTint="66"/>
            <w:vAlign w:val="center"/>
          </w:tcPr>
          <w:p w14:paraId="66C5F5A2" w14:textId="77777777" w:rsidR="005D0AA4" w:rsidRPr="00796430" w:rsidRDefault="005D0AA4" w:rsidP="000E3E26">
            <w:pPr>
              <w:jc w:val="right"/>
              <w:rPr>
                <w:rFonts w:cs="Arial"/>
                <w:szCs w:val="20"/>
              </w:rPr>
            </w:pPr>
            <w:r w:rsidRPr="00796430">
              <w:rPr>
                <w:rFonts w:cs="Arial"/>
                <w:szCs w:val="20"/>
              </w:rPr>
              <w:t>Justification for Customer Class(es) selection</w:t>
            </w:r>
          </w:p>
        </w:tc>
        <w:tc>
          <w:tcPr>
            <w:tcW w:w="3775" w:type="pct"/>
            <w:gridSpan w:val="2"/>
            <w:vAlign w:val="center"/>
          </w:tcPr>
          <w:p w14:paraId="72DDF93B" w14:textId="2509F374" w:rsidR="00610AA8" w:rsidRDefault="00E80CBA" w:rsidP="00232B34">
            <w:pPr>
              <w:rPr>
                <w:rFonts w:cs="Arial"/>
                <w:szCs w:val="20"/>
              </w:rPr>
            </w:pPr>
            <w:r>
              <w:rPr>
                <w:rFonts w:cs="Arial"/>
                <w:szCs w:val="20"/>
              </w:rPr>
              <w:t xml:space="preserve">This change will allow Shippers for Product Class 4 Non-Daily Metered (NDM) </w:t>
            </w:r>
            <w:r w:rsidR="0006547C">
              <w:rPr>
                <w:rFonts w:cs="Arial"/>
                <w:szCs w:val="20"/>
              </w:rPr>
              <w:t xml:space="preserve">Supply Meter Points (SMPs) </w:t>
            </w:r>
            <w:r>
              <w:rPr>
                <w:rFonts w:cs="Arial"/>
                <w:szCs w:val="20"/>
              </w:rPr>
              <w:t>to</w:t>
            </w:r>
            <w:r w:rsidR="00E6695A">
              <w:rPr>
                <w:rFonts w:cs="Arial"/>
                <w:szCs w:val="20"/>
              </w:rPr>
              <w:t xml:space="preserve"> apply a vacant status to unoccupied</w:t>
            </w:r>
            <w:r w:rsidR="00CB132E">
              <w:rPr>
                <w:rFonts w:cs="Arial"/>
                <w:szCs w:val="20"/>
              </w:rPr>
              <w:t xml:space="preserve"> sites in their ownership</w:t>
            </w:r>
            <w:r w:rsidR="00CA6918">
              <w:rPr>
                <w:rFonts w:cs="Arial"/>
                <w:szCs w:val="20"/>
              </w:rPr>
              <w:t xml:space="preserve"> allowing them to access commodity relief (immediately) and capacity relief (after one year).</w:t>
            </w:r>
            <w:r w:rsidR="00CB132E">
              <w:rPr>
                <w:rFonts w:cs="Arial"/>
                <w:szCs w:val="20"/>
              </w:rPr>
              <w:t xml:space="preserve"> </w:t>
            </w:r>
          </w:p>
          <w:p w14:paraId="0475A512" w14:textId="77777777" w:rsidR="00693C94" w:rsidRDefault="00693C94" w:rsidP="00232B34">
            <w:pPr>
              <w:rPr>
                <w:rFonts w:cs="Arial"/>
                <w:szCs w:val="20"/>
              </w:rPr>
            </w:pPr>
          </w:p>
          <w:p w14:paraId="66C5F5A3" w14:textId="535C11A5" w:rsidR="00693C94" w:rsidRPr="00E80CBA" w:rsidRDefault="00E75116" w:rsidP="00232B34">
            <w:pPr>
              <w:rPr>
                <w:rFonts w:cs="Arial"/>
                <w:szCs w:val="20"/>
              </w:rPr>
            </w:pPr>
            <w:r>
              <w:rPr>
                <w:rFonts w:cs="Arial"/>
                <w:szCs w:val="20"/>
              </w:rPr>
              <w:t>Distribution Network Operators</w:t>
            </w:r>
            <w:r w:rsidR="000D47E5">
              <w:rPr>
                <w:rFonts w:cs="Arial"/>
                <w:szCs w:val="20"/>
              </w:rPr>
              <w:t xml:space="preserve"> and IGTs are also considered impacted parties as the outcome of</w:t>
            </w:r>
            <w:r w:rsidR="0006547C">
              <w:rPr>
                <w:rFonts w:cs="Arial"/>
                <w:szCs w:val="20"/>
              </w:rPr>
              <w:t xml:space="preserve"> a site going into vacant status could impact the AQ of a SMP in their network area. For DNOs, if a site goes into vacant status, this will impact Commodity charges.</w:t>
            </w:r>
            <w:r w:rsidR="00762BC6">
              <w:rPr>
                <w:rFonts w:cs="Arial"/>
                <w:szCs w:val="20"/>
              </w:rPr>
              <w:t xml:space="preserve"> </w:t>
            </w:r>
            <w:r w:rsidR="009A13CD">
              <w:rPr>
                <w:rFonts w:cs="Arial"/>
                <w:szCs w:val="20"/>
              </w:rPr>
              <w:t xml:space="preserve"> </w:t>
            </w:r>
          </w:p>
        </w:tc>
      </w:tr>
    </w:tbl>
    <w:p w14:paraId="66C5F5A5" w14:textId="0B8ECAF1" w:rsidR="00156FD9" w:rsidRDefault="00156FD9" w:rsidP="00156FD9">
      <w:pPr>
        <w:pStyle w:val="Heading1"/>
      </w:pPr>
      <w:r>
        <w:lastRenderedPageBreak/>
        <w:t xml:space="preserve">A3: </w:t>
      </w:r>
      <w:r w:rsidRPr="00156FD9">
        <w:t>Proposer Requirements / Final (redlined) Change</w:t>
      </w:r>
    </w:p>
    <w:tbl>
      <w:tblPr>
        <w:tblStyle w:val="TableGrid"/>
        <w:tblW w:w="5018" w:type="pct"/>
        <w:tblInd w:w="-34" w:type="dxa"/>
        <w:tblLayout w:type="fixed"/>
        <w:tblLook w:val="04A0" w:firstRow="1" w:lastRow="0" w:firstColumn="1" w:lastColumn="0" w:noHBand="0" w:noVBand="1"/>
      </w:tblPr>
      <w:tblGrid>
        <w:gridCol w:w="2213"/>
        <w:gridCol w:w="3417"/>
        <w:gridCol w:w="3418"/>
      </w:tblGrid>
      <w:tr w:rsidR="00F30111" w:rsidRPr="00BC3CAC" w14:paraId="66C5F5A9" w14:textId="77777777" w:rsidTr="00F30111">
        <w:trPr>
          <w:trHeight w:val="1523"/>
        </w:trPr>
        <w:tc>
          <w:tcPr>
            <w:tcW w:w="1223" w:type="pct"/>
            <w:shd w:val="clear" w:color="auto" w:fill="FDE4BA" w:themeFill="accent6" w:themeFillTint="66"/>
            <w:vAlign w:val="center"/>
          </w:tcPr>
          <w:p w14:paraId="66C5F5A7" w14:textId="26AAE25F" w:rsidR="00F30111" w:rsidRPr="00470388" w:rsidRDefault="00F30111" w:rsidP="009C1729">
            <w:pPr>
              <w:jc w:val="right"/>
              <w:rPr>
                <w:rFonts w:cs="Arial"/>
                <w:szCs w:val="20"/>
              </w:rPr>
            </w:pPr>
            <w:r>
              <w:rPr>
                <w:rFonts w:cs="Arial"/>
                <w:szCs w:val="20"/>
              </w:rPr>
              <w:t>Problem Statement:</w:t>
            </w:r>
          </w:p>
        </w:tc>
        <w:tc>
          <w:tcPr>
            <w:tcW w:w="3777" w:type="pct"/>
            <w:gridSpan w:val="2"/>
            <w:vAlign w:val="center"/>
          </w:tcPr>
          <w:p w14:paraId="2DB34AF0" w14:textId="40F800AE" w:rsidR="003516BA" w:rsidRDefault="00D349F1" w:rsidP="0073535C">
            <w:pPr>
              <w:rPr>
                <w:rFonts w:cs="Arial"/>
              </w:rPr>
            </w:pPr>
            <w:r>
              <w:rPr>
                <w:rFonts w:cs="Arial"/>
              </w:rPr>
              <w:t>There is currently no</w:t>
            </w:r>
            <w:r w:rsidR="00BE45E1">
              <w:rPr>
                <w:rFonts w:cs="Arial"/>
              </w:rPr>
              <w:t>t a</w:t>
            </w:r>
            <w:r>
              <w:rPr>
                <w:rFonts w:cs="Arial"/>
              </w:rPr>
              <w:t xml:space="preserve"> process which allows Shippers to remove Settlement </w:t>
            </w:r>
            <w:r w:rsidR="007069BE">
              <w:rPr>
                <w:rFonts w:cs="Arial"/>
              </w:rPr>
              <w:t>Performance</w:t>
            </w:r>
            <w:r>
              <w:rPr>
                <w:rFonts w:cs="Arial"/>
              </w:rPr>
              <w:t xml:space="preserve"> Obligations or reduce Transportation Costs for </w:t>
            </w:r>
            <w:r w:rsidR="009869E5">
              <w:rPr>
                <w:rFonts w:cs="Arial"/>
              </w:rPr>
              <w:t>v</w:t>
            </w:r>
            <w:r>
              <w:rPr>
                <w:rFonts w:cs="Arial"/>
              </w:rPr>
              <w:t>acant site</w:t>
            </w:r>
            <w:r w:rsidR="009869E5">
              <w:rPr>
                <w:rFonts w:cs="Arial"/>
              </w:rPr>
              <w:t>s</w:t>
            </w:r>
            <w:r>
              <w:rPr>
                <w:rFonts w:cs="Arial"/>
              </w:rPr>
              <w:t xml:space="preserve"> without submitting meter readings. </w:t>
            </w:r>
          </w:p>
          <w:p w14:paraId="2E0EFE0C" w14:textId="77777777" w:rsidR="003516BA" w:rsidRDefault="003516BA" w:rsidP="0073535C">
            <w:pPr>
              <w:rPr>
                <w:rFonts w:cs="Arial"/>
              </w:rPr>
            </w:pPr>
          </w:p>
          <w:p w14:paraId="571D0BCE" w14:textId="77777777" w:rsidR="003516BA" w:rsidRDefault="001B13E2" w:rsidP="0073535C">
            <w:pPr>
              <w:rPr>
                <w:rFonts w:cs="Arial"/>
              </w:rPr>
            </w:pPr>
            <w:r>
              <w:rPr>
                <w:rFonts w:cs="Arial"/>
              </w:rPr>
              <w:t xml:space="preserve">Access to the property is required to read the meter and vacant properties are often difficult to access without a warrant. </w:t>
            </w:r>
          </w:p>
          <w:p w14:paraId="04C0A874" w14:textId="77777777" w:rsidR="003516BA" w:rsidRDefault="003516BA" w:rsidP="0073535C">
            <w:pPr>
              <w:rPr>
                <w:rFonts w:cs="Arial"/>
              </w:rPr>
            </w:pPr>
          </w:p>
          <w:p w14:paraId="5BFE3D0D" w14:textId="466976BC" w:rsidR="001B13E2" w:rsidRDefault="00E67BE4" w:rsidP="0073535C">
            <w:pPr>
              <w:rPr>
                <w:rFonts w:cs="Arial"/>
              </w:rPr>
            </w:pPr>
            <w:r>
              <w:rPr>
                <w:rFonts w:cs="Arial"/>
              </w:rPr>
              <w:t xml:space="preserve">Obtaining a warrant is a costly and time-consuming process for the Shipper, and in the interim the Shipper </w:t>
            </w:r>
            <w:r w:rsidR="00C4248A">
              <w:rPr>
                <w:rFonts w:cs="Arial"/>
              </w:rPr>
              <w:t>will continue to</w:t>
            </w:r>
            <w:r>
              <w:rPr>
                <w:rFonts w:cs="Arial"/>
              </w:rPr>
              <w:t xml:space="preserve"> pay higher costs to the</w:t>
            </w:r>
            <w:r w:rsidR="00C4248A">
              <w:rPr>
                <w:rFonts w:cs="Arial"/>
              </w:rPr>
              <w:t>ir</w:t>
            </w:r>
            <w:r>
              <w:rPr>
                <w:rFonts w:cs="Arial"/>
              </w:rPr>
              <w:t xml:space="preserve"> </w:t>
            </w:r>
            <w:r w:rsidR="00387667">
              <w:rPr>
                <w:rFonts w:cs="Arial"/>
              </w:rPr>
              <w:t xml:space="preserve">Distribution Network </w:t>
            </w:r>
            <w:r>
              <w:rPr>
                <w:rFonts w:cs="Arial"/>
              </w:rPr>
              <w:t xml:space="preserve">than they would be if they could prove that the site was unoccupied. </w:t>
            </w:r>
          </w:p>
          <w:p w14:paraId="66C5F5A8" w14:textId="23D9E7BC" w:rsidR="00BC4186" w:rsidRPr="00D349F1" w:rsidRDefault="009869E5" w:rsidP="0073535C">
            <w:pPr>
              <w:rPr>
                <w:rFonts w:cs="Arial"/>
              </w:rPr>
            </w:pPr>
            <w:r>
              <w:rPr>
                <w:rFonts w:cs="Arial"/>
              </w:rPr>
              <w:t xml:space="preserve"> </w:t>
            </w:r>
          </w:p>
        </w:tc>
      </w:tr>
      <w:tr w:rsidR="00F30111" w:rsidRPr="00BC3CAC" w14:paraId="66C5F5AC" w14:textId="77777777" w:rsidTr="00F30111">
        <w:trPr>
          <w:trHeight w:val="1523"/>
        </w:trPr>
        <w:tc>
          <w:tcPr>
            <w:tcW w:w="1223" w:type="pct"/>
            <w:shd w:val="clear" w:color="auto" w:fill="FDE4BA" w:themeFill="accent6" w:themeFillTint="66"/>
            <w:vAlign w:val="center"/>
          </w:tcPr>
          <w:p w14:paraId="66C5F5AA" w14:textId="77777777" w:rsidR="00F30111" w:rsidRDefault="00F30111" w:rsidP="00F30111">
            <w:pPr>
              <w:jc w:val="right"/>
              <w:rPr>
                <w:rFonts w:cs="Arial"/>
                <w:szCs w:val="20"/>
              </w:rPr>
            </w:pPr>
            <w:r>
              <w:rPr>
                <w:rFonts w:cs="Arial"/>
                <w:szCs w:val="20"/>
              </w:rPr>
              <w:t>Change Description:</w:t>
            </w:r>
          </w:p>
        </w:tc>
        <w:tc>
          <w:tcPr>
            <w:tcW w:w="3777" w:type="pct"/>
            <w:gridSpan w:val="2"/>
            <w:vAlign w:val="center"/>
          </w:tcPr>
          <w:p w14:paraId="482CDB07" w14:textId="6CEDDBD6" w:rsidR="006B44CE" w:rsidRDefault="009C1D28" w:rsidP="000358E2">
            <w:pPr>
              <w:spacing w:before="100" w:beforeAutospacing="1" w:after="100" w:afterAutospacing="1"/>
              <w:rPr>
                <w:rFonts w:cs="Arial"/>
              </w:rPr>
            </w:pPr>
            <w:r>
              <w:rPr>
                <w:rFonts w:cs="Arial"/>
              </w:rPr>
              <w:t xml:space="preserve">This </w:t>
            </w:r>
            <w:r w:rsidR="00732432">
              <w:rPr>
                <w:rFonts w:cs="Arial"/>
              </w:rPr>
              <w:t>C</w:t>
            </w:r>
            <w:r>
              <w:rPr>
                <w:rFonts w:cs="Arial"/>
              </w:rPr>
              <w:t xml:space="preserve">hange </w:t>
            </w:r>
            <w:r w:rsidR="00732432">
              <w:rPr>
                <w:rFonts w:cs="Arial"/>
              </w:rPr>
              <w:t>P</w:t>
            </w:r>
            <w:r>
              <w:rPr>
                <w:rFonts w:cs="Arial"/>
              </w:rPr>
              <w:t xml:space="preserve">roposal has been raised to </w:t>
            </w:r>
            <w:r w:rsidR="00906DD4">
              <w:rPr>
                <w:rFonts w:cs="Arial"/>
              </w:rPr>
              <w:t xml:space="preserve">deliver the requirements outlined in </w:t>
            </w:r>
            <w:hyperlink r:id="rId11" w:history="1">
              <w:r w:rsidR="00906DD4" w:rsidRPr="00732432">
                <w:rPr>
                  <w:rStyle w:val="Hyperlink"/>
                  <w:rFonts w:cs="Arial"/>
                </w:rPr>
                <w:t>Modification 0819</w:t>
              </w:r>
              <w:r w:rsidR="00F7286B" w:rsidRPr="00732432">
                <w:rPr>
                  <w:rStyle w:val="Hyperlink"/>
                  <w:rFonts w:cs="Arial"/>
                </w:rPr>
                <w:t xml:space="preserve"> Establishing/Amending a Gas Vacant Site Process</w:t>
              </w:r>
            </w:hyperlink>
            <w:r w:rsidR="00F7286B">
              <w:rPr>
                <w:rFonts w:cs="Arial"/>
              </w:rPr>
              <w:t xml:space="preserve">. </w:t>
            </w:r>
          </w:p>
          <w:p w14:paraId="4F936774" w14:textId="31F370BF" w:rsidR="009F4808" w:rsidRPr="009F4808" w:rsidRDefault="009F4808" w:rsidP="009F4808">
            <w:pPr>
              <w:rPr>
                <w:rFonts w:cs="Arial"/>
              </w:rPr>
            </w:pPr>
            <w:r w:rsidRPr="009F4808">
              <w:rPr>
                <w:rFonts w:cs="Arial"/>
              </w:rPr>
              <w:t xml:space="preserve">Modification 0819 </w:t>
            </w:r>
            <w:r w:rsidR="008133B1">
              <w:rPr>
                <w:rFonts w:cs="Arial"/>
              </w:rPr>
              <w:t>aims to create</w:t>
            </w:r>
            <w:r w:rsidRPr="009F4808">
              <w:rPr>
                <w:rFonts w:cs="Arial"/>
              </w:rPr>
              <w:t xml:space="preserve"> a new process for </w:t>
            </w:r>
            <w:r w:rsidRPr="00CB19FB">
              <w:rPr>
                <w:rFonts w:cs="Arial"/>
                <w:b/>
                <w:bCs/>
              </w:rPr>
              <w:t>Vacant Product Class 4 Non-Daily Metered (NDM) sites</w:t>
            </w:r>
            <w:r w:rsidRPr="009F4808">
              <w:rPr>
                <w:rFonts w:cs="Arial"/>
              </w:rPr>
              <w:t xml:space="preserve"> which </w:t>
            </w:r>
            <w:r w:rsidR="008133B1">
              <w:rPr>
                <w:rFonts w:cs="Arial"/>
              </w:rPr>
              <w:t>would</w:t>
            </w:r>
            <w:r w:rsidRPr="009F4808">
              <w:rPr>
                <w:rFonts w:cs="Arial"/>
              </w:rPr>
              <w:t xml:space="preserve"> allow Shippers to receive commodity </w:t>
            </w:r>
            <w:r w:rsidR="00563BC5">
              <w:rPr>
                <w:rFonts w:cs="Arial"/>
              </w:rPr>
              <w:t xml:space="preserve">and performance </w:t>
            </w:r>
            <w:r w:rsidRPr="009F4808">
              <w:rPr>
                <w:rFonts w:cs="Arial"/>
              </w:rPr>
              <w:t xml:space="preserve">relief (immediately) and capacity relief (after 12 months at </w:t>
            </w:r>
            <w:r w:rsidR="00770535">
              <w:rPr>
                <w:rFonts w:cs="Arial"/>
              </w:rPr>
              <w:t>v</w:t>
            </w:r>
            <w:r w:rsidRPr="009F4808">
              <w:rPr>
                <w:rFonts w:cs="Arial"/>
              </w:rPr>
              <w:t>acant status) for sites in their ownership</w:t>
            </w:r>
            <w:r w:rsidR="00732432">
              <w:rPr>
                <w:rFonts w:cs="Arial"/>
              </w:rPr>
              <w:t>.</w:t>
            </w:r>
            <w:r w:rsidRPr="009F4808">
              <w:rPr>
                <w:rFonts w:cs="Arial"/>
              </w:rPr>
              <w:t xml:space="preserve"> </w:t>
            </w:r>
          </w:p>
          <w:p w14:paraId="5BFBD98F" w14:textId="6672A888" w:rsidR="00211710" w:rsidRDefault="00732432" w:rsidP="009F4808">
            <w:pPr>
              <w:spacing w:before="100" w:beforeAutospacing="1" w:after="100" w:afterAutospacing="1"/>
              <w:rPr>
                <w:rFonts w:cs="Arial"/>
              </w:rPr>
            </w:pPr>
            <w:r>
              <w:rPr>
                <w:rFonts w:cs="Arial"/>
              </w:rPr>
              <w:t>A SMP</w:t>
            </w:r>
            <w:r w:rsidR="009F4808" w:rsidRPr="009F4808">
              <w:rPr>
                <w:rFonts w:cs="Arial"/>
              </w:rPr>
              <w:t xml:space="preserve"> must meet the Vacant Site criteria outlined in Modification 0819 and associated guidance documentation</w:t>
            </w:r>
            <w:r>
              <w:rPr>
                <w:rFonts w:cs="Arial"/>
              </w:rPr>
              <w:t xml:space="preserve"> </w:t>
            </w:r>
            <w:r w:rsidR="00726034">
              <w:rPr>
                <w:rFonts w:cs="Arial"/>
              </w:rPr>
              <w:t>for</w:t>
            </w:r>
            <w:r>
              <w:rPr>
                <w:rFonts w:cs="Arial"/>
              </w:rPr>
              <w:t xml:space="preserve"> the Shipper to have the ability to effectively manage their Settlement Performance Obligations and Transportation Costs</w:t>
            </w:r>
            <w:r w:rsidR="009F4808" w:rsidRPr="009F4808">
              <w:rPr>
                <w:rFonts w:cs="Arial"/>
              </w:rPr>
              <w:t xml:space="preserve">. </w:t>
            </w:r>
          </w:p>
          <w:p w14:paraId="1DC4A39F" w14:textId="4A96EA4A" w:rsidR="00633B1F" w:rsidRDefault="00D75811" w:rsidP="009F4808">
            <w:pPr>
              <w:spacing w:before="100" w:beforeAutospacing="1" w:after="100" w:afterAutospacing="1"/>
              <w:rPr>
                <w:rFonts w:cs="Arial"/>
              </w:rPr>
            </w:pPr>
            <w:r>
              <w:rPr>
                <w:rFonts w:cs="Arial"/>
              </w:rPr>
              <w:t xml:space="preserve">From the </w:t>
            </w:r>
            <w:r w:rsidR="001B0ED8">
              <w:rPr>
                <w:rFonts w:cs="Arial"/>
              </w:rPr>
              <w:t>Vacant Site effective date</w:t>
            </w:r>
            <w:r>
              <w:rPr>
                <w:rFonts w:cs="Arial"/>
              </w:rPr>
              <w:t xml:space="preserve">, the site </w:t>
            </w:r>
            <w:r w:rsidR="00211710">
              <w:rPr>
                <w:rFonts w:cs="Arial"/>
              </w:rPr>
              <w:t>would</w:t>
            </w:r>
            <w:r>
              <w:rPr>
                <w:rFonts w:cs="Arial"/>
              </w:rPr>
              <w:t xml:space="preserve"> enter the </w:t>
            </w:r>
            <w:r w:rsidR="001B0ED8">
              <w:rPr>
                <w:rFonts w:cs="Arial"/>
              </w:rPr>
              <w:t xml:space="preserve">new </w:t>
            </w:r>
            <w:r>
              <w:rPr>
                <w:rFonts w:cs="Arial"/>
              </w:rPr>
              <w:t xml:space="preserve">process and Settlement Performance Obligations, Commodity Costs, Daily Allocation and UIG </w:t>
            </w:r>
            <w:r w:rsidR="00211710">
              <w:rPr>
                <w:rFonts w:cs="Arial"/>
              </w:rPr>
              <w:t>would cease</w:t>
            </w:r>
            <w:r>
              <w:rPr>
                <w:rFonts w:cs="Arial"/>
              </w:rPr>
              <w:t xml:space="preserve"> immediately. </w:t>
            </w:r>
          </w:p>
          <w:p w14:paraId="317A7B7B" w14:textId="1487EFFE" w:rsidR="00D75811" w:rsidRDefault="00D75811" w:rsidP="000358E2">
            <w:pPr>
              <w:spacing w:before="100" w:beforeAutospacing="1" w:after="100" w:afterAutospacing="1"/>
              <w:rPr>
                <w:rFonts w:cs="Arial"/>
              </w:rPr>
            </w:pPr>
            <w:r>
              <w:rPr>
                <w:rFonts w:cs="Arial"/>
              </w:rPr>
              <w:t>When a</w:t>
            </w:r>
            <w:r w:rsidR="002B4434">
              <w:rPr>
                <w:rFonts w:cs="Arial"/>
              </w:rPr>
              <w:t xml:space="preserve"> </w:t>
            </w:r>
            <w:r w:rsidR="00732432">
              <w:rPr>
                <w:rFonts w:cs="Arial"/>
              </w:rPr>
              <w:t>SMP</w:t>
            </w:r>
            <w:r>
              <w:rPr>
                <w:rFonts w:cs="Arial"/>
              </w:rPr>
              <w:t xml:space="preserve"> has been at vacant status for 12 months or more, the Shipper </w:t>
            </w:r>
            <w:r w:rsidR="00173E94">
              <w:rPr>
                <w:rFonts w:cs="Arial"/>
              </w:rPr>
              <w:t>would</w:t>
            </w:r>
            <w:r>
              <w:rPr>
                <w:rFonts w:cs="Arial"/>
              </w:rPr>
              <w:t xml:space="preserve"> have the option to request </w:t>
            </w:r>
            <w:r w:rsidR="00173E94">
              <w:rPr>
                <w:rFonts w:cs="Arial"/>
              </w:rPr>
              <w:t xml:space="preserve">a reduction </w:t>
            </w:r>
            <w:r>
              <w:rPr>
                <w:rFonts w:cs="Arial"/>
              </w:rPr>
              <w:t xml:space="preserve">in Annual Quantity (AQ) to 1 via a </w:t>
            </w:r>
            <w:r w:rsidR="00173E94">
              <w:rPr>
                <w:rFonts w:cs="Arial"/>
              </w:rPr>
              <w:t>new Vacant Site</w:t>
            </w:r>
            <w:r w:rsidR="00732432">
              <w:rPr>
                <w:rFonts w:cs="Arial"/>
              </w:rPr>
              <w:t xml:space="preserve"> ‘eligible cause’ as per the existing AQ amendments process</w:t>
            </w:r>
            <w:r>
              <w:rPr>
                <w:rFonts w:cs="Arial"/>
              </w:rPr>
              <w:t xml:space="preserve"> to receive capacity relief. </w:t>
            </w:r>
            <w:r w:rsidR="00F020BD">
              <w:rPr>
                <w:rFonts w:cs="Arial"/>
              </w:rPr>
              <w:t xml:space="preserve">Capacity relief </w:t>
            </w:r>
            <w:r w:rsidR="00060F4A">
              <w:rPr>
                <w:rFonts w:cs="Arial"/>
              </w:rPr>
              <w:t>would</w:t>
            </w:r>
            <w:r w:rsidR="00F020BD">
              <w:rPr>
                <w:rFonts w:cs="Arial"/>
              </w:rPr>
              <w:t xml:space="preserve"> start from the </w:t>
            </w:r>
            <w:r w:rsidR="001E45E5">
              <w:rPr>
                <w:rFonts w:cs="Arial"/>
              </w:rPr>
              <w:t>new AQ effective date.</w:t>
            </w:r>
          </w:p>
          <w:p w14:paraId="79E5B974" w14:textId="114F15DA" w:rsidR="00060F4A" w:rsidRDefault="00464418" w:rsidP="000358E2">
            <w:pPr>
              <w:spacing w:before="100" w:beforeAutospacing="1" w:after="100" w:afterAutospacing="1"/>
              <w:rPr>
                <w:rFonts w:cs="Arial"/>
              </w:rPr>
            </w:pPr>
            <w:r>
              <w:rPr>
                <w:rFonts w:cs="Arial"/>
              </w:rPr>
              <w:t xml:space="preserve">A site would exit the Vacant Site process when one of the Vacant Site exit criteria is triggered. Details of the exit criteria can be found within MOD 0819 and the associated guidance documentation. </w:t>
            </w:r>
          </w:p>
          <w:p w14:paraId="3B7E217B" w14:textId="77777777" w:rsidR="002D4C55" w:rsidRDefault="007E075F" w:rsidP="00C47C3B">
            <w:pPr>
              <w:rPr>
                <w:rFonts w:cs="Arial"/>
              </w:rPr>
            </w:pPr>
            <w:r w:rsidRPr="007E075F">
              <w:rPr>
                <w:rFonts w:cs="Arial"/>
              </w:rPr>
              <w:t>Exit would be managed in one of two ways</w:t>
            </w:r>
            <w:r w:rsidR="002D4C55">
              <w:rPr>
                <w:rFonts w:cs="Arial"/>
              </w:rPr>
              <w:t>:</w:t>
            </w:r>
          </w:p>
          <w:p w14:paraId="07F5D1A8" w14:textId="451EFDD1" w:rsidR="002D4C55" w:rsidRDefault="007E075F" w:rsidP="002D4C55">
            <w:pPr>
              <w:pStyle w:val="ListParagraph"/>
              <w:numPr>
                <w:ilvl w:val="0"/>
                <w:numId w:val="28"/>
              </w:numPr>
              <w:rPr>
                <w:rFonts w:cs="Arial"/>
              </w:rPr>
            </w:pPr>
            <w:r w:rsidRPr="002D4C55">
              <w:rPr>
                <w:rFonts w:cs="Arial"/>
              </w:rPr>
              <w:t xml:space="preserve">If the site is </w:t>
            </w:r>
            <w:r w:rsidRPr="00221BB7">
              <w:rPr>
                <w:rFonts w:cs="Arial"/>
                <w:b/>
                <w:bCs/>
                <w:u w:val="single"/>
              </w:rPr>
              <w:t>ONLY</w:t>
            </w:r>
            <w:r w:rsidRPr="00221BB7">
              <w:rPr>
                <w:rFonts w:cs="Arial"/>
                <w:u w:val="single"/>
              </w:rPr>
              <w:t xml:space="preserve"> receiving commodity and performance relief</w:t>
            </w:r>
            <w:r w:rsidRPr="00221BB7">
              <w:rPr>
                <w:rFonts w:cs="Arial"/>
              </w:rPr>
              <w:t>, a</w:t>
            </w:r>
            <w:r w:rsidRPr="002D4C55">
              <w:rPr>
                <w:rFonts w:cs="Arial"/>
              </w:rPr>
              <w:t xml:space="preserve">s soon as the exit criteria is triggered, the </w:t>
            </w:r>
            <w:r w:rsidR="00732432">
              <w:rPr>
                <w:rFonts w:cs="Arial"/>
              </w:rPr>
              <w:t xml:space="preserve">SMP would </w:t>
            </w:r>
            <w:r w:rsidR="005906B8">
              <w:rPr>
                <w:rFonts w:cs="Arial"/>
              </w:rPr>
              <w:t>no longer be classed as a</w:t>
            </w:r>
            <w:r w:rsidR="00732432">
              <w:rPr>
                <w:rFonts w:cs="Arial"/>
              </w:rPr>
              <w:t xml:space="preserve"> </w:t>
            </w:r>
            <w:r w:rsidR="006271F4">
              <w:rPr>
                <w:rFonts w:cs="Arial"/>
              </w:rPr>
              <w:t>vacant site</w:t>
            </w:r>
            <w:r w:rsidR="006271F4" w:rsidRPr="002D4C55">
              <w:rPr>
                <w:rFonts w:cs="Arial"/>
              </w:rPr>
              <w:t xml:space="preserve"> </w:t>
            </w:r>
            <w:r w:rsidRPr="002D4C55">
              <w:rPr>
                <w:rFonts w:cs="Arial"/>
              </w:rPr>
              <w:t xml:space="preserve">and </w:t>
            </w:r>
            <w:r w:rsidR="00732432">
              <w:rPr>
                <w:rFonts w:cs="Arial"/>
              </w:rPr>
              <w:t>C</w:t>
            </w:r>
            <w:r w:rsidRPr="002D4C55">
              <w:rPr>
                <w:rFonts w:cs="Arial"/>
              </w:rPr>
              <w:t xml:space="preserve">ommodity and </w:t>
            </w:r>
            <w:r w:rsidR="00732432">
              <w:rPr>
                <w:rFonts w:cs="Arial"/>
              </w:rPr>
              <w:t>Settlement Performance</w:t>
            </w:r>
            <w:r w:rsidRPr="002D4C55">
              <w:rPr>
                <w:rFonts w:cs="Arial"/>
              </w:rPr>
              <w:t xml:space="preserve"> </w:t>
            </w:r>
            <w:r w:rsidR="00311C97" w:rsidRPr="002D4C55">
              <w:rPr>
                <w:rFonts w:cs="Arial"/>
              </w:rPr>
              <w:t>would recommence</w:t>
            </w:r>
            <w:r w:rsidRPr="002D4C55">
              <w:rPr>
                <w:rFonts w:cs="Arial"/>
              </w:rPr>
              <w:t>.</w:t>
            </w:r>
          </w:p>
          <w:p w14:paraId="4F39C18D" w14:textId="3BC8ECE3" w:rsidR="00EE4A14" w:rsidRDefault="00055E4E" w:rsidP="0012385F">
            <w:pPr>
              <w:pStyle w:val="ListParagraph"/>
              <w:numPr>
                <w:ilvl w:val="0"/>
                <w:numId w:val="28"/>
              </w:numPr>
              <w:rPr>
                <w:rFonts w:cs="Arial"/>
              </w:rPr>
            </w:pPr>
            <w:r w:rsidRPr="002D4C55">
              <w:rPr>
                <w:rFonts w:cs="Arial"/>
              </w:rPr>
              <w:t xml:space="preserve">If the site is receiving </w:t>
            </w:r>
            <w:r w:rsidRPr="00221BB7">
              <w:rPr>
                <w:rFonts w:cs="Arial"/>
                <w:b/>
                <w:bCs/>
                <w:u w:val="single"/>
              </w:rPr>
              <w:t>both</w:t>
            </w:r>
            <w:r w:rsidRPr="00221BB7">
              <w:rPr>
                <w:rFonts w:cs="Arial"/>
                <w:u w:val="single"/>
              </w:rPr>
              <w:t xml:space="preserve"> </w:t>
            </w:r>
            <w:r w:rsidR="00930ABF">
              <w:rPr>
                <w:rFonts w:cs="Arial"/>
                <w:u w:val="single"/>
              </w:rPr>
              <w:t>C</w:t>
            </w:r>
            <w:r w:rsidRPr="00221BB7">
              <w:rPr>
                <w:rFonts w:cs="Arial"/>
                <w:u w:val="single"/>
              </w:rPr>
              <w:t xml:space="preserve">ommodity </w:t>
            </w:r>
            <w:r w:rsidRPr="00221BB7">
              <w:rPr>
                <w:rFonts w:cs="Arial"/>
                <w:b/>
                <w:bCs/>
                <w:u w:val="single"/>
              </w:rPr>
              <w:t>AND</w:t>
            </w:r>
            <w:r w:rsidRPr="00221BB7">
              <w:rPr>
                <w:rFonts w:cs="Arial"/>
                <w:u w:val="single"/>
              </w:rPr>
              <w:t xml:space="preserve"> </w:t>
            </w:r>
            <w:r w:rsidR="00930ABF">
              <w:rPr>
                <w:rFonts w:cs="Arial"/>
                <w:u w:val="single"/>
              </w:rPr>
              <w:t>C</w:t>
            </w:r>
            <w:r w:rsidRPr="00221BB7">
              <w:rPr>
                <w:rFonts w:cs="Arial"/>
                <w:u w:val="single"/>
              </w:rPr>
              <w:t>apacity relief</w:t>
            </w:r>
            <w:r w:rsidRPr="002D4C55">
              <w:rPr>
                <w:rFonts w:cs="Arial"/>
              </w:rPr>
              <w:t xml:space="preserve">, the </w:t>
            </w:r>
            <w:r w:rsidR="00930ABF">
              <w:rPr>
                <w:rFonts w:cs="Arial"/>
              </w:rPr>
              <w:t xml:space="preserve">SMP </w:t>
            </w:r>
            <w:r w:rsidR="005906B8">
              <w:rPr>
                <w:rFonts w:cs="Arial"/>
              </w:rPr>
              <w:t>would</w:t>
            </w:r>
            <w:r w:rsidR="00930ABF">
              <w:rPr>
                <w:rFonts w:cs="Arial"/>
              </w:rPr>
              <w:t xml:space="preserve"> be</w:t>
            </w:r>
            <w:r w:rsidRPr="002D4C55">
              <w:rPr>
                <w:rFonts w:cs="Arial"/>
              </w:rPr>
              <w:t xml:space="preserve"> removed</w:t>
            </w:r>
            <w:r w:rsidR="00930ABF">
              <w:rPr>
                <w:rFonts w:cs="Arial"/>
              </w:rPr>
              <w:t xml:space="preserve"> as a </w:t>
            </w:r>
            <w:r w:rsidR="006271F4">
              <w:rPr>
                <w:rFonts w:cs="Arial"/>
              </w:rPr>
              <w:t xml:space="preserve">vacant site </w:t>
            </w:r>
            <w:r w:rsidRPr="002D4C55">
              <w:rPr>
                <w:rFonts w:cs="Arial"/>
              </w:rPr>
              <w:t xml:space="preserve">once the AQ of the site </w:t>
            </w:r>
            <w:r w:rsidR="00930ABF">
              <w:rPr>
                <w:rFonts w:cs="Arial"/>
              </w:rPr>
              <w:t>has been</w:t>
            </w:r>
            <w:r w:rsidRPr="002D4C55">
              <w:rPr>
                <w:rFonts w:cs="Arial"/>
              </w:rPr>
              <w:t xml:space="preserve"> increased from 1</w:t>
            </w:r>
            <w:r w:rsidR="00930ABF">
              <w:rPr>
                <w:rFonts w:cs="Arial"/>
              </w:rPr>
              <w:t xml:space="preserve"> via the AQ amendments process</w:t>
            </w:r>
            <w:r w:rsidRPr="002D4C55">
              <w:rPr>
                <w:rFonts w:cs="Arial"/>
              </w:rPr>
              <w:t>.</w:t>
            </w:r>
            <w:r w:rsidR="006E356B">
              <w:rPr>
                <w:rFonts w:cs="Arial"/>
              </w:rPr>
              <w:t xml:space="preserve"> </w:t>
            </w:r>
            <w:r w:rsidR="00930ABF">
              <w:rPr>
                <w:rFonts w:cs="Arial"/>
              </w:rPr>
              <w:t>The removal from the process will occur on the effective date of the updated AQ. At this point C</w:t>
            </w:r>
            <w:r w:rsidR="003414AB">
              <w:rPr>
                <w:rFonts w:cs="Arial"/>
              </w:rPr>
              <w:t>ommodity</w:t>
            </w:r>
            <w:r w:rsidR="00285904">
              <w:rPr>
                <w:rFonts w:cs="Arial"/>
              </w:rPr>
              <w:t xml:space="preserve">, </w:t>
            </w:r>
            <w:r w:rsidR="00285904">
              <w:rPr>
                <w:rFonts w:cs="Arial"/>
              </w:rPr>
              <w:lastRenderedPageBreak/>
              <w:t>P</w:t>
            </w:r>
            <w:r w:rsidR="003414AB">
              <w:rPr>
                <w:rFonts w:cs="Arial"/>
              </w:rPr>
              <w:t>erformance</w:t>
            </w:r>
            <w:r w:rsidR="00285904">
              <w:rPr>
                <w:rFonts w:cs="Arial"/>
              </w:rPr>
              <w:t xml:space="preserve"> obligations</w:t>
            </w:r>
            <w:r w:rsidR="003414AB">
              <w:rPr>
                <w:rFonts w:cs="Arial"/>
              </w:rPr>
              <w:t xml:space="preserve"> and </w:t>
            </w:r>
            <w:r w:rsidR="00285904">
              <w:rPr>
                <w:rFonts w:cs="Arial"/>
              </w:rPr>
              <w:t>C</w:t>
            </w:r>
            <w:r w:rsidR="003414AB">
              <w:rPr>
                <w:rFonts w:cs="Arial"/>
              </w:rPr>
              <w:t>apacity charges would recommence.</w:t>
            </w:r>
            <w:r w:rsidRPr="002D4C55">
              <w:rPr>
                <w:rFonts w:cs="Arial"/>
              </w:rPr>
              <w:t xml:space="preserve"> </w:t>
            </w:r>
          </w:p>
          <w:p w14:paraId="59F49EAC" w14:textId="77777777" w:rsidR="00EE4A14" w:rsidRDefault="00EE4A14" w:rsidP="00EE4A14">
            <w:pPr>
              <w:pStyle w:val="ListParagraph"/>
              <w:rPr>
                <w:rFonts w:cs="Arial"/>
              </w:rPr>
            </w:pPr>
          </w:p>
          <w:p w14:paraId="6372E30B" w14:textId="3638F99D" w:rsidR="00055E4E" w:rsidRPr="00EE4A14" w:rsidRDefault="00EE4A14" w:rsidP="00EE4A14">
            <w:pPr>
              <w:pStyle w:val="ListParagraph"/>
              <w:rPr>
                <w:rFonts w:cs="Arial"/>
                <w:sz w:val="18"/>
                <w:szCs w:val="18"/>
              </w:rPr>
            </w:pPr>
            <w:r w:rsidRPr="00EE4A14">
              <w:rPr>
                <w:rFonts w:cs="Arial"/>
                <w:sz w:val="18"/>
                <w:szCs w:val="18"/>
              </w:rPr>
              <w:t xml:space="preserve">NB: </w:t>
            </w:r>
            <w:r w:rsidR="00055E4E" w:rsidRPr="00EE4A14">
              <w:rPr>
                <w:rFonts w:cs="Arial"/>
                <w:sz w:val="18"/>
                <w:szCs w:val="18"/>
              </w:rPr>
              <w:t xml:space="preserve">The owning Shipper would either increase the AQ using the new Vacant Site </w:t>
            </w:r>
            <w:r w:rsidR="00285904">
              <w:rPr>
                <w:rFonts w:cs="Arial"/>
                <w:sz w:val="18"/>
                <w:szCs w:val="18"/>
              </w:rPr>
              <w:t>’eligible cause’</w:t>
            </w:r>
            <w:r w:rsidR="00734533" w:rsidRPr="00EE4A14">
              <w:rPr>
                <w:rFonts w:cs="Arial"/>
                <w:sz w:val="18"/>
                <w:szCs w:val="18"/>
              </w:rPr>
              <w:t xml:space="preserve"> OR if the Shipper failed to do so within the allotted </w:t>
            </w:r>
            <w:r w:rsidRPr="00EE4A14">
              <w:rPr>
                <w:rFonts w:cs="Arial"/>
                <w:sz w:val="18"/>
                <w:szCs w:val="18"/>
              </w:rPr>
              <w:t>time</w:t>
            </w:r>
            <w:r w:rsidR="00734533" w:rsidRPr="00EE4A14">
              <w:rPr>
                <w:rFonts w:cs="Arial"/>
                <w:sz w:val="18"/>
                <w:szCs w:val="18"/>
              </w:rPr>
              <w:t xml:space="preserve">, the CDSP would be responsible for reinstating the pre-Vacant Rolling AQ and Formula Year AQ. </w:t>
            </w:r>
            <w:r w:rsidR="00A3037C">
              <w:rPr>
                <w:rFonts w:cs="Arial"/>
                <w:sz w:val="18"/>
                <w:szCs w:val="18"/>
              </w:rPr>
              <w:t xml:space="preserve">The updated AQ would always be effective within existing AQ amendment timelines. </w:t>
            </w:r>
          </w:p>
          <w:p w14:paraId="0F281833" w14:textId="26349C1B" w:rsidR="00A3697C" w:rsidRDefault="00A3697C" w:rsidP="000358E2">
            <w:pPr>
              <w:spacing w:before="100" w:beforeAutospacing="1" w:after="100" w:afterAutospacing="1"/>
              <w:rPr>
                <w:rFonts w:cs="Arial"/>
              </w:rPr>
            </w:pPr>
            <w:r>
              <w:rPr>
                <w:rFonts w:cs="Arial"/>
              </w:rPr>
              <w:t xml:space="preserve">This </w:t>
            </w:r>
            <w:r w:rsidR="00285904">
              <w:rPr>
                <w:rFonts w:cs="Arial"/>
              </w:rPr>
              <w:t>M</w:t>
            </w:r>
            <w:r>
              <w:rPr>
                <w:rFonts w:cs="Arial"/>
              </w:rPr>
              <w:t xml:space="preserve">odification also seeks to introduce additional reporting in the Performance Assurance Report Register (PARR) regarding the Vacant </w:t>
            </w:r>
            <w:r w:rsidR="00627B57">
              <w:rPr>
                <w:rFonts w:cs="Arial"/>
              </w:rPr>
              <w:t xml:space="preserve">Sites </w:t>
            </w:r>
            <w:r>
              <w:rPr>
                <w:rFonts w:cs="Arial"/>
              </w:rPr>
              <w:t xml:space="preserve">process. </w:t>
            </w:r>
          </w:p>
          <w:p w14:paraId="1E5C2C96" w14:textId="432575E1" w:rsidR="00A638A7" w:rsidRPr="00C4248A" w:rsidRDefault="009F3E4D" w:rsidP="000358E2">
            <w:pPr>
              <w:spacing w:before="100" w:beforeAutospacing="1" w:after="100" w:afterAutospacing="1"/>
              <w:rPr>
                <w:rFonts w:cs="Arial"/>
              </w:rPr>
            </w:pPr>
            <w:r w:rsidRPr="00C4248A">
              <w:rPr>
                <w:rFonts w:cs="Arial"/>
              </w:rPr>
              <w:t xml:space="preserve">Please note, </w:t>
            </w:r>
            <w:r w:rsidR="00A638A7" w:rsidRPr="00C4248A">
              <w:rPr>
                <w:rFonts w:cs="Arial"/>
              </w:rPr>
              <w:t xml:space="preserve">Modification </w:t>
            </w:r>
            <w:r w:rsidRPr="00C4248A">
              <w:rPr>
                <w:rFonts w:cs="Arial"/>
              </w:rPr>
              <w:t>0</w:t>
            </w:r>
            <w:r w:rsidR="00A638A7" w:rsidRPr="00C4248A">
              <w:rPr>
                <w:rFonts w:cs="Arial"/>
              </w:rPr>
              <w:t>81</w:t>
            </w:r>
            <w:r w:rsidR="00C4248A" w:rsidRPr="00C4248A">
              <w:rPr>
                <w:rFonts w:cs="Arial"/>
              </w:rPr>
              <w:t>9</w:t>
            </w:r>
            <w:r w:rsidR="00A638A7" w:rsidRPr="00C4248A">
              <w:rPr>
                <w:rFonts w:cs="Arial"/>
              </w:rPr>
              <w:t xml:space="preserve"> is </w:t>
            </w:r>
            <w:r w:rsidRPr="00C4248A">
              <w:rPr>
                <w:rFonts w:cs="Arial"/>
              </w:rPr>
              <w:t xml:space="preserve">subject to Authority </w:t>
            </w:r>
            <w:r w:rsidR="006C5FF0" w:rsidRPr="00C4248A">
              <w:rPr>
                <w:rFonts w:cs="Arial"/>
              </w:rPr>
              <w:t xml:space="preserve">Decision </w:t>
            </w:r>
            <w:r w:rsidRPr="00C4248A">
              <w:rPr>
                <w:rFonts w:cs="Arial"/>
              </w:rPr>
              <w:t xml:space="preserve">which means the decision on approval or rejection </w:t>
            </w:r>
            <w:r w:rsidR="005A197D" w:rsidRPr="00C4248A">
              <w:rPr>
                <w:rFonts w:cs="Arial"/>
              </w:rPr>
              <w:t>is</w:t>
            </w:r>
            <w:r w:rsidRPr="00C4248A">
              <w:rPr>
                <w:rFonts w:cs="Arial"/>
              </w:rPr>
              <w:t xml:space="preserve"> with</w:t>
            </w:r>
            <w:r w:rsidR="00A638A7" w:rsidRPr="00C4248A">
              <w:rPr>
                <w:rFonts w:cs="Arial"/>
              </w:rPr>
              <w:t xml:space="preserve"> Ofgem</w:t>
            </w:r>
            <w:r w:rsidRPr="00C4248A">
              <w:rPr>
                <w:rFonts w:cs="Arial"/>
              </w:rPr>
              <w:t xml:space="preserve">. </w:t>
            </w:r>
            <w:r w:rsidR="00E309D6" w:rsidRPr="00C4248A">
              <w:rPr>
                <w:rFonts w:cs="Arial"/>
              </w:rPr>
              <w:t>T</w:t>
            </w:r>
            <w:r w:rsidR="0059529B" w:rsidRPr="00C4248A">
              <w:rPr>
                <w:rFonts w:cs="Arial"/>
              </w:rPr>
              <w:t xml:space="preserve">he </w:t>
            </w:r>
            <w:r w:rsidR="00E309D6" w:rsidRPr="00C4248A">
              <w:rPr>
                <w:rFonts w:cs="Arial"/>
              </w:rPr>
              <w:t xml:space="preserve">timescale for a </w:t>
            </w:r>
            <w:r w:rsidR="0059529B" w:rsidRPr="00C4248A">
              <w:rPr>
                <w:rFonts w:cs="Arial"/>
              </w:rPr>
              <w:t>final decision on Modification 081</w:t>
            </w:r>
            <w:r w:rsidR="00C4248A" w:rsidRPr="00C4248A">
              <w:rPr>
                <w:rFonts w:cs="Arial"/>
              </w:rPr>
              <w:t>9</w:t>
            </w:r>
            <w:r w:rsidR="0059529B" w:rsidRPr="00C4248A">
              <w:rPr>
                <w:rFonts w:cs="Arial"/>
              </w:rPr>
              <w:t xml:space="preserve"> is currently unknown. </w:t>
            </w:r>
          </w:p>
          <w:p w14:paraId="45F01906" w14:textId="28A31D97" w:rsidR="00444C4C" w:rsidRDefault="00234890" w:rsidP="001A74D0">
            <w:pPr>
              <w:rPr>
                <w:rFonts w:cs="Arial"/>
              </w:rPr>
            </w:pPr>
            <w:r>
              <w:rPr>
                <w:rFonts w:cs="Arial"/>
              </w:rPr>
              <w:t>*</w:t>
            </w:r>
            <w:r w:rsidR="00C26F2D" w:rsidRPr="00C4248A">
              <w:rPr>
                <w:rFonts w:cs="Arial"/>
              </w:rPr>
              <w:t xml:space="preserve">For further details on the </w:t>
            </w:r>
            <w:r w:rsidR="0059529B" w:rsidRPr="00C4248A">
              <w:rPr>
                <w:rFonts w:cs="Arial"/>
              </w:rPr>
              <w:t>0</w:t>
            </w:r>
            <w:r w:rsidR="004D6DD5" w:rsidRPr="00C4248A">
              <w:rPr>
                <w:rFonts w:cs="Arial"/>
              </w:rPr>
              <w:t>81</w:t>
            </w:r>
            <w:r w:rsidR="00C4248A" w:rsidRPr="00C4248A">
              <w:rPr>
                <w:rFonts w:cs="Arial"/>
              </w:rPr>
              <w:t>9</w:t>
            </w:r>
            <w:r w:rsidR="004D6DD5" w:rsidRPr="00C4248A">
              <w:rPr>
                <w:rFonts w:cs="Arial"/>
              </w:rPr>
              <w:t xml:space="preserve"> process, please see the Modification which can be found here: </w:t>
            </w:r>
            <w:hyperlink r:id="rId12" w:history="1">
              <w:r w:rsidR="00285904" w:rsidRPr="00FC4F6C">
                <w:rPr>
                  <w:rStyle w:val="Hyperlink"/>
                  <w:rFonts w:cs="Arial"/>
                </w:rPr>
                <w:t>https://www.gasgovernance.co.uk/index.php/0819</w:t>
              </w:r>
            </w:hyperlink>
          </w:p>
          <w:p w14:paraId="66C5F5AB" w14:textId="0AA06284" w:rsidR="00285904" w:rsidRPr="00C4248A" w:rsidRDefault="00285904" w:rsidP="001A74D0">
            <w:pPr>
              <w:rPr>
                <w:rFonts w:cs="Arial"/>
              </w:rPr>
            </w:pPr>
          </w:p>
        </w:tc>
      </w:tr>
      <w:tr w:rsidR="00F30111" w:rsidRPr="00BC3CAC" w14:paraId="66C5F5AF" w14:textId="77777777" w:rsidTr="00F30111">
        <w:trPr>
          <w:trHeight w:val="403"/>
        </w:trPr>
        <w:tc>
          <w:tcPr>
            <w:tcW w:w="1223" w:type="pct"/>
            <w:shd w:val="clear" w:color="auto" w:fill="FDE4BA" w:themeFill="accent6" w:themeFillTint="66"/>
            <w:vAlign w:val="center"/>
          </w:tcPr>
          <w:p w14:paraId="66C5F5AD" w14:textId="6835B85A" w:rsidR="00F30111" w:rsidRDefault="00F30111" w:rsidP="00F30111">
            <w:pPr>
              <w:jc w:val="right"/>
              <w:rPr>
                <w:rFonts w:cs="Arial"/>
                <w:szCs w:val="20"/>
              </w:rPr>
            </w:pPr>
            <w:r w:rsidRPr="007855B1">
              <w:rPr>
                <w:rFonts w:cs="Arial"/>
                <w:szCs w:val="20"/>
              </w:rPr>
              <w:lastRenderedPageBreak/>
              <w:t>Proposed Release</w:t>
            </w:r>
            <w:r>
              <w:rPr>
                <w:rFonts w:cs="Arial"/>
                <w:szCs w:val="20"/>
              </w:rPr>
              <w:t>:</w:t>
            </w:r>
          </w:p>
        </w:tc>
        <w:tc>
          <w:tcPr>
            <w:tcW w:w="3777" w:type="pct"/>
            <w:gridSpan w:val="2"/>
            <w:vAlign w:val="center"/>
          </w:tcPr>
          <w:p w14:paraId="66C5F5AE" w14:textId="055ECCDC" w:rsidR="00EF4F30" w:rsidRPr="00BC3CAC" w:rsidRDefault="00C860AB" w:rsidP="00F30111">
            <w:pPr>
              <w:rPr>
                <w:rFonts w:cs="Arial"/>
              </w:rPr>
            </w:pPr>
            <w:r>
              <w:rPr>
                <w:rFonts w:cs="Arial"/>
              </w:rPr>
              <w:t>TBC</w:t>
            </w:r>
          </w:p>
        </w:tc>
      </w:tr>
      <w:tr w:rsidR="00F30111" w:rsidRPr="00BC3CAC" w14:paraId="66C5F5B3" w14:textId="77777777" w:rsidTr="00F30111">
        <w:trPr>
          <w:trHeight w:val="403"/>
        </w:trPr>
        <w:tc>
          <w:tcPr>
            <w:tcW w:w="1223" w:type="pct"/>
            <w:vMerge w:val="restart"/>
            <w:shd w:val="clear" w:color="auto" w:fill="FDE4BA" w:themeFill="accent6" w:themeFillTint="66"/>
            <w:vAlign w:val="center"/>
          </w:tcPr>
          <w:p w14:paraId="66C5F5B0" w14:textId="77777777" w:rsidR="00F30111" w:rsidRDefault="00F30111" w:rsidP="00F30111">
            <w:pPr>
              <w:jc w:val="right"/>
              <w:rPr>
                <w:rFonts w:cs="Arial"/>
                <w:szCs w:val="20"/>
              </w:rPr>
            </w:pPr>
            <w:r w:rsidRPr="007855B1">
              <w:rPr>
                <w:rFonts w:cs="Arial"/>
                <w:szCs w:val="20"/>
              </w:rPr>
              <w:t>Proposed Consultation Period</w:t>
            </w:r>
            <w:r>
              <w:rPr>
                <w:rFonts w:cs="Arial"/>
                <w:szCs w:val="20"/>
              </w:rPr>
              <w:t>:</w:t>
            </w:r>
          </w:p>
        </w:tc>
        <w:tc>
          <w:tcPr>
            <w:tcW w:w="1888" w:type="pct"/>
            <w:vAlign w:val="center"/>
          </w:tcPr>
          <w:p w14:paraId="66C5F5B1" w14:textId="754F73B7" w:rsidR="00F30111" w:rsidRPr="00D074B3" w:rsidRDefault="008E3A73" w:rsidP="00F30111">
            <w:pPr>
              <w:rPr>
                <w:rFonts w:cs="Arial"/>
              </w:rPr>
            </w:pPr>
            <w:sdt>
              <w:sdtPr>
                <w:rPr>
                  <w:rFonts w:cs="Arial"/>
                  <w:szCs w:val="20"/>
                </w:rPr>
                <w:id w:val="-1493093530"/>
                <w14:checkbox>
                  <w14:checked w14:val="0"/>
                  <w14:checkedState w14:val="2612" w14:font="MS Gothic"/>
                  <w14:uncheckedState w14:val="2610" w14:font="MS Gothic"/>
                </w14:checkbox>
              </w:sdtPr>
              <w:sdtEndPr/>
              <w:sdtContent>
                <w:r w:rsidR="00C45A86">
                  <w:rPr>
                    <w:rFonts w:ascii="MS Gothic" w:eastAsia="MS Gothic" w:hAnsi="MS Gothic" w:cs="Arial" w:hint="eastAsia"/>
                    <w:szCs w:val="20"/>
                  </w:rPr>
                  <w:t>☐</w:t>
                </w:r>
              </w:sdtContent>
            </w:sdt>
            <w:r w:rsidR="00F30111" w:rsidRPr="00D074B3">
              <w:rPr>
                <w:rFonts w:cs="Arial"/>
                <w:szCs w:val="20"/>
              </w:rPr>
              <w:t xml:space="preserve"> 10 Working Days</w:t>
            </w:r>
          </w:p>
        </w:tc>
        <w:tc>
          <w:tcPr>
            <w:tcW w:w="1888" w:type="pct"/>
            <w:vAlign w:val="center"/>
          </w:tcPr>
          <w:p w14:paraId="66C5F5B2" w14:textId="77777777" w:rsidR="00F30111" w:rsidRPr="00D074B3" w:rsidRDefault="008E3A73" w:rsidP="00F30111">
            <w:pPr>
              <w:rPr>
                <w:rFonts w:cs="Arial"/>
              </w:rPr>
            </w:pPr>
            <w:sdt>
              <w:sdtPr>
                <w:rPr>
                  <w:rFonts w:cs="Arial"/>
                  <w:szCs w:val="20"/>
                </w:rPr>
                <w:id w:val="606088461"/>
                <w14:checkbox>
                  <w14:checked w14:val="0"/>
                  <w14:checkedState w14:val="2612" w14:font="MS Gothic"/>
                  <w14:uncheckedState w14:val="2610" w14:font="MS Gothic"/>
                </w14:checkbox>
              </w:sdtPr>
              <w:sdtEndPr/>
              <w:sdtContent>
                <w:r w:rsidR="00F30111" w:rsidRPr="00D074B3">
                  <w:rPr>
                    <w:rFonts w:ascii="MS Gothic" w:eastAsia="MS Gothic" w:hAnsi="MS Gothic" w:cs="Arial" w:hint="eastAsia"/>
                    <w:szCs w:val="20"/>
                  </w:rPr>
                  <w:t>☐</w:t>
                </w:r>
              </w:sdtContent>
            </w:sdt>
            <w:r w:rsidR="00F30111" w:rsidRPr="00D074B3">
              <w:rPr>
                <w:rFonts w:cs="Arial"/>
                <w:szCs w:val="20"/>
              </w:rPr>
              <w:t xml:space="preserve"> 15 Working Days</w:t>
            </w:r>
          </w:p>
        </w:tc>
      </w:tr>
      <w:tr w:rsidR="00F30111" w:rsidRPr="00BC3CAC" w14:paraId="66C5F5B7" w14:textId="77777777" w:rsidTr="00F30111">
        <w:trPr>
          <w:trHeight w:val="403"/>
        </w:trPr>
        <w:tc>
          <w:tcPr>
            <w:tcW w:w="1223" w:type="pct"/>
            <w:vMerge/>
            <w:shd w:val="clear" w:color="auto" w:fill="FDE4BA" w:themeFill="accent6" w:themeFillTint="66"/>
            <w:vAlign w:val="center"/>
          </w:tcPr>
          <w:p w14:paraId="66C5F5B4" w14:textId="77777777" w:rsidR="00F30111" w:rsidRPr="007855B1" w:rsidRDefault="00F30111" w:rsidP="00F30111">
            <w:pPr>
              <w:jc w:val="right"/>
              <w:rPr>
                <w:rFonts w:cs="Arial"/>
                <w:szCs w:val="20"/>
              </w:rPr>
            </w:pPr>
          </w:p>
        </w:tc>
        <w:tc>
          <w:tcPr>
            <w:tcW w:w="1888" w:type="pct"/>
            <w:vAlign w:val="center"/>
          </w:tcPr>
          <w:p w14:paraId="66C5F5B5" w14:textId="77777777" w:rsidR="00F30111" w:rsidRPr="00D074B3" w:rsidRDefault="008E3A73" w:rsidP="00F30111">
            <w:pPr>
              <w:rPr>
                <w:rFonts w:cs="Arial"/>
              </w:rPr>
            </w:pPr>
            <w:sdt>
              <w:sdtPr>
                <w:rPr>
                  <w:rFonts w:cs="Arial"/>
                  <w:szCs w:val="20"/>
                </w:rPr>
                <w:id w:val="-1737006695"/>
                <w14:checkbox>
                  <w14:checked w14:val="0"/>
                  <w14:checkedState w14:val="2612" w14:font="MS Gothic"/>
                  <w14:uncheckedState w14:val="2610" w14:font="MS Gothic"/>
                </w14:checkbox>
              </w:sdtPr>
              <w:sdtEndPr/>
              <w:sdtContent>
                <w:r w:rsidR="00F30111" w:rsidRPr="00D074B3">
                  <w:rPr>
                    <w:rFonts w:ascii="MS Gothic" w:eastAsia="MS Gothic" w:hAnsi="MS Gothic" w:cs="Arial" w:hint="eastAsia"/>
                    <w:szCs w:val="20"/>
                  </w:rPr>
                  <w:t>☐</w:t>
                </w:r>
              </w:sdtContent>
            </w:sdt>
            <w:r w:rsidR="00F30111" w:rsidRPr="00D074B3">
              <w:rPr>
                <w:rFonts w:cs="Arial"/>
                <w:szCs w:val="20"/>
              </w:rPr>
              <w:t xml:space="preserve"> 20 Working Days</w:t>
            </w:r>
          </w:p>
        </w:tc>
        <w:tc>
          <w:tcPr>
            <w:tcW w:w="1888" w:type="pct"/>
            <w:vAlign w:val="center"/>
          </w:tcPr>
          <w:p w14:paraId="66C5F5B6" w14:textId="3A7C452F" w:rsidR="00F30111" w:rsidRPr="00D074B3" w:rsidRDefault="008E3A73" w:rsidP="00F30111">
            <w:pPr>
              <w:rPr>
                <w:rFonts w:cs="Arial"/>
              </w:rPr>
            </w:pPr>
            <w:sdt>
              <w:sdtPr>
                <w:rPr>
                  <w:rFonts w:cs="Arial"/>
                  <w:szCs w:val="20"/>
                </w:rPr>
                <w:id w:val="2101670758"/>
                <w14:checkbox>
                  <w14:checked w14:val="0"/>
                  <w14:checkedState w14:val="2612" w14:font="MS Gothic"/>
                  <w14:uncheckedState w14:val="2610" w14:font="MS Gothic"/>
                </w14:checkbox>
              </w:sdtPr>
              <w:sdtEndPr/>
              <w:sdtContent>
                <w:r w:rsidR="00F30111" w:rsidRPr="00D074B3">
                  <w:rPr>
                    <w:rFonts w:ascii="MS Gothic" w:eastAsia="MS Gothic" w:hAnsi="MS Gothic" w:cs="Arial" w:hint="eastAsia"/>
                    <w:szCs w:val="20"/>
                  </w:rPr>
                  <w:t>☐</w:t>
                </w:r>
              </w:sdtContent>
            </w:sdt>
            <w:r w:rsidR="00F30111" w:rsidRPr="00D074B3">
              <w:rPr>
                <w:rFonts w:cs="Arial"/>
                <w:szCs w:val="20"/>
              </w:rPr>
              <w:t xml:space="preserve"> Other </w:t>
            </w:r>
            <w:r w:rsidR="00485E77" w:rsidRPr="00D074B3">
              <w:rPr>
                <w:rFonts w:cs="Arial"/>
              </w:rPr>
              <w:t>[</w:t>
            </w:r>
            <w:r w:rsidR="00367BC0" w:rsidRPr="00D074B3">
              <w:rPr>
                <w:rFonts w:cs="Arial"/>
              </w:rPr>
              <w:t>write specific here</w:t>
            </w:r>
            <w:r w:rsidR="00485E77" w:rsidRPr="00D074B3">
              <w:rPr>
                <w:rFonts w:cs="Arial"/>
              </w:rPr>
              <w:t>]</w:t>
            </w:r>
          </w:p>
        </w:tc>
      </w:tr>
    </w:tbl>
    <w:p w14:paraId="66C5F5B8" w14:textId="77777777" w:rsidR="00156FD9" w:rsidRDefault="00156FD9" w:rsidP="00156FD9">
      <w:pPr>
        <w:pStyle w:val="Heading1"/>
      </w:pPr>
      <w:r>
        <w:t xml:space="preserve">A4: </w:t>
      </w:r>
      <w:r w:rsidRPr="00156FD9">
        <w:t>Benefits and Justification</w:t>
      </w:r>
    </w:p>
    <w:tbl>
      <w:tblPr>
        <w:tblStyle w:val="TableGrid"/>
        <w:tblW w:w="5018" w:type="pct"/>
        <w:tblInd w:w="-34" w:type="dxa"/>
        <w:tblLayout w:type="fixed"/>
        <w:tblLook w:val="04A0" w:firstRow="1" w:lastRow="0" w:firstColumn="1" w:lastColumn="0" w:noHBand="0" w:noVBand="1"/>
      </w:tblPr>
      <w:tblGrid>
        <w:gridCol w:w="2215"/>
        <w:gridCol w:w="6833"/>
      </w:tblGrid>
      <w:tr w:rsidR="00ED6D3A" w:rsidRPr="00BC3CAC" w14:paraId="66C5F5BB" w14:textId="77777777" w:rsidTr="007855B1">
        <w:trPr>
          <w:trHeight w:val="850"/>
        </w:trPr>
        <w:tc>
          <w:tcPr>
            <w:tcW w:w="1224" w:type="pct"/>
            <w:vMerge w:val="restart"/>
            <w:shd w:val="clear" w:color="auto" w:fill="FDE4BA" w:themeFill="accent6" w:themeFillTint="66"/>
            <w:vAlign w:val="center"/>
          </w:tcPr>
          <w:p w14:paraId="66C5F5B9" w14:textId="77777777" w:rsidR="00ED6D3A" w:rsidRPr="00470388" w:rsidRDefault="00ED6D3A" w:rsidP="00ED6D3A">
            <w:pPr>
              <w:jc w:val="right"/>
              <w:rPr>
                <w:rFonts w:cs="Arial"/>
                <w:szCs w:val="20"/>
              </w:rPr>
            </w:pPr>
            <w:r w:rsidRPr="007855B1">
              <w:rPr>
                <w:rFonts w:cs="Arial"/>
                <w:szCs w:val="20"/>
              </w:rPr>
              <w:t>Benefit Description</w:t>
            </w:r>
            <w:r>
              <w:rPr>
                <w:rFonts w:cs="Arial"/>
                <w:szCs w:val="20"/>
              </w:rPr>
              <w:t>:</w:t>
            </w:r>
          </w:p>
        </w:tc>
        <w:tc>
          <w:tcPr>
            <w:tcW w:w="3776" w:type="pct"/>
            <w:vAlign w:val="center"/>
          </w:tcPr>
          <w:p w14:paraId="793393C4" w14:textId="77777777" w:rsidR="00911BFF" w:rsidRDefault="00911BFF" w:rsidP="00F9062D">
            <w:pPr>
              <w:rPr>
                <w:rFonts w:cs="Arial"/>
              </w:rPr>
            </w:pPr>
            <w:r>
              <w:rPr>
                <w:rFonts w:cs="Arial"/>
              </w:rPr>
              <w:t xml:space="preserve">The current process means that Shippers can only remove Settlement Performance Obligations or reduce Transportation Costs for vacant sites by submitting meter readings which is difficult to achieve when a site is unoccupied. </w:t>
            </w:r>
          </w:p>
          <w:p w14:paraId="2CBA5FE0" w14:textId="77777777" w:rsidR="00911BFF" w:rsidRDefault="00911BFF" w:rsidP="00F9062D">
            <w:pPr>
              <w:rPr>
                <w:rFonts w:cs="Arial"/>
              </w:rPr>
            </w:pPr>
          </w:p>
          <w:p w14:paraId="0007734C" w14:textId="7CEAF775" w:rsidR="0087332D" w:rsidRDefault="00911BFF" w:rsidP="00F9062D">
            <w:pPr>
              <w:rPr>
                <w:rFonts w:cs="Arial"/>
              </w:rPr>
            </w:pPr>
            <w:r>
              <w:rPr>
                <w:rFonts w:cs="Arial"/>
              </w:rPr>
              <w:t xml:space="preserve">Modification 0819 would create a new process by which Shippers could set a </w:t>
            </w:r>
            <w:r w:rsidR="00285904">
              <w:rPr>
                <w:rFonts w:cs="Arial"/>
              </w:rPr>
              <w:t>SMP</w:t>
            </w:r>
            <w:r>
              <w:rPr>
                <w:rFonts w:cs="Arial"/>
              </w:rPr>
              <w:t xml:space="preserve"> to vacant status if a </w:t>
            </w:r>
            <w:r w:rsidR="00EB7C9C">
              <w:rPr>
                <w:rFonts w:cs="Arial"/>
              </w:rPr>
              <w:t>specific criterion</w:t>
            </w:r>
            <w:r>
              <w:rPr>
                <w:rFonts w:cs="Arial"/>
              </w:rPr>
              <w:t xml:space="preserve"> is met</w:t>
            </w:r>
            <w:r w:rsidR="00081AB5">
              <w:rPr>
                <w:rFonts w:cs="Arial"/>
              </w:rPr>
              <w:t>,</w:t>
            </w:r>
            <w:r>
              <w:rPr>
                <w:rFonts w:cs="Arial"/>
              </w:rPr>
              <w:t xml:space="preserve"> allowing the Shipper to access </w:t>
            </w:r>
            <w:r w:rsidR="00285904">
              <w:rPr>
                <w:rFonts w:cs="Arial"/>
              </w:rPr>
              <w:t>C</w:t>
            </w:r>
            <w:r>
              <w:rPr>
                <w:rFonts w:cs="Arial"/>
              </w:rPr>
              <w:t>ommodity relief</w:t>
            </w:r>
            <w:r w:rsidR="001A6C5D">
              <w:rPr>
                <w:rFonts w:cs="Arial"/>
              </w:rPr>
              <w:t xml:space="preserve"> immediately</w:t>
            </w:r>
            <w:r>
              <w:rPr>
                <w:rFonts w:cs="Arial"/>
              </w:rPr>
              <w:t xml:space="preserve"> and </w:t>
            </w:r>
            <w:r w:rsidR="00285904">
              <w:rPr>
                <w:rFonts w:cs="Arial"/>
              </w:rPr>
              <w:t>C</w:t>
            </w:r>
            <w:r>
              <w:rPr>
                <w:rFonts w:cs="Arial"/>
              </w:rPr>
              <w:t xml:space="preserve">apacity relief </w:t>
            </w:r>
            <w:r w:rsidR="0010135A">
              <w:rPr>
                <w:rFonts w:cs="Arial"/>
              </w:rPr>
              <w:t>after 12 months</w:t>
            </w:r>
            <w:r w:rsidR="00081AB5">
              <w:rPr>
                <w:rFonts w:cs="Arial"/>
              </w:rPr>
              <w:t>.</w:t>
            </w:r>
            <w:r>
              <w:rPr>
                <w:rFonts w:cs="Arial"/>
              </w:rPr>
              <w:t xml:space="preserve"> </w:t>
            </w:r>
          </w:p>
          <w:p w14:paraId="55A7E9F2" w14:textId="77777777" w:rsidR="0010135A" w:rsidRDefault="0010135A" w:rsidP="00F9062D">
            <w:pPr>
              <w:rPr>
                <w:rFonts w:cs="Arial"/>
              </w:rPr>
            </w:pPr>
          </w:p>
          <w:p w14:paraId="66C5F5BA" w14:textId="5D243AA3" w:rsidR="0010135A" w:rsidRPr="00F9062D" w:rsidRDefault="00285904" w:rsidP="00F9062D">
            <w:pPr>
              <w:rPr>
                <w:rFonts w:cs="Arial"/>
              </w:rPr>
            </w:pPr>
            <w:r>
              <w:rPr>
                <w:rFonts w:cs="Arial"/>
              </w:rPr>
              <w:t>As stated within Modification 0819, t</w:t>
            </w:r>
            <w:r w:rsidR="0010135A">
              <w:rPr>
                <w:rFonts w:cs="Arial"/>
              </w:rPr>
              <w:t>his</w:t>
            </w:r>
            <w:r w:rsidR="00081AB5">
              <w:rPr>
                <w:rFonts w:cs="Arial"/>
              </w:rPr>
              <w:t xml:space="preserve"> may </w:t>
            </w:r>
            <w:r w:rsidR="00493EBD">
              <w:rPr>
                <w:rFonts w:cs="Arial"/>
              </w:rPr>
              <w:t>reduce the upfront costs to Shippers which</w:t>
            </w:r>
            <w:r w:rsidR="0092094A">
              <w:rPr>
                <w:rFonts w:cs="Arial"/>
              </w:rPr>
              <w:t xml:space="preserve"> may </w:t>
            </w:r>
            <w:r w:rsidR="00493EBD">
              <w:rPr>
                <w:rFonts w:cs="Arial"/>
              </w:rPr>
              <w:t xml:space="preserve">be particularly useful to smaller market participants who may not have access to large amounts of cashflow, promoting market competition. </w:t>
            </w:r>
          </w:p>
        </w:tc>
      </w:tr>
      <w:tr w:rsidR="00ED6D3A" w:rsidRPr="00BC3CAC" w14:paraId="66C5F5BE" w14:textId="77777777" w:rsidTr="007855B1">
        <w:trPr>
          <w:trHeight w:val="403"/>
        </w:trPr>
        <w:tc>
          <w:tcPr>
            <w:tcW w:w="1224" w:type="pct"/>
            <w:vMerge/>
            <w:shd w:val="clear" w:color="auto" w:fill="FDE4BA" w:themeFill="accent6" w:themeFillTint="66"/>
            <w:vAlign w:val="center"/>
          </w:tcPr>
          <w:p w14:paraId="66C5F5BC" w14:textId="77777777" w:rsidR="00ED6D3A" w:rsidRPr="007855B1" w:rsidRDefault="00ED6D3A" w:rsidP="00ED6D3A">
            <w:pPr>
              <w:jc w:val="right"/>
              <w:rPr>
                <w:rFonts w:cs="Arial"/>
                <w:szCs w:val="20"/>
              </w:rPr>
            </w:pPr>
          </w:p>
        </w:tc>
        <w:tc>
          <w:tcPr>
            <w:tcW w:w="3776" w:type="pct"/>
            <w:vAlign w:val="center"/>
          </w:tcPr>
          <w:p w14:paraId="66C5F5BD" w14:textId="77777777" w:rsidR="00ED6D3A" w:rsidRPr="00BC3CAC" w:rsidRDefault="00ED6D3A" w:rsidP="00ED6D3A">
            <w:pPr>
              <w:rPr>
                <w:rFonts w:cs="Arial"/>
              </w:rPr>
            </w:pPr>
            <w:r w:rsidRPr="007855B1">
              <w:rPr>
                <w:rFonts w:cs="Arial"/>
                <w:i/>
                <w:color w:val="3E5AA8" w:themeColor="accent1"/>
                <w:sz w:val="18"/>
                <w:szCs w:val="16"/>
              </w:rPr>
              <w:t xml:space="preserve">What, if any, are the tangible benefits of introducing this change? </w:t>
            </w:r>
            <w:r>
              <w:rPr>
                <w:rFonts w:cs="Arial"/>
                <w:i/>
                <w:color w:val="3E5AA8" w:themeColor="accent1"/>
                <w:sz w:val="18"/>
                <w:szCs w:val="16"/>
              </w:rPr>
              <w:t xml:space="preserve"> </w:t>
            </w:r>
            <w:r w:rsidRPr="007855B1">
              <w:rPr>
                <w:rFonts w:cs="Arial"/>
                <w:i/>
                <w:color w:val="3E5AA8" w:themeColor="accent1"/>
                <w:sz w:val="18"/>
                <w:szCs w:val="16"/>
              </w:rPr>
              <w:t>What, if any, are the intangible benefits of introducing this change?</w:t>
            </w:r>
          </w:p>
        </w:tc>
      </w:tr>
      <w:tr w:rsidR="00084C47" w:rsidRPr="00BC3CAC" w14:paraId="66C5F5C1" w14:textId="77777777" w:rsidTr="007855B1">
        <w:trPr>
          <w:trHeight w:val="850"/>
        </w:trPr>
        <w:tc>
          <w:tcPr>
            <w:tcW w:w="1224" w:type="pct"/>
            <w:vMerge w:val="restart"/>
            <w:shd w:val="clear" w:color="auto" w:fill="FDE4BA" w:themeFill="accent6" w:themeFillTint="66"/>
            <w:vAlign w:val="center"/>
          </w:tcPr>
          <w:p w14:paraId="66C5F5BF" w14:textId="77777777" w:rsidR="00084C47" w:rsidRDefault="00084C47" w:rsidP="00084C47">
            <w:pPr>
              <w:jc w:val="right"/>
              <w:rPr>
                <w:rFonts w:cs="Arial"/>
                <w:szCs w:val="20"/>
              </w:rPr>
            </w:pPr>
            <w:r w:rsidRPr="007855B1">
              <w:rPr>
                <w:rFonts w:cs="Arial"/>
                <w:szCs w:val="20"/>
              </w:rPr>
              <w:t>Benefit Realisation</w:t>
            </w:r>
            <w:r>
              <w:rPr>
                <w:rFonts w:cs="Arial"/>
                <w:szCs w:val="20"/>
              </w:rPr>
              <w:t>:</w:t>
            </w:r>
          </w:p>
        </w:tc>
        <w:tc>
          <w:tcPr>
            <w:tcW w:w="3776" w:type="pct"/>
            <w:vAlign w:val="center"/>
          </w:tcPr>
          <w:p w14:paraId="03A0F412" w14:textId="79DFCA90" w:rsidR="00084C47" w:rsidRPr="00985B4B" w:rsidRDefault="000370C8" w:rsidP="00084C47">
            <w:pPr>
              <w:rPr>
                <w:rFonts w:cs="Arial"/>
              </w:rPr>
            </w:pPr>
            <w:r w:rsidRPr="00985B4B">
              <w:rPr>
                <w:rFonts w:cs="Arial"/>
              </w:rPr>
              <w:t xml:space="preserve">The </w:t>
            </w:r>
            <w:r w:rsidR="0084440B" w:rsidRPr="00985B4B">
              <w:rPr>
                <w:rFonts w:cs="Arial"/>
              </w:rPr>
              <w:t>F</w:t>
            </w:r>
            <w:r w:rsidRPr="00985B4B">
              <w:rPr>
                <w:rFonts w:cs="Arial"/>
              </w:rPr>
              <w:t xml:space="preserve">inal </w:t>
            </w:r>
            <w:r w:rsidR="00A70156" w:rsidRPr="00985B4B">
              <w:rPr>
                <w:rFonts w:cs="Arial"/>
              </w:rPr>
              <w:t xml:space="preserve">Modification </w:t>
            </w:r>
            <w:r w:rsidR="0084440B" w:rsidRPr="00985B4B">
              <w:rPr>
                <w:rFonts w:cs="Arial"/>
              </w:rPr>
              <w:t>R</w:t>
            </w:r>
            <w:r w:rsidRPr="00985B4B">
              <w:rPr>
                <w:rFonts w:cs="Arial"/>
              </w:rPr>
              <w:t xml:space="preserve">eport is </w:t>
            </w:r>
            <w:r w:rsidR="00BD7864" w:rsidRPr="00985B4B">
              <w:rPr>
                <w:rFonts w:cs="Arial"/>
              </w:rPr>
              <w:t xml:space="preserve">expected </w:t>
            </w:r>
            <w:r w:rsidR="00A70156" w:rsidRPr="00985B4B">
              <w:rPr>
                <w:rFonts w:cs="Arial"/>
              </w:rPr>
              <w:t xml:space="preserve">to be issued to Ofgem </w:t>
            </w:r>
            <w:r w:rsidR="00BD7864" w:rsidRPr="00985B4B">
              <w:rPr>
                <w:rFonts w:cs="Arial"/>
              </w:rPr>
              <w:t xml:space="preserve">in </w:t>
            </w:r>
            <w:r w:rsidR="00832BEF" w:rsidRPr="00985B4B">
              <w:rPr>
                <w:rFonts w:cs="Arial"/>
              </w:rPr>
              <w:t xml:space="preserve">the second quarter of this year. </w:t>
            </w:r>
          </w:p>
          <w:p w14:paraId="719DB503" w14:textId="00FB562C" w:rsidR="00A70156" w:rsidRPr="00985B4B" w:rsidRDefault="00A70156" w:rsidP="00084C47">
            <w:pPr>
              <w:rPr>
                <w:rFonts w:cs="Arial"/>
              </w:rPr>
            </w:pPr>
          </w:p>
          <w:p w14:paraId="45257561" w14:textId="2B1309F6" w:rsidR="000370C8" w:rsidRPr="00985B4B" w:rsidRDefault="00BD7864" w:rsidP="00985B4B">
            <w:pPr>
              <w:rPr>
                <w:rFonts w:cs="Arial"/>
              </w:rPr>
            </w:pPr>
            <w:r w:rsidRPr="00985B4B">
              <w:rPr>
                <w:rFonts w:cs="Arial"/>
              </w:rPr>
              <w:t>I</w:t>
            </w:r>
            <w:r w:rsidR="00EE2A81" w:rsidRPr="00985B4B">
              <w:rPr>
                <w:rFonts w:cs="Arial"/>
              </w:rPr>
              <w:t>n the event of an</w:t>
            </w:r>
            <w:r w:rsidRPr="00985B4B">
              <w:rPr>
                <w:rFonts w:cs="Arial"/>
              </w:rPr>
              <w:t xml:space="preserve"> </w:t>
            </w:r>
            <w:r w:rsidR="000370C8" w:rsidRPr="00985B4B">
              <w:rPr>
                <w:rFonts w:cs="Arial"/>
              </w:rPr>
              <w:t>Ofgem d</w:t>
            </w:r>
            <w:r w:rsidR="00EE2A81" w:rsidRPr="00985B4B">
              <w:rPr>
                <w:rFonts w:cs="Arial"/>
              </w:rPr>
              <w:t xml:space="preserve">irection to implement the </w:t>
            </w:r>
            <w:r w:rsidR="00285904">
              <w:rPr>
                <w:rFonts w:cs="Arial"/>
              </w:rPr>
              <w:t>Modification,</w:t>
            </w:r>
            <w:r w:rsidR="000370C8" w:rsidRPr="00985B4B">
              <w:rPr>
                <w:rFonts w:cs="Arial"/>
              </w:rPr>
              <w:t xml:space="preserve"> </w:t>
            </w:r>
            <w:r w:rsidR="006B1D05" w:rsidRPr="00985B4B">
              <w:rPr>
                <w:rFonts w:cs="Arial"/>
              </w:rPr>
              <w:t xml:space="preserve">the CDSP </w:t>
            </w:r>
            <w:r w:rsidR="000370C8" w:rsidRPr="00985B4B">
              <w:rPr>
                <w:rFonts w:cs="Arial"/>
              </w:rPr>
              <w:t xml:space="preserve">would be expected to </w:t>
            </w:r>
            <w:r w:rsidR="00985B4B" w:rsidRPr="00985B4B">
              <w:rPr>
                <w:rFonts w:cs="Arial"/>
              </w:rPr>
              <w:t xml:space="preserve">include this change in a release as soon as reasonably practicable. </w:t>
            </w:r>
          </w:p>
          <w:p w14:paraId="66C5F5C0" w14:textId="76A91982" w:rsidR="00A70156" w:rsidRPr="00985B4B" w:rsidRDefault="00A70156" w:rsidP="00084C47">
            <w:pPr>
              <w:rPr>
                <w:rFonts w:cs="Arial"/>
              </w:rPr>
            </w:pPr>
          </w:p>
        </w:tc>
      </w:tr>
      <w:tr w:rsidR="00084C47" w:rsidRPr="00BC3CAC" w14:paraId="66C5F5C4" w14:textId="77777777" w:rsidTr="006B18D0">
        <w:trPr>
          <w:trHeight w:val="70"/>
        </w:trPr>
        <w:tc>
          <w:tcPr>
            <w:tcW w:w="1224" w:type="pct"/>
            <w:vMerge/>
            <w:shd w:val="clear" w:color="auto" w:fill="FDE4BA" w:themeFill="accent6" w:themeFillTint="66"/>
            <w:vAlign w:val="center"/>
          </w:tcPr>
          <w:p w14:paraId="66C5F5C2" w14:textId="77777777" w:rsidR="00084C47" w:rsidRPr="007855B1" w:rsidRDefault="00084C47" w:rsidP="00084C47">
            <w:pPr>
              <w:jc w:val="right"/>
              <w:rPr>
                <w:rFonts w:cs="Arial"/>
                <w:szCs w:val="20"/>
              </w:rPr>
            </w:pPr>
          </w:p>
        </w:tc>
        <w:tc>
          <w:tcPr>
            <w:tcW w:w="3776" w:type="pct"/>
            <w:vAlign w:val="center"/>
          </w:tcPr>
          <w:p w14:paraId="66C5F5C3" w14:textId="77777777" w:rsidR="00084C47" w:rsidRPr="00BC3CAC" w:rsidRDefault="00084C47" w:rsidP="00084C47">
            <w:pPr>
              <w:rPr>
                <w:rFonts w:cs="Arial"/>
              </w:rPr>
            </w:pPr>
            <w:r w:rsidRPr="007855B1">
              <w:rPr>
                <w:rFonts w:cs="Arial"/>
                <w:i/>
                <w:color w:val="3E5AA8" w:themeColor="accent1"/>
                <w:sz w:val="18"/>
                <w:szCs w:val="16"/>
              </w:rPr>
              <w:t>When are the benefits of the change likely to be realised?</w:t>
            </w:r>
          </w:p>
        </w:tc>
      </w:tr>
      <w:tr w:rsidR="00084C47" w:rsidRPr="00BC3CAC" w14:paraId="66C5F5C7" w14:textId="77777777" w:rsidTr="007855B1">
        <w:trPr>
          <w:trHeight w:val="850"/>
        </w:trPr>
        <w:tc>
          <w:tcPr>
            <w:tcW w:w="1224" w:type="pct"/>
            <w:vMerge w:val="restart"/>
            <w:shd w:val="clear" w:color="auto" w:fill="FDE4BA" w:themeFill="accent6" w:themeFillTint="66"/>
            <w:vAlign w:val="center"/>
          </w:tcPr>
          <w:p w14:paraId="66C5F5C5" w14:textId="77777777" w:rsidR="00084C47" w:rsidRDefault="00084C47" w:rsidP="00084C47">
            <w:pPr>
              <w:jc w:val="right"/>
              <w:rPr>
                <w:rFonts w:cs="Arial"/>
                <w:szCs w:val="20"/>
              </w:rPr>
            </w:pPr>
            <w:r w:rsidRPr="007855B1">
              <w:rPr>
                <w:rFonts w:cs="Arial"/>
                <w:szCs w:val="20"/>
              </w:rPr>
              <w:lastRenderedPageBreak/>
              <w:t>Benefit Dependencies</w:t>
            </w:r>
            <w:r>
              <w:rPr>
                <w:rFonts w:cs="Arial"/>
                <w:szCs w:val="20"/>
              </w:rPr>
              <w:t>:</w:t>
            </w:r>
          </w:p>
        </w:tc>
        <w:tc>
          <w:tcPr>
            <w:tcW w:w="3776" w:type="pct"/>
            <w:vAlign w:val="center"/>
          </w:tcPr>
          <w:p w14:paraId="031E938B" w14:textId="46B8E0DD" w:rsidR="006B1D05" w:rsidRPr="00985B4B" w:rsidRDefault="006B1D05" w:rsidP="00084C47">
            <w:pPr>
              <w:rPr>
                <w:rFonts w:cs="Arial"/>
              </w:rPr>
            </w:pPr>
            <w:r w:rsidRPr="00985B4B">
              <w:rPr>
                <w:rFonts w:cs="Arial"/>
              </w:rPr>
              <w:t>Modification 081</w:t>
            </w:r>
            <w:r w:rsidR="00985B4B" w:rsidRPr="00985B4B">
              <w:rPr>
                <w:rFonts w:cs="Arial"/>
              </w:rPr>
              <w:t>9</w:t>
            </w:r>
            <w:r w:rsidRPr="00985B4B">
              <w:rPr>
                <w:rFonts w:cs="Arial"/>
              </w:rPr>
              <w:t xml:space="preserve"> is Authority </w:t>
            </w:r>
            <w:r w:rsidR="00452B9E" w:rsidRPr="00985B4B">
              <w:rPr>
                <w:rFonts w:cs="Arial"/>
              </w:rPr>
              <w:t xml:space="preserve">Decision </w:t>
            </w:r>
            <w:r w:rsidRPr="00985B4B">
              <w:rPr>
                <w:rFonts w:cs="Arial"/>
              </w:rPr>
              <w:t xml:space="preserve">which means it will be approved or rejected by Ofgem. </w:t>
            </w:r>
            <w:r w:rsidR="00210BC5" w:rsidRPr="00985B4B">
              <w:rPr>
                <w:rFonts w:cs="Arial"/>
              </w:rPr>
              <w:t>If</w:t>
            </w:r>
            <w:r w:rsidRPr="00985B4B">
              <w:rPr>
                <w:rFonts w:cs="Arial"/>
              </w:rPr>
              <w:t xml:space="preserve"> approv</w:t>
            </w:r>
            <w:r w:rsidR="00210BC5" w:rsidRPr="00985B4B">
              <w:rPr>
                <w:rFonts w:cs="Arial"/>
              </w:rPr>
              <w:t>ed</w:t>
            </w:r>
            <w:r w:rsidR="00985B4B">
              <w:rPr>
                <w:rFonts w:cs="Arial"/>
              </w:rPr>
              <w:t>,</w:t>
            </w:r>
            <w:r w:rsidRPr="00985B4B">
              <w:rPr>
                <w:rFonts w:cs="Arial"/>
              </w:rPr>
              <w:t xml:space="preserve"> </w:t>
            </w:r>
            <w:r w:rsidR="00985B4B">
              <w:rPr>
                <w:rFonts w:cs="Arial"/>
              </w:rPr>
              <w:t>the CDSP would be expected to include this change in a release as soon as reasonably practicable.</w:t>
            </w:r>
          </w:p>
          <w:p w14:paraId="66C5F5C6" w14:textId="7F4BBDDE" w:rsidR="003900AC" w:rsidRDefault="003900AC">
            <w:pPr>
              <w:rPr>
                <w:rFonts w:cs="Arial"/>
              </w:rPr>
            </w:pPr>
          </w:p>
        </w:tc>
      </w:tr>
      <w:tr w:rsidR="00084C47" w:rsidRPr="00BC3CAC" w14:paraId="66C5F5CA" w14:textId="77777777" w:rsidTr="007855B1">
        <w:trPr>
          <w:trHeight w:val="403"/>
        </w:trPr>
        <w:tc>
          <w:tcPr>
            <w:tcW w:w="1224" w:type="pct"/>
            <w:vMerge/>
            <w:shd w:val="clear" w:color="auto" w:fill="FDE4BA" w:themeFill="accent6" w:themeFillTint="66"/>
            <w:vAlign w:val="center"/>
          </w:tcPr>
          <w:p w14:paraId="66C5F5C8" w14:textId="77777777" w:rsidR="00084C47" w:rsidRPr="007855B1" w:rsidRDefault="00084C47" w:rsidP="00084C47">
            <w:pPr>
              <w:jc w:val="right"/>
              <w:rPr>
                <w:rFonts w:cs="Arial"/>
                <w:szCs w:val="20"/>
              </w:rPr>
            </w:pPr>
          </w:p>
        </w:tc>
        <w:tc>
          <w:tcPr>
            <w:tcW w:w="3776" w:type="pct"/>
            <w:vAlign w:val="center"/>
          </w:tcPr>
          <w:p w14:paraId="66C5F5C9" w14:textId="77777777" w:rsidR="00084C47" w:rsidRDefault="00084C47" w:rsidP="00084C47">
            <w:pPr>
              <w:rPr>
                <w:rFonts w:cs="Arial"/>
              </w:rPr>
            </w:pPr>
            <w:r w:rsidRPr="007855B1">
              <w:rPr>
                <w:rFonts w:cs="Arial"/>
                <w:i/>
                <w:color w:val="3E5AA8" w:themeColor="accent1"/>
                <w:sz w:val="18"/>
                <w:szCs w:val="16"/>
              </w:rPr>
              <w:t>Please detail any dependencies that would be outside the scope of the change, this could be reliance on another delivery, reliance on some other event that the projects has not got direct control of.</w:t>
            </w:r>
          </w:p>
        </w:tc>
      </w:tr>
    </w:tbl>
    <w:p w14:paraId="66C5F5CB" w14:textId="77777777" w:rsidR="007A2F99" w:rsidRDefault="00156FD9" w:rsidP="00156FD9">
      <w:pPr>
        <w:pStyle w:val="Heading1"/>
      </w:pPr>
      <w:r>
        <w:t xml:space="preserve">A5: </w:t>
      </w:r>
      <w:r w:rsidRPr="00156FD9">
        <w:t>Final Delivery Sub-Group (DSG) Recommendations</w:t>
      </w:r>
      <w:r w:rsidR="007A2F99">
        <w:t xml:space="preserve"> – Removed </w:t>
      </w:r>
      <w:r w:rsidR="007A2F99" w:rsidRPr="007A2F99">
        <w:rPr>
          <w:b w:val="0"/>
          <w:color w:val="auto"/>
          <w:sz w:val="22"/>
        </w:rPr>
        <w:t>(see Section C for DSG recommendations)</w:t>
      </w:r>
    </w:p>
    <w:p w14:paraId="66C5F5CC" w14:textId="77777777" w:rsidR="00156FD9" w:rsidRDefault="00156FD9" w:rsidP="00156FD9">
      <w:pPr>
        <w:pStyle w:val="Heading1"/>
      </w:pPr>
      <w:r>
        <w:t xml:space="preserve">A6: </w:t>
      </w:r>
      <w:r w:rsidR="00EA56F6">
        <w:t xml:space="preserve">Service Lines and </w:t>
      </w:r>
      <w:r>
        <w:t>Funding</w:t>
      </w:r>
    </w:p>
    <w:tbl>
      <w:tblPr>
        <w:tblStyle w:val="TableGrid"/>
        <w:tblW w:w="5019" w:type="pct"/>
        <w:tblInd w:w="-34" w:type="dxa"/>
        <w:tblLayout w:type="fixed"/>
        <w:tblLook w:val="04A0" w:firstRow="1" w:lastRow="0" w:firstColumn="1" w:lastColumn="0" w:noHBand="0" w:noVBand="1"/>
      </w:tblPr>
      <w:tblGrid>
        <w:gridCol w:w="2212"/>
        <w:gridCol w:w="3459"/>
        <w:gridCol w:w="1520"/>
        <w:gridCol w:w="1859"/>
      </w:tblGrid>
      <w:tr w:rsidR="008E6888" w:rsidRPr="00BC3CAC" w14:paraId="66C5F5CF" w14:textId="77777777" w:rsidTr="00212B1C">
        <w:trPr>
          <w:trHeight w:val="403"/>
        </w:trPr>
        <w:tc>
          <w:tcPr>
            <w:tcW w:w="1222" w:type="pct"/>
            <w:shd w:val="clear" w:color="auto" w:fill="B2ECFB" w:themeFill="accent5" w:themeFillTint="66"/>
            <w:vAlign w:val="center"/>
          </w:tcPr>
          <w:p w14:paraId="66C5F5CD" w14:textId="77777777" w:rsidR="008E6888" w:rsidRPr="00B11FE6" w:rsidRDefault="008E6888" w:rsidP="00112A91">
            <w:pPr>
              <w:jc w:val="right"/>
              <w:rPr>
                <w:rFonts w:cs="Arial"/>
                <w:szCs w:val="20"/>
              </w:rPr>
            </w:pPr>
            <w:r>
              <w:rPr>
                <w:rFonts w:cs="Arial"/>
                <w:szCs w:val="20"/>
              </w:rPr>
              <w:t>Service Line(s)</w:t>
            </w:r>
            <w:r w:rsidR="005E4C74">
              <w:rPr>
                <w:rFonts w:cs="Arial"/>
                <w:szCs w:val="20"/>
              </w:rPr>
              <w:t xml:space="preserve"> </w:t>
            </w:r>
            <w:r w:rsidR="00046BA6">
              <w:rPr>
                <w:rFonts w:cs="Arial"/>
                <w:szCs w:val="20"/>
              </w:rPr>
              <w:t>Impacted</w:t>
            </w:r>
            <w:r w:rsidR="005E4C74">
              <w:rPr>
                <w:rFonts w:cs="Arial"/>
                <w:szCs w:val="20"/>
              </w:rPr>
              <w:t xml:space="preserve"> - New or existing</w:t>
            </w:r>
            <w:r w:rsidR="00112A91">
              <w:rPr>
                <w:rFonts w:cs="Arial"/>
                <w:szCs w:val="20"/>
              </w:rPr>
              <w:t xml:space="preserve"> </w:t>
            </w:r>
          </w:p>
        </w:tc>
        <w:tc>
          <w:tcPr>
            <w:tcW w:w="3778" w:type="pct"/>
            <w:gridSpan w:val="3"/>
            <w:vAlign w:val="center"/>
          </w:tcPr>
          <w:p w14:paraId="3DB7BE67" w14:textId="4D3C2B5E" w:rsidR="000564D7" w:rsidRPr="008E3A73" w:rsidRDefault="000564D7" w:rsidP="000564D7">
            <w:pPr>
              <w:spacing w:after="200" w:line="276" w:lineRule="auto"/>
              <w:rPr>
                <w:rFonts w:cs="Arial"/>
                <w:iCs/>
                <w:szCs w:val="24"/>
              </w:rPr>
            </w:pPr>
            <w:r w:rsidRPr="008E3A73">
              <w:rPr>
                <w:rFonts w:cs="Arial"/>
                <w:iCs/>
                <w:szCs w:val="24"/>
              </w:rPr>
              <w:t>From an initial consideration of the DSC Service Line impact</w:t>
            </w:r>
            <w:r w:rsidR="007C325F" w:rsidRPr="008E3A73">
              <w:rPr>
                <w:rFonts w:cs="Arial"/>
                <w:iCs/>
                <w:szCs w:val="24"/>
              </w:rPr>
              <w:t>s</w:t>
            </w:r>
            <w:r w:rsidRPr="008E3A73">
              <w:rPr>
                <w:rFonts w:cs="Arial"/>
                <w:iCs/>
                <w:szCs w:val="24"/>
              </w:rPr>
              <w:t xml:space="preserve">, the Service Area(s) which these processes could come under are currently unknown.  </w:t>
            </w:r>
          </w:p>
          <w:p w14:paraId="1A3AACED" w14:textId="4D104AB0" w:rsidR="00F90DB7" w:rsidRPr="008E3A73" w:rsidRDefault="000564D7" w:rsidP="000564D7">
            <w:pPr>
              <w:jc w:val="both"/>
              <w:rPr>
                <w:rFonts w:cs="Arial"/>
                <w:szCs w:val="24"/>
              </w:rPr>
            </w:pPr>
            <w:r w:rsidRPr="008E3A73">
              <w:rPr>
                <w:rFonts w:cs="Arial"/>
                <w:iCs/>
                <w:szCs w:val="24"/>
              </w:rPr>
              <w:t>There will be new Service Line(s) required to reflect the new processes.</w:t>
            </w:r>
          </w:p>
          <w:p w14:paraId="27693153" w14:textId="6203D116" w:rsidR="006E4BF7" w:rsidRPr="008E3A73" w:rsidRDefault="004003FA" w:rsidP="006E4BF7">
            <w:pPr>
              <w:rPr>
                <w:rFonts w:cs="Arial"/>
                <w:iCs/>
                <w:szCs w:val="24"/>
              </w:rPr>
            </w:pPr>
            <w:r w:rsidRPr="008E3A73">
              <w:rPr>
                <w:rFonts w:cs="Arial"/>
                <w:iCs/>
                <w:szCs w:val="24"/>
              </w:rPr>
              <w:t>P</w:t>
            </w:r>
            <w:r w:rsidR="006E4BF7" w:rsidRPr="008E3A73">
              <w:rPr>
                <w:rFonts w:cs="Arial"/>
                <w:iCs/>
                <w:szCs w:val="24"/>
              </w:rPr>
              <w:t xml:space="preserve">ossible Service Areas the services associated to this proposal could come under have been proposed below.  </w:t>
            </w:r>
          </w:p>
          <w:p w14:paraId="099611FA" w14:textId="77777777" w:rsidR="006E4BF7" w:rsidRPr="008E3A73" w:rsidRDefault="006E4BF7" w:rsidP="006E4BF7">
            <w:pPr>
              <w:numPr>
                <w:ilvl w:val="0"/>
                <w:numId w:val="29"/>
              </w:numPr>
              <w:contextualSpacing/>
              <w:rPr>
                <w:rFonts w:cs="Arial"/>
                <w:iCs/>
                <w:szCs w:val="24"/>
              </w:rPr>
            </w:pPr>
            <w:r w:rsidRPr="008E3A73">
              <w:rPr>
                <w:rFonts w:cs="Arial"/>
                <w:iCs/>
                <w:szCs w:val="24"/>
              </w:rPr>
              <w:t>Service Area 3 – Manage updates to customer portfolio (90% Shipper and 10% DNO)</w:t>
            </w:r>
          </w:p>
          <w:p w14:paraId="5D3C489C" w14:textId="77777777" w:rsidR="006E4BF7" w:rsidRPr="008E3A73" w:rsidRDefault="006E4BF7" w:rsidP="006E4BF7">
            <w:pPr>
              <w:numPr>
                <w:ilvl w:val="0"/>
                <w:numId w:val="29"/>
              </w:numPr>
              <w:contextualSpacing/>
              <w:rPr>
                <w:rFonts w:cs="Arial"/>
                <w:iCs/>
                <w:szCs w:val="24"/>
              </w:rPr>
            </w:pPr>
            <w:r w:rsidRPr="008E3A73">
              <w:rPr>
                <w:rFonts w:cs="Arial"/>
                <w:iCs/>
                <w:szCs w:val="24"/>
              </w:rPr>
              <w:t>Service Area 10 – Invoicing Customers (12% NGT, 88% DNO)</w:t>
            </w:r>
          </w:p>
          <w:p w14:paraId="6CBA69A0" w14:textId="77777777" w:rsidR="006E4BF7" w:rsidRPr="008E3A73" w:rsidRDefault="006E4BF7" w:rsidP="006E4BF7">
            <w:pPr>
              <w:numPr>
                <w:ilvl w:val="0"/>
                <w:numId w:val="29"/>
              </w:numPr>
              <w:contextualSpacing/>
              <w:rPr>
                <w:rFonts w:cs="Arial"/>
                <w:iCs/>
                <w:szCs w:val="24"/>
              </w:rPr>
            </w:pPr>
            <w:r w:rsidRPr="008E3A73">
              <w:rPr>
                <w:rFonts w:cs="Arial"/>
                <w:iCs/>
                <w:szCs w:val="24"/>
              </w:rPr>
              <w:t>Service Area 2 – Monthly AQ Processes (100% Shipper)</w:t>
            </w:r>
          </w:p>
          <w:p w14:paraId="10482E5A" w14:textId="77777777" w:rsidR="00950BAB" w:rsidRPr="008E3A73" w:rsidRDefault="00950BAB" w:rsidP="00D27C79">
            <w:pPr>
              <w:jc w:val="both"/>
              <w:rPr>
                <w:rFonts w:cs="Arial"/>
                <w:szCs w:val="24"/>
              </w:rPr>
            </w:pPr>
          </w:p>
          <w:p w14:paraId="64BB2511" w14:textId="397E9840" w:rsidR="00950BAB" w:rsidRPr="008E3A73" w:rsidRDefault="002979F0" w:rsidP="000564D7">
            <w:pPr>
              <w:jc w:val="both"/>
              <w:rPr>
                <w:rFonts w:cs="Arial"/>
                <w:iCs/>
                <w:szCs w:val="24"/>
              </w:rPr>
            </w:pPr>
            <w:r w:rsidRPr="008E3A73">
              <w:rPr>
                <w:rFonts w:cs="Arial"/>
                <w:iCs/>
                <w:szCs w:val="24"/>
              </w:rPr>
              <w:t>Please note, the funding split as per the Budget and Charging Methodology has been provided with the Service Areas however, the funding split can be proposed as something different when a specific change is raised based on impacted and benefitting parties.</w:t>
            </w:r>
            <w:r w:rsidR="003E7ABA" w:rsidRPr="008E3A73">
              <w:rPr>
                <w:rFonts w:cs="Arial"/>
                <w:iCs/>
                <w:szCs w:val="24"/>
              </w:rPr>
              <w:t>”</w:t>
            </w:r>
          </w:p>
          <w:p w14:paraId="17CAC671" w14:textId="77777777" w:rsidR="004003FA" w:rsidRPr="008E3A73" w:rsidRDefault="004003FA" w:rsidP="000564D7">
            <w:pPr>
              <w:jc w:val="both"/>
              <w:rPr>
                <w:rFonts w:cs="Arial"/>
                <w:iCs/>
                <w:szCs w:val="24"/>
              </w:rPr>
            </w:pPr>
          </w:p>
          <w:p w14:paraId="66C5F5CE" w14:textId="0E90EC1D" w:rsidR="004003FA" w:rsidRPr="008E3A73" w:rsidRDefault="00515B2A" w:rsidP="000564D7">
            <w:pPr>
              <w:jc w:val="both"/>
              <w:rPr>
                <w:rFonts w:cs="Arial"/>
                <w:szCs w:val="24"/>
                <w:u w:val="single"/>
              </w:rPr>
            </w:pPr>
            <w:r w:rsidRPr="008E3A73">
              <w:rPr>
                <w:rFonts w:cs="Arial"/>
                <w:iCs/>
                <w:szCs w:val="24"/>
                <w:u w:val="single"/>
              </w:rPr>
              <w:t>The</w:t>
            </w:r>
            <w:r w:rsidR="00BC556F" w:rsidRPr="008E3A73">
              <w:rPr>
                <w:rFonts w:cs="Arial"/>
                <w:iCs/>
                <w:szCs w:val="24"/>
                <w:u w:val="single"/>
              </w:rPr>
              <w:t xml:space="preserve"> proposer </w:t>
            </w:r>
            <w:r w:rsidR="009F3883" w:rsidRPr="008E3A73">
              <w:rPr>
                <w:rFonts w:cs="Arial"/>
                <w:iCs/>
                <w:szCs w:val="24"/>
                <w:u w:val="single"/>
              </w:rPr>
              <w:t>believes a compromise of 50% Shipper and 50% DN</w:t>
            </w:r>
            <w:r w:rsidR="00AA255C">
              <w:rPr>
                <w:rFonts w:cs="Arial"/>
                <w:iCs/>
                <w:szCs w:val="24"/>
                <w:u w:val="single"/>
              </w:rPr>
              <w:t>O</w:t>
            </w:r>
            <w:r w:rsidR="009F3883" w:rsidRPr="008E3A73">
              <w:rPr>
                <w:rFonts w:cs="Arial"/>
                <w:iCs/>
                <w:szCs w:val="24"/>
                <w:u w:val="single"/>
              </w:rPr>
              <w:t xml:space="preserve"> is an appropriate allocation of benefit and cost. </w:t>
            </w:r>
            <w:r w:rsidR="004003FA" w:rsidRPr="008E3A73">
              <w:rPr>
                <w:rFonts w:cs="Arial"/>
                <w:iCs/>
                <w:szCs w:val="24"/>
                <w:u w:val="single"/>
              </w:rPr>
              <w:t xml:space="preserve"> </w:t>
            </w:r>
          </w:p>
        </w:tc>
      </w:tr>
      <w:tr w:rsidR="008E6888" w:rsidRPr="00BC3CAC" w14:paraId="66C5F5D2" w14:textId="77777777" w:rsidTr="00212B1C">
        <w:trPr>
          <w:trHeight w:val="403"/>
        </w:trPr>
        <w:tc>
          <w:tcPr>
            <w:tcW w:w="1222" w:type="pct"/>
            <w:shd w:val="clear" w:color="auto" w:fill="B2ECFB" w:themeFill="accent5" w:themeFillTint="66"/>
            <w:vAlign w:val="center"/>
          </w:tcPr>
          <w:p w14:paraId="66C5F5D0" w14:textId="77777777" w:rsidR="008E6888" w:rsidRDefault="008E6888" w:rsidP="009C3AAE">
            <w:pPr>
              <w:jc w:val="right"/>
              <w:rPr>
                <w:rFonts w:cs="Arial"/>
                <w:szCs w:val="20"/>
              </w:rPr>
            </w:pPr>
            <w:r>
              <w:rPr>
                <w:rFonts w:cs="Arial"/>
                <w:szCs w:val="20"/>
              </w:rPr>
              <w:t>Level of Impact</w:t>
            </w:r>
          </w:p>
        </w:tc>
        <w:tc>
          <w:tcPr>
            <w:tcW w:w="3778" w:type="pct"/>
            <w:gridSpan w:val="3"/>
            <w:vAlign w:val="center"/>
          </w:tcPr>
          <w:p w14:paraId="66C5F5D1" w14:textId="324454CD" w:rsidR="008E6888" w:rsidRPr="008E3A73" w:rsidRDefault="00B91B01" w:rsidP="009C3AAE">
            <w:pPr>
              <w:rPr>
                <w:rFonts w:cs="Arial"/>
                <w:szCs w:val="24"/>
              </w:rPr>
            </w:pPr>
            <w:r w:rsidRPr="008E3A73">
              <w:rPr>
                <w:rFonts w:cs="Arial"/>
                <w:szCs w:val="24"/>
              </w:rPr>
              <w:t>TBC</w:t>
            </w:r>
          </w:p>
        </w:tc>
      </w:tr>
      <w:tr w:rsidR="008E6888" w:rsidRPr="00BC3CAC" w14:paraId="66C5F5D5" w14:textId="77777777" w:rsidTr="00212B1C">
        <w:trPr>
          <w:trHeight w:val="403"/>
        </w:trPr>
        <w:tc>
          <w:tcPr>
            <w:tcW w:w="1222" w:type="pct"/>
            <w:shd w:val="clear" w:color="auto" w:fill="B2ECFB" w:themeFill="accent5" w:themeFillTint="66"/>
            <w:vAlign w:val="center"/>
          </w:tcPr>
          <w:p w14:paraId="66C5F5D3" w14:textId="77777777" w:rsidR="008E6888" w:rsidRDefault="008E6888" w:rsidP="00112A91">
            <w:pPr>
              <w:jc w:val="right"/>
              <w:rPr>
                <w:rFonts w:cs="Arial"/>
                <w:szCs w:val="20"/>
              </w:rPr>
            </w:pPr>
            <w:r>
              <w:rPr>
                <w:rFonts w:cs="Arial"/>
                <w:szCs w:val="20"/>
              </w:rPr>
              <w:t xml:space="preserve">If None please </w:t>
            </w:r>
            <w:r w:rsidR="00FA0009">
              <w:rPr>
                <w:rFonts w:cs="Arial"/>
                <w:szCs w:val="20"/>
              </w:rPr>
              <w:t>give justification</w:t>
            </w:r>
          </w:p>
        </w:tc>
        <w:tc>
          <w:tcPr>
            <w:tcW w:w="3778" w:type="pct"/>
            <w:gridSpan w:val="3"/>
            <w:vAlign w:val="center"/>
          </w:tcPr>
          <w:p w14:paraId="66C5F5D4" w14:textId="2A17F130" w:rsidR="008E6888" w:rsidRPr="008E3A73" w:rsidRDefault="00FA3503" w:rsidP="009C3AAE">
            <w:pPr>
              <w:rPr>
                <w:rFonts w:cs="Arial"/>
                <w:szCs w:val="24"/>
              </w:rPr>
            </w:pPr>
            <w:r w:rsidRPr="008E3A73">
              <w:rPr>
                <w:rFonts w:cs="Arial"/>
                <w:szCs w:val="24"/>
              </w:rPr>
              <w:t>N</w:t>
            </w:r>
            <w:r w:rsidR="00B91B01" w:rsidRPr="008E3A73">
              <w:rPr>
                <w:rFonts w:cs="Arial"/>
                <w:szCs w:val="24"/>
              </w:rPr>
              <w:t>/</w:t>
            </w:r>
            <w:r w:rsidRPr="008E3A73">
              <w:rPr>
                <w:rFonts w:cs="Arial"/>
                <w:szCs w:val="24"/>
              </w:rPr>
              <w:t>A</w:t>
            </w:r>
          </w:p>
        </w:tc>
      </w:tr>
      <w:tr w:rsidR="00477440" w:rsidRPr="00BC3CAC" w14:paraId="66C5F5D8" w14:textId="77777777" w:rsidTr="00212B1C">
        <w:trPr>
          <w:trHeight w:val="403"/>
        </w:trPr>
        <w:tc>
          <w:tcPr>
            <w:tcW w:w="1222" w:type="pct"/>
            <w:shd w:val="clear" w:color="auto" w:fill="B2ECFB" w:themeFill="accent5" w:themeFillTint="66"/>
            <w:vAlign w:val="center"/>
          </w:tcPr>
          <w:p w14:paraId="66C5F5D6" w14:textId="77777777" w:rsidR="00477440" w:rsidRDefault="00EF7B70" w:rsidP="00112A91">
            <w:pPr>
              <w:jc w:val="right"/>
              <w:rPr>
                <w:rFonts w:cs="Arial"/>
                <w:szCs w:val="20"/>
              </w:rPr>
            </w:pPr>
            <w:r>
              <w:rPr>
                <w:rFonts w:cs="Arial"/>
                <w:szCs w:val="20"/>
              </w:rPr>
              <w:t>Impact</w:t>
            </w:r>
            <w:r w:rsidR="00112A91">
              <w:rPr>
                <w:rFonts w:cs="Arial"/>
                <w:szCs w:val="20"/>
              </w:rPr>
              <w:t>s</w:t>
            </w:r>
            <w:r>
              <w:rPr>
                <w:rFonts w:cs="Arial"/>
                <w:szCs w:val="20"/>
              </w:rPr>
              <w:t xml:space="preserve"> on </w:t>
            </w:r>
            <w:r w:rsidR="00112A91">
              <w:rPr>
                <w:rFonts w:cs="Arial"/>
                <w:szCs w:val="20"/>
              </w:rPr>
              <w:t>UK Link Manual</w:t>
            </w:r>
            <w:r w:rsidR="008B7E39">
              <w:rPr>
                <w:rFonts w:cs="Arial"/>
                <w:szCs w:val="20"/>
              </w:rPr>
              <w:t>/ Data Permissions Matrix</w:t>
            </w:r>
            <w:r w:rsidR="00112A91">
              <w:rPr>
                <w:rFonts w:cs="Arial"/>
                <w:szCs w:val="20"/>
              </w:rPr>
              <w:t xml:space="preserve">  </w:t>
            </w:r>
          </w:p>
        </w:tc>
        <w:tc>
          <w:tcPr>
            <w:tcW w:w="3778" w:type="pct"/>
            <w:gridSpan w:val="3"/>
            <w:vAlign w:val="center"/>
          </w:tcPr>
          <w:p w14:paraId="66C5F5D7" w14:textId="3105BFED" w:rsidR="00477440" w:rsidRPr="008E3A73" w:rsidRDefault="00195FF9" w:rsidP="009C3AAE">
            <w:pPr>
              <w:rPr>
                <w:rFonts w:cs="Arial"/>
                <w:szCs w:val="24"/>
              </w:rPr>
            </w:pPr>
            <w:r w:rsidRPr="008E3A73">
              <w:rPr>
                <w:rFonts w:cs="Arial"/>
                <w:szCs w:val="24"/>
              </w:rPr>
              <w:t>TBC</w:t>
            </w:r>
          </w:p>
        </w:tc>
      </w:tr>
      <w:tr w:rsidR="00112A91" w:rsidRPr="00BC3CAC" w14:paraId="66C5F5DB" w14:textId="77777777" w:rsidTr="00212B1C">
        <w:trPr>
          <w:trHeight w:val="403"/>
        </w:trPr>
        <w:tc>
          <w:tcPr>
            <w:tcW w:w="1222" w:type="pct"/>
            <w:shd w:val="clear" w:color="auto" w:fill="B2ECFB" w:themeFill="accent5" w:themeFillTint="66"/>
            <w:vAlign w:val="center"/>
          </w:tcPr>
          <w:p w14:paraId="66C5F5D9" w14:textId="77777777" w:rsidR="00112A91" w:rsidRDefault="00112A91" w:rsidP="00112A91">
            <w:pPr>
              <w:jc w:val="right"/>
              <w:rPr>
                <w:rFonts w:cs="Arial"/>
                <w:szCs w:val="20"/>
              </w:rPr>
            </w:pPr>
            <w:r>
              <w:rPr>
                <w:rFonts w:cs="Arial"/>
                <w:szCs w:val="20"/>
              </w:rPr>
              <w:t>Level of Impact</w:t>
            </w:r>
          </w:p>
        </w:tc>
        <w:tc>
          <w:tcPr>
            <w:tcW w:w="3778" w:type="pct"/>
            <w:gridSpan w:val="3"/>
            <w:vAlign w:val="center"/>
          </w:tcPr>
          <w:p w14:paraId="66C5F5DA" w14:textId="44A0B1F3" w:rsidR="00112A91" w:rsidRPr="008E3A73" w:rsidRDefault="00195FF9" w:rsidP="009C3AAE">
            <w:pPr>
              <w:rPr>
                <w:rFonts w:cs="Arial"/>
                <w:szCs w:val="24"/>
              </w:rPr>
            </w:pPr>
            <w:r w:rsidRPr="008E3A73">
              <w:rPr>
                <w:rFonts w:cs="Arial"/>
                <w:szCs w:val="24"/>
              </w:rPr>
              <w:t>TBC</w:t>
            </w:r>
          </w:p>
        </w:tc>
      </w:tr>
      <w:tr w:rsidR="00112A91" w:rsidRPr="00BC3CAC" w14:paraId="66C5F5DE" w14:textId="77777777" w:rsidTr="00212B1C">
        <w:trPr>
          <w:trHeight w:val="403"/>
        </w:trPr>
        <w:tc>
          <w:tcPr>
            <w:tcW w:w="1222" w:type="pct"/>
            <w:shd w:val="clear" w:color="auto" w:fill="B2ECFB" w:themeFill="accent5" w:themeFillTint="66"/>
            <w:vAlign w:val="center"/>
          </w:tcPr>
          <w:p w14:paraId="66C5F5DC" w14:textId="77777777" w:rsidR="00112A91" w:rsidRDefault="00112A91" w:rsidP="00FA0009">
            <w:pPr>
              <w:jc w:val="right"/>
              <w:rPr>
                <w:rFonts w:cs="Arial"/>
                <w:szCs w:val="20"/>
              </w:rPr>
            </w:pPr>
            <w:r>
              <w:rPr>
                <w:rFonts w:cs="Arial"/>
                <w:szCs w:val="20"/>
              </w:rPr>
              <w:t xml:space="preserve">If None please give </w:t>
            </w:r>
            <w:r w:rsidR="00FA0009">
              <w:rPr>
                <w:rFonts w:cs="Arial"/>
                <w:szCs w:val="20"/>
              </w:rPr>
              <w:t>justification</w:t>
            </w:r>
            <w:r>
              <w:rPr>
                <w:rFonts w:cs="Arial"/>
                <w:szCs w:val="20"/>
              </w:rPr>
              <w:t xml:space="preserve"> </w:t>
            </w:r>
          </w:p>
        </w:tc>
        <w:tc>
          <w:tcPr>
            <w:tcW w:w="3778" w:type="pct"/>
            <w:gridSpan w:val="3"/>
            <w:vAlign w:val="center"/>
          </w:tcPr>
          <w:p w14:paraId="66C5F5DD" w14:textId="55B41CFE" w:rsidR="00112A91" w:rsidRPr="008E3A73" w:rsidRDefault="003602D8" w:rsidP="009C3AAE">
            <w:pPr>
              <w:rPr>
                <w:rFonts w:cs="Arial"/>
                <w:szCs w:val="24"/>
              </w:rPr>
            </w:pPr>
            <w:r w:rsidRPr="008E3A73">
              <w:rPr>
                <w:rFonts w:cs="Arial"/>
                <w:szCs w:val="24"/>
              </w:rPr>
              <w:t xml:space="preserve">No </w:t>
            </w:r>
            <w:r w:rsidR="00195FF9" w:rsidRPr="008E3A73">
              <w:rPr>
                <w:rFonts w:cs="Arial"/>
                <w:szCs w:val="24"/>
              </w:rPr>
              <w:t xml:space="preserve">impacts to the </w:t>
            </w:r>
            <w:r w:rsidR="00F82AA6" w:rsidRPr="008E3A73">
              <w:rPr>
                <w:rFonts w:cs="Arial"/>
                <w:szCs w:val="24"/>
              </w:rPr>
              <w:t>UK Link Manual / DPM</w:t>
            </w:r>
            <w:r w:rsidR="00B91B01" w:rsidRPr="008E3A73">
              <w:rPr>
                <w:rFonts w:cs="Arial"/>
                <w:szCs w:val="24"/>
              </w:rPr>
              <w:t xml:space="preserve"> anticipated,</w:t>
            </w:r>
            <w:r w:rsidR="00F82AA6" w:rsidRPr="008E3A73">
              <w:rPr>
                <w:rFonts w:cs="Arial"/>
                <w:szCs w:val="24"/>
              </w:rPr>
              <w:t xml:space="preserve"> however this will be assessed during design. </w:t>
            </w:r>
            <w:r w:rsidRPr="008E3A73">
              <w:rPr>
                <w:rFonts w:cs="Arial"/>
                <w:szCs w:val="24"/>
              </w:rPr>
              <w:t xml:space="preserve"> </w:t>
            </w:r>
          </w:p>
        </w:tc>
      </w:tr>
      <w:tr w:rsidR="00212B1C" w:rsidRPr="00BC3CAC" w14:paraId="66C5F5E4" w14:textId="77777777" w:rsidTr="00A57CE8">
        <w:trPr>
          <w:trHeight w:val="403"/>
        </w:trPr>
        <w:tc>
          <w:tcPr>
            <w:tcW w:w="1222" w:type="pct"/>
            <w:vMerge w:val="restart"/>
            <w:shd w:val="clear" w:color="auto" w:fill="B2ECFB" w:themeFill="accent5" w:themeFillTint="66"/>
            <w:vAlign w:val="center"/>
          </w:tcPr>
          <w:p w14:paraId="66C5F5DF" w14:textId="77777777" w:rsidR="005A6CFA" w:rsidRDefault="00212B1C" w:rsidP="009C3AAE">
            <w:pPr>
              <w:jc w:val="right"/>
              <w:rPr>
                <w:rFonts w:cs="Arial"/>
                <w:szCs w:val="20"/>
              </w:rPr>
            </w:pPr>
            <w:r w:rsidRPr="00B11FE6">
              <w:rPr>
                <w:rFonts w:cs="Arial"/>
                <w:szCs w:val="20"/>
              </w:rPr>
              <w:t>Funding Classes</w:t>
            </w:r>
          </w:p>
          <w:p w14:paraId="66C5F5E0" w14:textId="77777777" w:rsidR="00212B1C" w:rsidRDefault="00212B1C" w:rsidP="009C3AAE">
            <w:pPr>
              <w:jc w:val="right"/>
              <w:rPr>
                <w:rFonts w:cs="Arial"/>
                <w:szCs w:val="20"/>
              </w:rPr>
            </w:pPr>
            <w:r>
              <w:rPr>
                <w:rFonts w:cs="Arial"/>
                <w:szCs w:val="20"/>
              </w:rPr>
              <w:t>:</w:t>
            </w:r>
          </w:p>
        </w:tc>
        <w:tc>
          <w:tcPr>
            <w:tcW w:w="1911" w:type="pct"/>
            <w:shd w:val="clear" w:color="auto" w:fill="B2ECFB" w:themeFill="accent5" w:themeFillTint="66"/>
            <w:vAlign w:val="center"/>
          </w:tcPr>
          <w:p w14:paraId="66C5F5E1" w14:textId="77777777" w:rsidR="00212B1C" w:rsidRDefault="00212B1C" w:rsidP="009C3AAE">
            <w:pPr>
              <w:rPr>
                <w:rFonts w:cs="Arial"/>
              </w:rPr>
            </w:pPr>
            <w:r>
              <w:rPr>
                <w:rFonts w:cs="Arial"/>
              </w:rPr>
              <w:t>Customer Classes/ Funding</w:t>
            </w:r>
          </w:p>
        </w:tc>
        <w:tc>
          <w:tcPr>
            <w:tcW w:w="840" w:type="pct"/>
            <w:shd w:val="clear" w:color="auto" w:fill="B2ECFB" w:themeFill="accent5" w:themeFillTint="66"/>
            <w:vAlign w:val="center"/>
          </w:tcPr>
          <w:p w14:paraId="66C5F5E2" w14:textId="77777777" w:rsidR="00212B1C" w:rsidRDefault="005A6CFA" w:rsidP="009C3AAE">
            <w:pPr>
              <w:rPr>
                <w:rFonts w:cs="Arial"/>
              </w:rPr>
            </w:pPr>
            <w:r>
              <w:rPr>
                <w:rFonts w:cs="Arial"/>
              </w:rPr>
              <w:t xml:space="preserve">Delivery of </w:t>
            </w:r>
            <w:r w:rsidR="00212B1C">
              <w:rPr>
                <w:rFonts w:cs="Arial"/>
              </w:rPr>
              <w:t>Change</w:t>
            </w:r>
          </w:p>
        </w:tc>
        <w:tc>
          <w:tcPr>
            <w:tcW w:w="1027" w:type="pct"/>
            <w:shd w:val="clear" w:color="auto" w:fill="B2ECFB" w:themeFill="accent5" w:themeFillTint="66"/>
            <w:vAlign w:val="center"/>
          </w:tcPr>
          <w:p w14:paraId="66C5F5E3" w14:textId="77777777" w:rsidR="00212B1C" w:rsidRDefault="00212B1C" w:rsidP="005A6CFA">
            <w:pPr>
              <w:rPr>
                <w:rFonts w:cs="Arial"/>
              </w:rPr>
            </w:pPr>
            <w:r>
              <w:rPr>
                <w:rFonts w:cs="Arial"/>
              </w:rPr>
              <w:t>On-going</w:t>
            </w:r>
            <w:r w:rsidR="005A6CFA">
              <w:rPr>
                <w:rFonts w:cs="Arial"/>
              </w:rPr>
              <w:t xml:space="preserve"> Budget Amendment </w:t>
            </w:r>
          </w:p>
        </w:tc>
      </w:tr>
      <w:tr w:rsidR="00212B1C" w:rsidRPr="00BC3CAC" w14:paraId="66C5F5E9" w14:textId="77777777" w:rsidTr="00A57CE8">
        <w:trPr>
          <w:trHeight w:val="403"/>
        </w:trPr>
        <w:tc>
          <w:tcPr>
            <w:tcW w:w="1222" w:type="pct"/>
            <w:vMerge/>
            <w:shd w:val="clear" w:color="auto" w:fill="B2ECFB" w:themeFill="accent5" w:themeFillTint="66"/>
            <w:vAlign w:val="center"/>
          </w:tcPr>
          <w:p w14:paraId="66C5F5E5" w14:textId="77777777" w:rsidR="00212B1C" w:rsidRDefault="00212B1C" w:rsidP="009C3AAE">
            <w:pPr>
              <w:jc w:val="right"/>
              <w:rPr>
                <w:rFonts w:cs="Arial"/>
                <w:szCs w:val="20"/>
              </w:rPr>
            </w:pPr>
          </w:p>
        </w:tc>
        <w:tc>
          <w:tcPr>
            <w:tcW w:w="1911" w:type="pct"/>
            <w:vAlign w:val="center"/>
          </w:tcPr>
          <w:p w14:paraId="66C5F5E6" w14:textId="56CC3BBC" w:rsidR="00212B1C" w:rsidRPr="00BC3CAC" w:rsidRDefault="008E3A73" w:rsidP="009C3AAE">
            <w:pPr>
              <w:rPr>
                <w:rFonts w:cs="Arial"/>
              </w:rPr>
            </w:pPr>
            <w:sdt>
              <w:sdtPr>
                <w:rPr>
                  <w:rFonts w:cs="Arial"/>
                  <w:szCs w:val="20"/>
                </w:rPr>
                <w:id w:val="-1629007096"/>
                <w14:checkbox>
                  <w14:checked w14:val="1"/>
                  <w14:checkedState w14:val="2612" w14:font="MS Gothic"/>
                  <w14:uncheckedState w14:val="2610" w14:font="MS Gothic"/>
                </w14:checkbox>
              </w:sdtPr>
              <w:sdtEndPr/>
              <w:sdtContent>
                <w:r w:rsidR="007D6456">
                  <w:rPr>
                    <w:rFonts w:ascii="MS Gothic" w:eastAsia="MS Gothic" w:hAnsi="MS Gothic" w:cs="Arial" w:hint="eastAsia"/>
                    <w:szCs w:val="20"/>
                  </w:rPr>
                  <w:t>☒</w:t>
                </w:r>
              </w:sdtContent>
            </w:sdt>
            <w:r w:rsidR="00212B1C" w:rsidRPr="00FA3503">
              <w:rPr>
                <w:rFonts w:cs="Arial"/>
                <w:szCs w:val="20"/>
              </w:rPr>
              <w:t xml:space="preserve"> Shipper</w:t>
            </w:r>
            <w:r w:rsidR="006670BA" w:rsidRPr="00FA3503">
              <w:rPr>
                <w:rFonts w:cs="Arial"/>
                <w:szCs w:val="20"/>
              </w:rPr>
              <w:t xml:space="preserve"> </w:t>
            </w:r>
          </w:p>
        </w:tc>
        <w:tc>
          <w:tcPr>
            <w:tcW w:w="840" w:type="pct"/>
            <w:vAlign w:val="center"/>
          </w:tcPr>
          <w:p w14:paraId="66C5F5E7" w14:textId="3A7DFF5E" w:rsidR="00212B1C" w:rsidRPr="00BC3CAC" w:rsidRDefault="00876F69" w:rsidP="009C3AAE">
            <w:pPr>
              <w:rPr>
                <w:rFonts w:cs="Arial"/>
              </w:rPr>
            </w:pPr>
            <w:r>
              <w:rPr>
                <w:rFonts w:cs="Arial"/>
              </w:rPr>
              <w:t>50</w:t>
            </w:r>
            <w:r w:rsidR="00212B1C">
              <w:rPr>
                <w:rFonts w:cs="Arial"/>
              </w:rPr>
              <w:t xml:space="preserve"> %</w:t>
            </w:r>
          </w:p>
        </w:tc>
        <w:tc>
          <w:tcPr>
            <w:tcW w:w="1027" w:type="pct"/>
            <w:vAlign w:val="center"/>
          </w:tcPr>
          <w:p w14:paraId="66C5F5E8" w14:textId="6598C6F3" w:rsidR="00212B1C" w:rsidRPr="00BC3CAC" w:rsidRDefault="00876F69" w:rsidP="005E4C74">
            <w:pPr>
              <w:rPr>
                <w:rFonts w:cs="Arial"/>
              </w:rPr>
            </w:pPr>
            <w:r>
              <w:rPr>
                <w:rFonts w:cs="Arial"/>
              </w:rPr>
              <w:t>50</w:t>
            </w:r>
            <w:r w:rsidR="00212B1C">
              <w:rPr>
                <w:rFonts w:cs="Arial"/>
              </w:rPr>
              <w:t xml:space="preserve"> %</w:t>
            </w:r>
          </w:p>
        </w:tc>
      </w:tr>
      <w:tr w:rsidR="00212B1C" w:rsidRPr="00BC3CAC" w14:paraId="66C5F5EE" w14:textId="77777777" w:rsidTr="00A57CE8">
        <w:trPr>
          <w:trHeight w:val="403"/>
        </w:trPr>
        <w:tc>
          <w:tcPr>
            <w:tcW w:w="1222" w:type="pct"/>
            <w:vMerge/>
            <w:shd w:val="clear" w:color="auto" w:fill="B2ECFB" w:themeFill="accent5" w:themeFillTint="66"/>
            <w:vAlign w:val="center"/>
          </w:tcPr>
          <w:p w14:paraId="66C5F5EA" w14:textId="77777777" w:rsidR="00212B1C" w:rsidRDefault="00212B1C" w:rsidP="009C3AAE">
            <w:pPr>
              <w:jc w:val="right"/>
              <w:rPr>
                <w:rFonts w:cs="Arial"/>
                <w:szCs w:val="20"/>
              </w:rPr>
            </w:pPr>
          </w:p>
        </w:tc>
        <w:tc>
          <w:tcPr>
            <w:tcW w:w="1911" w:type="pct"/>
            <w:vAlign w:val="center"/>
          </w:tcPr>
          <w:p w14:paraId="66C5F5EB" w14:textId="196A7443" w:rsidR="00212B1C" w:rsidRPr="00BC3CAC" w:rsidRDefault="008E3A73" w:rsidP="009C3AAE">
            <w:pPr>
              <w:rPr>
                <w:rFonts w:cs="Arial"/>
              </w:rPr>
            </w:pPr>
            <w:sdt>
              <w:sdtPr>
                <w:rPr>
                  <w:rFonts w:cs="Arial"/>
                  <w:szCs w:val="20"/>
                </w:rPr>
                <w:id w:val="-1569411193"/>
                <w14:checkbox>
                  <w14:checked w14:val="0"/>
                  <w14:checkedState w14:val="2612" w14:font="MS Gothic"/>
                  <w14:uncheckedState w14:val="2610" w14:font="MS Gothic"/>
                </w14:checkbox>
              </w:sdtPr>
              <w:sdtEndPr/>
              <w:sdtContent>
                <w:r w:rsidR="00E11BBD">
                  <w:rPr>
                    <w:rFonts w:ascii="MS Gothic" w:eastAsia="MS Gothic" w:hAnsi="MS Gothic" w:cs="Arial" w:hint="eastAsia"/>
                    <w:szCs w:val="20"/>
                  </w:rPr>
                  <w:t>☐</w:t>
                </w:r>
              </w:sdtContent>
            </w:sdt>
            <w:r w:rsidR="00212B1C" w:rsidRPr="00FA3503">
              <w:rPr>
                <w:rFonts w:cs="Arial"/>
                <w:szCs w:val="20"/>
              </w:rPr>
              <w:t xml:space="preserve"> National Grid Transmission</w:t>
            </w:r>
          </w:p>
        </w:tc>
        <w:tc>
          <w:tcPr>
            <w:tcW w:w="840" w:type="pct"/>
            <w:vAlign w:val="center"/>
          </w:tcPr>
          <w:p w14:paraId="66C5F5EC" w14:textId="77777777" w:rsidR="00212B1C" w:rsidRPr="00BC3CAC" w:rsidRDefault="00212B1C" w:rsidP="009C3AAE">
            <w:pPr>
              <w:rPr>
                <w:rFonts w:cs="Arial"/>
              </w:rPr>
            </w:pPr>
            <w:r>
              <w:rPr>
                <w:rFonts w:cs="Arial"/>
              </w:rPr>
              <w:t>XX %</w:t>
            </w:r>
          </w:p>
        </w:tc>
        <w:tc>
          <w:tcPr>
            <w:tcW w:w="1027" w:type="pct"/>
            <w:vAlign w:val="center"/>
          </w:tcPr>
          <w:p w14:paraId="66C5F5ED" w14:textId="77777777" w:rsidR="00212B1C" w:rsidRPr="00BC3CAC" w:rsidRDefault="00212B1C" w:rsidP="005E4C74">
            <w:pPr>
              <w:rPr>
                <w:rFonts w:cs="Arial"/>
              </w:rPr>
            </w:pPr>
            <w:r>
              <w:rPr>
                <w:rFonts w:cs="Arial"/>
              </w:rPr>
              <w:t>XX %</w:t>
            </w:r>
          </w:p>
        </w:tc>
      </w:tr>
      <w:tr w:rsidR="00212B1C" w:rsidRPr="00BC3CAC" w14:paraId="66C5F5F3" w14:textId="77777777" w:rsidTr="00A57CE8">
        <w:trPr>
          <w:trHeight w:val="403"/>
        </w:trPr>
        <w:tc>
          <w:tcPr>
            <w:tcW w:w="1222" w:type="pct"/>
            <w:vMerge/>
            <w:shd w:val="clear" w:color="auto" w:fill="B2ECFB" w:themeFill="accent5" w:themeFillTint="66"/>
            <w:vAlign w:val="center"/>
          </w:tcPr>
          <w:p w14:paraId="66C5F5EF" w14:textId="77777777" w:rsidR="00212B1C" w:rsidRDefault="00212B1C" w:rsidP="009C3AAE">
            <w:pPr>
              <w:jc w:val="right"/>
              <w:rPr>
                <w:rFonts w:cs="Arial"/>
                <w:szCs w:val="20"/>
              </w:rPr>
            </w:pPr>
          </w:p>
        </w:tc>
        <w:tc>
          <w:tcPr>
            <w:tcW w:w="1911" w:type="pct"/>
            <w:vAlign w:val="center"/>
          </w:tcPr>
          <w:p w14:paraId="66C5F5F0" w14:textId="5D0BEDBC" w:rsidR="00212B1C" w:rsidRPr="00BC3CAC" w:rsidRDefault="008E3A73" w:rsidP="009C3AAE">
            <w:pPr>
              <w:rPr>
                <w:rFonts w:cs="Arial"/>
              </w:rPr>
            </w:pPr>
            <w:sdt>
              <w:sdtPr>
                <w:rPr>
                  <w:rFonts w:cs="Arial"/>
                  <w:szCs w:val="20"/>
                </w:rPr>
                <w:id w:val="1125039619"/>
                <w14:checkbox>
                  <w14:checked w14:val="1"/>
                  <w14:checkedState w14:val="2612" w14:font="MS Gothic"/>
                  <w14:uncheckedState w14:val="2610" w14:font="MS Gothic"/>
                </w14:checkbox>
              </w:sdtPr>
              <w:sdtEndPr/>
              <w:sdtContent>
                <w:r w:rsidR="007D6456">
                  <w:rPr>
                    <w:rFonts w:ascii="MS Gothic" w:eastAsia="MS Gothic" w:hAnsi="MS Gothic" w:cs="Arial" w:hint="eastAsia"/>
                    <w:szCs w:val="20"/>
                  </w:rPr>
                  <w:t>☒</w:t>
                </w:r>
              </w:sdtContent>
            </w:sdt>
            <w:r w:rsidR="00212B1C">
              <w:rPr>
                <w:rFonts w:cs="Arial"/>
                <w:szCs w:val="20"/>
              </w:rPr>
              <w:t xml:space="preserve"> Distribution Network Operator</w:t>
            </w:r>
          </w:p>
        </w:tc>
        <w:tc>
          <w:tcPr>
            <w:tcW w:w="840" w:type="pct"/>
            <w:vAlign w:val="center"/>
          </w:tcPr>
          <w:p w14:paraId="66C5F5F1" w14:textId="29D11EE5" w:rsidR="00212B1C" w:rsidRPr="00BC3CAC" w:rsidRDefault="00876F69" w:rsidP="009C3AAE">
            <w:pPr>
              <w:rPr>
                <w:rFonts w:cs="Arial"/>
              </w:rPr>
            </w:pPr>
            <w:r>
              <w:rPr>
                <w:rFonts w:cs="Arial"/>
              </w:rPr>
              <w:t>50</w:t>
            </w:r>
            <w:r w:rsidR="00212B1C">
              <w:rPr>
                <w:rFonts w:cs="Arial"/>
              </w:rPr>
              <w:t xml:space="preserve"> %</w:t>
            </w:r>
          </w:p>
        </w:tc>
        <w:tc>
          <w:tcPr>
            <w:tcW w:w="1027" w:type="pct"/>
            <w:vAlign w:val="center"/>
          </w:tcPr>
          <w:p w14:paraId="66C5F5F2" w14:textId="60A02B0D" w:rsidR="00212B1C" w:rsidRPr="00BC3CAC" w:rsidRDefault="00876F69" w:rsidP="005E4C74">
            <w:pPr>
              <w:rPr>
                <w:rFonts w:cs="Arial"/>
              </w:rPr>
            </w:pPr>
            <w:r>
              <w:rPr>
                <w:rFonts w:cs="Arial"/>
              </w:rPr>
              <w:t>50</w:t>
            </w:r>
            <w:r w:rsidR="00212B1C">
              <w:rPr>
                <w:rFonts w:cs="Arial"/>
              </w:rPr>
              <w:t xml:space="preserve"> %</w:t>
            </w:r>
          </w:p>
        </w:tc>
      </w:tr>
      <w:tr w:rsidR="00212B1C" w:rsidRPr="00BC3CAC" w14:paraId="66C5F5F8" w14:textId="77777777" w:rsidTr="00A57CE8">
        <w:trPr>
          <w:trHeight w:val="403"/>
        </w:trPr>
        <w:tc>
          <w:tcPr>
            <w:tcW w:w="1222" w:type="pct"/>
            <w:vMerge/>
            <w:shd w:val="clear" w:color="auto" w:fill="B2ECFB" w:themeFill="accent5" w:themeFillTint="66"/>
            <w:vAlign w:val="center"/>
          </w:tcPr>
          <w:p w14:paraId="66C5F5F4" w14:textId="77777777" w:rsidR="00212B1C" w:rsidRDefault="00212B1C" w:rsidP="009C3AAE">
            <w:pPr>
              <w:jc w:val="right"/>
              <w:rPr>
                <w:rFonts w:cs="Arial"/>
                <w:szCs w:val="20"/>
              </w:rPr>
            </w:pPr>
          </w:p>
        </w:tc>
        <w:tc>
          <w:tcPr>
            <w:tcW w:w="1911" w:type="pct"/>
            <w:vAlign w:val="center"/>
          </w:tcPr>
          <w:p w14:paraId="66C5F5F5" w14:textId="77777777" w:rsidR="00212B1C" w:rsidRPr="00BC3CAC" w:rsidRDefault="008E3A73" w:rsidP="009C3AAE">
            <w:pPr>
              <w:rPr>
                <w:rFonts w:cs="Arial"/>
              </w:rPr>
            </w:pPr>
            <w:sdt>
              <w:sdtPr>
                <w:rPr>
                  <w:rFonts w:cs="Arial"/>
                  <w:szCs w:val="20"/>
                </w:rPr>
                <w:id w:val="1780915693"/>
                <w14:checkbox>
                  <w14:checked w14:val="0"/>
                  <w14:checkedState w14:val="2612" w14:font="MS Gothic"/>
                  <w14:uncheckedState w14:val="2610" w14:font="MS Gothic"/>
                </w14:checkbox>
              </w:sdtPr>
              <w:sdtEndPr/>
              <w:sdtContent>
                <w:r w:rsidR="00212B1C">
                  <w:rPr>
                    <w:rFonts w:ascii="MS Gothic" w:eastAsia="MS Gothic" w:hAnsi="MS Gothic" w:cs="Arial" w:hint="eastAsia"/>
                    <w:szCs w:val="20"/>
                  </w:rPr>
                  <w:t>☐</w:t>
                </w:r>
              </w:sdtContent>
            </w:sdt>
            <w:r w:rsidR="00212B1C">
              <w:rPr>
                <w:rFonts w:cs="Arial"/>
                <w:szCs w:val="20"/>
              </w:rPr>
              <w:t xml:space="preserve"> IGT</w:t>
            </w:r>
          </w:p>
        </w:tc>
        <w:tc>
          <w:tcPr>
            <w:tcW w:w="840" w:type="pct"/>
            <w:vAlign w:val="center"/>
          </w:tcPr>
          <w:p w14:paraId="66C5F5F6" w14:textId="77777777" w:rsidR="00212B1C" w:rsidRPr="00BC3CAC" w:rsidRDefault="00212B1C" w:rsidP="009C3AAE">
            <w:pPr>
              <w:rPr>
                <w:rFonts w:cs="Arial"/>
              </w:rPr>
            </w:pPr>
            <w:r>
              <w:rPr>
                <w:rFonts w:cs="Arial"/>
              </w:rPr>
              <w:t>XX %</w:t>
            </w:r>
          </w:p>
        </w:tc>
        <w:tc>
          <w:tcPr>
            <w:tcW w:w="1027" w:type="pct"/>
            <w:vAlign w:val="center"/>
          </w:tcPr>
          <w:p w14:paraId="66C5F5F7" w14:textId="77777777" w:rsidR="00212B1C" w:rsidRPr="00BC3CAC" w:rsidRDefault="00212B1C" w:rsidP="005E4C74">
            <w:pPr>
              <w:rPr>
                <w:rFonts w:cs="Arial"/>
              </w:rPr>
            </w:pPr>
            <w:r>
              <w:rPr>
                <w:rFonts w:cs="Arial"/>
              </w:rPr>
              <w:t>XX %</w:t>
            </w:r>
          </w:p>
        </w:tc>
      </w:tr>
      <w:tr w:rsidR="00212B1C" w:rsidRPr="00BC3CAC" w14:paraId="66C5F5FD" w14:textId="77777777" w:rsidTr="00A57CE8">
        <w:trPr>
          <w:trHeight w:val="403"/>
        </w:trPr>
        <w:tc>
          <w:tcPr>
            <w:tcW w:w="1222" w:type="pct"/>
            <w:vMerge/>
            <w:shd w:val="clear" w:color="auto" w:fill="B2ECFB" w:themeFill="accent5" w:themeFillTint="66"/>
            <w:vAlign w:val="center"/>
          </w:tcPr>
          <w:p w14:paraId="66C5F5F9" w14:textId="77777777" w:rsidR="00212B1C" w:rsidRDefault="00212B1C" w:rsidP="009C3AAE">
            <w:pPr>
              <w:jc w:val="right"/>
              <w:rPr>
                <w:rFonts w:cs="Arial"/>
                <w:szCs w:val="20"/>
              </w:rPr>
            </w:pPr>
          </w:p>
        </w:tc>
        <w:tc>
          <w:tcPr>
            <w:tcW w:w="1911" w:type="pct"/>
            <w:vAlign w:val="center"/>
          </w:tcPr>
          <w:p w14:paraId="66C5F5FA" w14:textId="77777777" w:rsidR="00212B1C" w:rsidRPr="00BC3CAC" w:rsidRDefault="008E3A73" w:rsidP="009C3AAE">
            <w:pPr>
              <w:rPr>
                <w:rFonts w:cs="Arial"/>
              </w:rPr>
            </w:pPr>
            <w:sdt>
              <w:sdtPr>
                <w:rPr>
                  <w:rFonts w:cs="Arial"/>
                  <w:szCs w:val="20"/>
                </w:rPr>
                <w:id w:val="-723988567"/>
                <w14:checkbox>
                  <w14:checked w14:val="0"/>
                  <w14:checkedState w14:val="2612" w14:font="MS Gothic"/>
                  <w14:uncheckedState w14:val="2610" w14:font="MS Gothic"/>
                </w14:checkbox>
              </w:sdtPr>
              <w:sdtEndPr/>
              <w:sdtContent>
                <w:r w:rsidR="00212B1C">
                  <w:rPr>
                    <w:rFonts w:ascii="MS Gothic" w:eastAsia="MS Gothic" w:hAnsi="MS Gothic" w:cs="Arial" w:hint="eastAsia"/>
                    <w:szCs w:val="20"/>
                  </w:rPr>
                  <w:t>☐</w:t>
                </w:r>
              </w:sdtContent>
            </w:sdt>
            <w:r w:rsidR="00212B1C">
              <w:rPr>
                <w:rFonts w:cs="Arial"/>
                <w:szCs w:val="20"/>
              </w:rPr>
              <w:t xml:space="preserve"> Other &lt;please specify&gt;</w:t>
            </w:r>
          </w:p>
        </w:tc>
        <w:tc>
          <w:tcPr>
            <w:tcW w:w="840" w:type="pct"/>
            <w:vAlign w:val="center"/>
          </w:tcPr>
          <w:p w14:paraId="66C5F5FB" w14:textId="77777777" w:rsidR="00212B1C" w:rsidRPr="00BC3CAC" w:rsidRDefault="00212B1C" w:rsidP="009C3AAE">
            <w:pPr>
              <w:rPr>
                <w:rFonts w:cs="Arial"/>
              </w:rPr>
            </w:pPr>
            <w:r>
              <w:rPr>
                <w:rFonts w:cs="Arial"/>
              </w:rPr>
              <w:t>XX %</w:t>
            </w:r>
          </w:p>
        </w:tc>
        <w:tc>
          <w:tcPr>
            <w:tcW w:w="1027" w:type="pct"/>
            <w:vAlign w:val="center"/>
          </w:tcPr>
          <w:p w14:paraId="66C5F5FC" w14:textId="77777777" w:rsidR="00212B1C" w:rsidRPr="00BC3CAC" w:rsidRDefault="00212B1C" w:rsidP="005E4C74">
            <w:pPr>
              <w:rPr>
                <w:rFonts w:cs="Arial"/>
              </w:rPr>
            </w:pPr>
            <w:r>
              <w:rPr>
                <w:rFonts w:cs="Arial"/>
              </w:rPr>
              <w:t>XX %</w:t>
            </w:r>
          </w:p>
        </w:tc>
      </w:tr>
      <w:tr w:rsidR="008E6888" w:rsidRPr="00BC3CAC" w14:paraId="66C5F600" w14:textId="77777777" w:rsidTr="00212B1C">
        <w:trPr>
          <w:trHeight w:val="403"/>
        </w:trPr>
        <w:tc>
          <w:tcPr>
            <w:tcW w:w="1222" w:type="pct"/>
            <w:shd w:val="clear" w:color="auto" w:fill="B2ECFB" w:themeFill="accent5" w:themeFillTint="66"/>
            <w:vAlign w:val="center"/>
          </w:tcPr>
          <w:p w14:paraId="66C5F5FE" w14:textId="77777777" w:rsidR="008E6888" w:rsidRDefault="008E6888" w:rsidP="009C3AAE">
            <w:pPr>
              <w:jc w:val="right"/>
              <w:rPr>
                <w:rFonts w:cs="Arial"/>
                <w:szCs w:val="20"/>
              </w:rPr>
            </w:pPr>
            <w:r w:rsidRPr="00B11FE6">
              <w:rPr>
                <w:rFonts w:cs="Arial"/>
                <w:szCs w:val="20"/>
              </w:rPr>
              <w:t>ROM or funding details</w:t>
            </w:r>
            <w:r>
              <w:rPr>
                <w:rFonts w:cs="Arial"/>
                <w:szCs w:val="20"/>
              </w:rPr>
              <w:t>:</w:t>
            </w:r>
          </w:p>
        </w:tc>
        <w:tc>
          <w:tcPr>
            <w:tcW w:w="3778" w:type="pct"/>
            <w:gridSpan w:val="3"/>
            <w:vAlign w:val="center"/>
          </w:tcPr>
          <w:p w14:paraId="34F4B4F9" w14:textId="77777777" w:rsidR="009159C1" w:rsidRPr="008E3A73" w:rsidRDefault="00797698" w:rsidP="009C3AAE">
            <w:r w:rsidRPr="008E3A73">
              <w:t>A ROM has been completed estimating high level indicative delivery costs are anticipated to be between £</w:t>
            </w:r>
            <w:r w:rsidRPr="008E3A73">
              <w:t>230</w:t>
            </w:r>
            <w:r w:rsidRPr="008E3A73">
              <w:t>,000 and £</w:t>
            </w:r>
            <w:r w:rsidRPr="008E3A73">
              <w:t>375</w:t>
            </w:r>
            <w:r w:rsidRPr="008E3A73">
              <w:t xml:space="preserve">,000. </w:t>
            </w:r>
          </w:p>
          <w:p w14:paraId="75FA9DA4" w14:textId="77777777" w:rsidR="009159C1" w:rsidRPr="008E3A73" w:rsidRDefault="009159C1" w:rsidP="009C3AAE"/>
          <w:p w14:paraId="57B5E65E" w14:textId="77777777" w:rsidR="009159C1" w:rsidRPr="008E3A73" w:rsidRDefault="00797698" w:rsidP="009C3AAE">
            <w:r w:rsidRPr="008E3A73">
              <w:t xml:space="preserve">Any ongoing costs are to be determined during the Detailed Design phase. </w:t>
            </w:r>
          </w:p>
          <w:p w14:paraId="3537CE8B" w14:textId="77777777" w:rsidR="009159C1" w:rsidRPr="008E3A73" w:rsidRDefault="009159C1" w:rsidP="009C3AAE"/>
          <w:p w14:paraId="66C5F5FF" w14:textId="414F70DB" w:rsidR="008E6888" w:rsidRPr="008E3A73" w:rsidRDefault="00797698" w:rsidP="009C3AAE">
            <w:pPr>
              <w:rPr>
                <w:rFonts w:cs="Arial"/>
                <w:color w:val="FF0000"/>
              </w:rPr>
            </w:pPr>
            <w:r w:rsidRPr="008E3A73">
              <w:t xml:space="preserve">Link to the ROM for reference </w:t>
            </w:r>
            <w:hyperlink r:id="rId13" w:history="1">
              <w:r w:rsidRPr="008E3A73">
                <w:rPr>
                  <w:rStyle w:val="Hyperlink"/>
                </w:rPr>
                <w:t>here</w:t>
              </w:r>
            </w:hyperlink>
            <w:r w:rsidRPr="008E3A73">
              <w:t xml:space="preserve">. </w:t>
            </w:r>
          </w:p>
        </w:tc>
      </w:tr>
      <w:tr w:rsidR="003D1F08" w:rsidRPr="003D1F08" w14:paraId="66C5F603" w14:textId="77777777" w:rsidTr="00212B1C">
        <w:trPr>
          <w:trHeight w:val="403"/>
        </w:trPr>
        <w:tc>
          <w:tcPr>
            <w:tcW w:w="1222" w:type="pct"/>
            <w:shd w:val="clear" w:color="auto" w:fill="B2ECFB" w:themeFill="accent5" w:themeFillTint="66"/>
            <w:vAlign w:val="center"/>
          </w:tcPr>
          <w:p w14:paraId="66C5F601" w14:textId="77777777" w:rsidR="008E6888" w:rsidRDefault="008E6888" w:rsidP="009C3AAE">
            <w:pPr>
              <w:jc w:val="right"/>
              <w:rPr>
                <w:rFonts w:cs="Arial"/>
                <w:szCs w:val="20"/>
              </w:rPr>
            </w:pPr>
            <w:r w:rsidRPr="00B11FE6">
              <w:rPr>
                <w:rFonts w:cs="Arial"/>
                <w:szCs w:val="20"/>
              </w:rPr>
              <w:t>Funding Comments</w:t>
            </w:r>
            <w:r>
              <w:rPr>
                <w:rFonts w:cs="Arial"/>
                <w:szCs w:val="20"/>
              </w:rPr>
              <w:t>:</w:t>
            </w:r>
          </w:p>
        </w:tc>
        <w:tc>
          <w:tcPr>
            <w:tcW w:w="3778" w:type="pct"/>
            <w:gridSpan w:val="3"/>
            <w:vAlign w:val="center"/>
          </w:tcPr>
          <w:p w14:paraId="66C5F602" w14:textId="1FA946A5" w:rsidR="008E6888" w:rsidRPr="008E3A73" w:rsidRDefault="00515B2A" w:rsidP="001763BD">
            <w:pPr>
              <w:jc w:val="both"/>
              <w:rPr>
                <w:rFonts w:cs="Arial"/>
              </w:rPr>
            </w:pPr>
            <w:r w:rsidRPr="008E3A73">
              <w:rPr>
                <w:rFonts w:cs="Arial"/>
                <w:iCs/>
              </w:rPr>
              <w:t>T</w:t>
            </w:r>
            <w:r w:rsidR="009F3883" w:rsidRPr="008E3A73">
              <w:rPr>
                <w:rFonts w:cs="Arial"/>
                <w:iCs/>
              </w:rPr>
              <w:t>he proposer believes a compromise of 50% Shipper and 50% DN</w:t>
            </w:r>
            <w:r w:rsidR="00AA255C">
              <w:rPr>
                <w:rFonts w:cs="Arial"/>
                <w:iCs/>
              </w:rPr>
              <w:t>O</w:t>
            </w:r>
            <w:r w:rsidR="009F3883" w:rsidRPr="008E3A73">
              <w:rPr>
                <w:rFonts w:cs="Arial"/>
                <w:iCs/>
              </w:rPr>
              <w:t xml:space="preserve"> is an appropriate allocation of benefit and cost.  </w:t>
            </w:r>
          </w:p>
        </w:tc>
      </w:tr>
    </w:tbl>
    <w:p w14:paraId="139F077A" w14:textId="77777777" w:rsidR="000D1355" w:rsidRDefault="000D1355" w:rsidP="00156FD9"/>
    <w:p w14:paraId="66C5F641" w14:textId="0C2F74C3" w:rsidR="006F3657" w:rsidRDefault="006F3657" w:rsidP="00156FD9">
      <w:r w:rsidRPr="006F3657">
        <w:t xml:space="preserve">Please send the completed forms to: </w:t>
      </w:r>
      <w:hyperlink r:id="rId14" w:history="1">
        <w:r w:rsidR="00485F6F" w:rsidRPr="00005030">
          <w:rPr>
            <w:rStyle w:val="Hyperlink"/>
          </w:rPr>
          <w:t>uklink@xoserve.com</w:t>
        </w:r>
      </w:hyperlink>
      <w:r>
        <w:t xml:space="preserve"> </w:t>
      </w:r>
    </w:p>
    <w:p w14:paraId="66C5F642" w14:textId="77777777" w:rsidR="00156FD9" w:rsidRDefault="00156FD9">
      <w:r>
        <w:br w:type="page"/>
      </w:r>
    </w:p>
    <w:p w14:paraId="66C5F643" w14:textId="77777777" w:rsidR="0051349C" w:rsidRDefault="0051349C" w:rsidP="0051349C">
      <w:pPr>
        <w:pStyle w:val="Title"/>
      </w:pPr>
      <w:r>
        <w:lastRenderedPageBreak/>
        <w:t>Version Control</w:t>
      </w:r>
    </w:p>
    <w:p w14:paraId="66C5F644" w14:textId="77777777" w:rsidR="0051349C" w:rsidRDefault="0051349C" w:rsidP="0051349C">
      <w:pPr>
        <w:pStyle w:val="Heading1"/>
      </w:pPr>
      <w:r>
        <w:t>Document</w:t>
      </w:r>
    </w:p>
    <w:tbl>
      <w:tblPr>
        <w:tblStyle w:val="TableGrid"/>
        <w:tblW w:w="5500" w:type="pct"/>
        <w:tblLayout w:type="fixed"/>
        <w:tblLook w:val="04A0" w:firstRow="1" w:lastRow="0" w:firstColumn="1" w:lastColumn="0" w:noHBand="0" w:noVBand="1"/>
      </w:tblPr>
      <w:tblGrid>
        <w:gridCol w:w="1075"/>
        <w:gridCol w:w="1383"/>
        <w:gridCol w:w="1383"/>
        <w:gridCol w:w="1660"/>
        <w:gridCol w:w="4417"/>
      </w:tblGrid>
      <w:tr w:rsidR="0051349C" w:rsidRPr="006C66CA" w14:paraId="66C5F64A" w14:textId="77777777" w:rsidTr="005C6140">
        <w:trPr>
          <w:trHeight w:val="403"/>
        </w:trPr>
        <w:tc>
          <w:tcPr>
            <w:tcW w:w="542" w:type="pct"/>
            <w:shd w:val="clear" w:color="auto" w:fill="B2ECFB" w:themeFill="accent5" w:themeFillTint="66"/>
            <w:vAlign w:val="center"/>
          </w:tcPr>
          <w:p w14:paraId="66C5F645" w14:textId="77777777" w:rsidR="0051349C" w:rsidRPr="006C66CA" w:rsidRDefault="0051349C" w:rsidP="0051349C">
            <w:pPr>
              <w:rPr>
                <w:rFonts w:cs="Arial"/>
                <w:szCs w:val="20"/>
              </w:rPr>
            </w:pPr>
            <w:r>
              <w:rPr>
                <w:rFonts w:cs="Arial"/>
                <w:szCs w:val="20"/>
              </w:rPr>
              <w:t>Version</w:t>
            </w:r>
          </w:p>
        </w:tc>
        <w:tc>
          <w:tcPr>
            <w:tcW w:w="697" w:type="pct"/>
            <w:shd w:val="clear" w:color="auto" w:fill="B2ECFB" w:themeFill="accent5" w:themeFillTint="66"/>
            <w:vAlign w:val="center"/>
          </w:tcPr>
          <w:p w14:paraId="66C5F646" w14:textId="77777777" w:rsidR="0051349C" w:rsidRPr="006C66CA" w:rsidRDefault="0051349C" w:rsidP="0051349C">
            <w:pPr>
              <w:rPr>
                <w:rFonts w:cs="Arial"/>
                <w:szCs w:val="20"/>
              </w:rPr>
            </w:pPr>
            <w:r>
              <w:rPr>
                <w:rFonts w:cs="Arial"/>
                <w:szCs w:val="20"/>
              </w:rPr>
              <w:t>Status</w:t>
            </w:r>
          </w:p>
        </w:tc>
        <w:tc>
          <w:tcPr>
            <w:tcW w:w="697" w:type="pct"/>
            <w:shd w:val="clear" w:color="auto" w:fill="B2ECFB" w:themeFill="accent5" w:themeFillTint="66"/>
            <w:vAlign w:val="center"/>
          </w:tcPr>
          <w:p w14:paraId="66C5F647" w14:textId="77777777" w:rsidR="0051349C" w:rsidRPr="006C66CA" w:rsidRDefault="0051349C" w:rsidP="0051349C">
            <w:pPr>
              <w:rPr>
                <w:rFonts w:cs="Arial"/>
                <w:szCs w:val="20"/>
              </w:rPr>
            </w:pPr>
            <w:r>
              <w:rPr>
                <w:rFonts w:cs="Arial"/>
                <w:szCs w:val="20"/>
              </w:rPr>
              <w:t>Date</w:t>
            </w:r>
          </w:p>
        </w:tc>
        <w:tc>
          <w:tcPr>
            <w:tcW w:w="837" w:type="pct"/>
            <w:shd w:val="clear" w:color="auto" w:fill="B2ECFB" w:themeFill="accent5" w:themeFillTint="66"/>
            <w:vAlign w:val="center"/>
          </w:tcPr>
          <w:p w14:paraId="66C5F648" w14:textId="77777777" w:rsidR="0051349C" w:rsidRPr="006C66CA" w:rsidRDefault="0051349C" w:rsidP="0051349C">
            <w:pPr>
              <w:rPr>
                <w:rFonts w:cs="Arial"/>
                <w:szCs w:val="20"/>
              </w:rPr>
            </w:pPr>
            <w:r w:rsidRPr="0051349C">
              <w:rPr>
                <w:rFonts w:cs="Arial"/>
                <w:szCs w:val="20"/>
              </w:rPr>
              <w:t>Author(s)</w:t>
            </w:r>
          </w:p>
        </w:tc>
        <w:tc>
          <w:tcPr>
            <w:tcW w:w="2227" w:type="pct"/>
            <w:shd w:val="clear" w:color="auto" w:fill="B2ECFB" w:themeFill="accent5" w:themeFillTint="66"/>
            <w:vAlign w:val="center"/>
          </w:tcPr>
          <w:p w14:paraId="66C5F649" w14:textId="77777777" w:rsidR="0051349C" w:rsidRPr="006C66CA" w:rsidRDefault="0051349C" w:rsidP="0051349C">
            <w:pPr>
              <w:rPr>
                <w:rFonts w:cs="Arial"/>
                <w:szCs w:val="20"/>
              </w:rPr>
            </w:pPr>
            <w:r>
              <w:t>Remarks</w:t>
            </w:r>
          </w:p>
        </w:tc>
      </w:tr>
      <w:tr w:rsidR="006E3B26" w:rsidRPr="00470388" w14:paraId="5C99419D" w14:textId="77777777" w:rsidTr="001E7A10">
        <w:trPr>
          <w:trHeight w:val="403"/>
        </w:trPr>
        <w:tc>
          <w:tcPr>
            <w:tcW w:w="542" w:type="pct"/>
          </w:tcPr>
          <w:p w14:paraId="47FC17D3" w14:textId="7AB11C34" w:rsidR="006E3B26" w:rsidRPr="00470388" w:rsidRDefault="00AA255C" w:rsidP="001E7A10">
            <w:pPr>
              <w:rPr>
                <w:rFonts w:cs="Arial"/>
                <w:szCs w:val="20"/>
              </w:rPr>
            </w:pPr>
            <w:r>
              <w:rPr>
                <w:rFonts w:cs="Arial"/>
                <w:szCs w:val="20"/>
              </w:rPr>
              <w:t>V1.0</w:t>
            </w:r>
          </w:p>
        </w:tc>
        <w:tc>
          <w:tcPr>
            <w:tcW w:w="697" w:type="pct"/>
          </w:tcPr>
          <w:p w14:paraId="2D2AE0E8" w14:textId="6D17BDB4" w:rsidR="006E3B26" w:rsidRPr="00470388" w:rsidRDefault="00AA255C" w:rsidP="001E7A10">
            <w:pPr>
              <w:rPr>
                <w:rFonts w:cs="Arial"/>
                <w:szCs w:val="20"/>
              </w:rPr>
            </w:pPr>
            <w:r>
              <w:rPr>
                <w:rFonts w:cs="Arial"/>
                <w:szCs w:val="20"/>
              </w:rPr>
              <w:t>For Approval</w:t>
            </w:r>
          </w:p>
        </w:tc>
        <w:tc>
          <w:tcPr>
            <w:tcW w:w="697" w:type="pct"/>
          </w:tcPr>
          <w:p w14:paraId="6102E34B" w14:textId="5B1E1C31" w:rsidR="006E3B26" w:rsidRPr="00470388" w:rsidRDefault="00AA255C" w:rsidP="001E7A10">
            <w:pPr>
              <w:rPr>
                <w:rFonts w:cs="Arial"/>
                <w:szCs w:val="20"/>
              </w:rPr>
            </w:pPr>
            <w:r>
              <w:rPr>
                <w:rFonts w:cs="Arial"/>
                <w:szCs w:val="20"/>
              </w:rPr>
              <w:t>23/0</w:t>
            </w:r>
            <w:r w:rsidR="008E3A73">
              <w:rPr>
                <w:rFonts w:cs="Arial"/>
                <w:szCs w:val="20"/>
              </w:rPr>
              <w:t>2/2023</w:t>
            </w:r>
          </w:p>
        </w:tc>
        <w:tc>
          <w:tcPr>
            <w:tcW w:w="837" w:type="pct"/>
          </w:tcPr>
          <w:p w14:paraId="46D6AB3B" w14:textId="379575DB" w:rsidR="006E3B26" w:rsidRPr="00470388" w:rsidRDefault="008E3A73" w:rsidP="001E7A10">
            <w:pPr>
              <w:rPr>
                <w:rFonts w:cs="Arial"/>
                <w:szCs w:val="20"/>
              </w:rPr>
            </w:pPr>
            <w:r>
              <w:rPr>
                <w:rFonts w:cs="Arial"/>
                <w:szCs w:val="20"/>
              </w:rPr>
              <w:t>Change Team</w:t>
            </w:r>
          </w:p>
        </w:tc>
        <w:tc>
          <w:tcPr>
            <w:tcW w:w="2227" w:type="pct"/>
          </w:tcPr>
          <w:p w14:paraId="3473E15B" w14:textId="28C91E34" w:rsidR="006E3B26" w:rsidRPr="00470388" w:rsidRDefault="006E3B26" w:rsidP="001E7A10">
            <w:pPr>
              <w:rPr>
                <w:rFonts w:cs="Arial"/>
                <w:szCs w:val="20"/>
              </w:rPr>
            </w:pPr>
          </w:p>
        </w:tc>
      </w:tr>
    </w:tbl>
    <w:p w14:paraId="3B98B340" w14:textId="77777777" w:rsidR="006E3B26" w:rsidRPr="0051349C" w:rsidRDefault="006E3B26" w:rsidP="006E3B26">
      <w:pPr>
        <w:pStyle w:val="Heading1"/>
      </w:pPr>
    </w:p>
    <w:p w14:paraId="7E7710E7" w14:textId="77777777" w:rsidR="006E3B26" w:rsidRPr="0051349C" w:rsidRDefault="006E3B26" w:rsidP="006E3B26">
      <w:pPr>
        <w:pStyle w:val="Heading1"/>
      </w:pPr>
    </w:p>
    <w:p w14:paraId="66C5F693" w14:textId="77777777" w:rsidR="0051349C" w:rsidRPr="0051349C" w:rsidRDefault="0051349C" w:rsidP="00412F12">
      <w:pPr>
        <w:pStyle w:val="Heading1"/>
      </w:pPr>
    </w:p>
    <w:sectPr w:rsidR="0051349C" w:rsidRPr="0051349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7DB6F" w14:textId="77777777" w:rsidR="006F2119" w:rsidRDefault="006F2119" w:rsidP="00324744">
      <w:pPr>
        <w:spacing w:after="0" w:line="240" w:lineRule="auto"/>
      </w:pPr>
      <w:r>
        <w:separator/>
      </w:r>
    </w:p>
  </w:endnote>
  <w:endnote w:type="continuationSeparator" w:id="0">
    <w:p w14:paraId="7AB3DCA5" w14:textId="77777777" w:rsidR="006F2119" w:rsidRDefault="006F2119" w:rsidP="00324744">
      <w:pPr>
        <w:spacing w:after="0" w:line="240" w:lineRule="auto"/>
      </w:pPr>
      <w:r>
        <w:continuationSeparator/>
      </w:r>
    </w:p>
  </w:endnote>
  <w:endnote w:type="continuationNotice" w:id="1">
    <w:p w14:paraId="56FDE011" w14:textId="77777777" w:rsidR="006F2119" w:rsidRDefault="006F21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F69D" w14:textId="3B9351A8" w:rsidR="00046BA6" w:rsidRDefault="00B6118E">
    <w:pPr>
      <w:pStyle w:val="Footer"/>
    </w:pPr>
    <w:r>
      <w:t>CP_V</w:t>
    </w:r>
    <w:r w:rsidR="00046BA6">
      <w:rPr>
        <w:noProof/>
      </w:rPr>
      <mc:AlternateContent>
        <mc:Choice Requires="wps">
          <w:drawing>
            <wp:anchor distT="0" distB="0" distL="114300" distR="114300" simplePos="0" relativeHeight="251658241" behindDoc="0" locked="0" layoutInCell="1" allowOverlap="1" wp14:anchorId="66C5F6A2" wp14:editId="66C5F6A3">
              <wp:simplePos x="0" y="0"/>
              <wp:positionH relativeFrom="column">
                <wp:posOffset>-914400</wp:posOffset>
              </wp:positionH>
              <wp:positionV relativeFrom="paragraph">
                <wp:posOffset>376555</wp:posOffset>
              </wp:positionV>
              <wp:extent cx="7562850" cy="257175"/>
              <wp:effectExtent l="0" t="0" r="0" b="9525"/>
              <wp:wrapNone/>
              <wp:docPr id="2" name="Rectangle 2"/>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30EBA2" id="Rectangle 2" o:spid="_x0000_s1026" style="position:absolute;margin-left:-1in;margin-top:29.65pt;width:595.5pt;height:20.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" fillcolor="#40d1f5 [3208]" stroked="f" strokeweight="2pt"/>
          </w:pict>
        </mc:Fallback>
      </mc:AlternateContent>
    </w:r>
    <w:r w:rsidR="000521F3">
      <w:t>8.0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163EE" w14:textId="77777777" w:rsidR="006F2119" w:rsidRDefault="006F2119" w:rsidP="00324744">
      <w:pPr>
        <w:spacing w:after="0" w:line="240" w:lineRule="auto"/>
      </w:pPr>
      <w:r>
        <w:separator/>
      </w:r>
    </w:p>
  </w:footnote>
  <w:footnote w:type="continuationSeparator" w:id="0">
    <w:p w14:paraId="3576FB34" w14:textId="77777777" w:rsidR="006F2119" w:rsidRDefault="006F2119" w:rsidP="00324744">
      <w:pPr>
        <w:spacing w:after="0" w:line="240" w:lineRule="auto"/>
      </w:pPr>
      <w:r>
        <w:continuationSeparator/>
      </w:r>
    </w:p>
  </w:footnote>
  <w:footnote w:type="continuationNotice" w:id="1">
    <w:p w14:paraId="1495CE54" w14:textId="77777777" w:rsidR="006F2119" w:rsidRDefault="006F21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5F69C" w14:textId="77777777" w:rsidR="00046BA6" w:rsidRDefault="00046BA6">
    <w:pPr>
      <w:pStyle w:val="Header"/>
    </w:pPr>
    <w:r>
      <w:rPr>
        <w:noProof/>
      </w:rPr>
      <w:drawing>
        <wp:anchor distT="0" distB="0" distL="114300" distR="114300" simplePos="0" relativeHeight="251658242" behindDoc="0" locked="0" layoutInCell="1" allowOverlap="1" wp14:anchorId="66C5F69E" wp14:editId="66C5F69F">
          <wp:simplePos x="0" y="0"/>
          <wp:positionH relativeFrom="column">
            <wp:posOffset>3743325</wp:posOffset>
          </wp:positionH>
          <wp:positionV relativeFrom="paragraph">
            <wp:posOffset>-70485</wp:posOffset>
          </wp:positionV>
          <wp:extent cx="2066926" cy="32575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serve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6926" cy="32575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66C5F6A0" wp14:editId="66C5F6A1">
              <wp:simplePos x="0" y="0"/>
              <wp:positionH relativeFrom="column">
                <wp:posOffset>-914400</wp:posOffset>
              </wp:positionH>
              <wp:positionV relativeFrom="paragraph">
                <wp:posOffset>-487681</wp:posOffset>
              </wp:positionV>
              <wp:extent cx="7562850" cy="257175"/>
              <wp:effectExtent l="0" t="0" r="0" b="9525"/>
              <wp:wrapNone/>
              <wp:docPr id="1" name="Rectangle 1"/>
              <wp:cNvGraphicFramePr/>
              <a:graphic xmlns:a="http://schemas.openxmlformats.org/drawingml/2006/main">
                <a:graphicData uri="http://schemas.microsoft.com/office/word/2010/wordprocessingShape">
                  <wps:wsp>
                    <wps:cNvSpPr/>
                    <wps:spPr>
                      <a:xfrm>
                        <a:off x="0" y="0"/>
                        <a:ext cx="7562850" cy="2571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968F433" id="Rectangle 1" o:spid="_x0000_s1026" style="position:absolute;margin-left:-1in;margin-top:-38.4pt;width:595.5pt;height:20.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" fillcolor="#3e5aa8 [3204]"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F5F84"/>
    <w:multiLevelType w:val="hybridMultilevel"/>
    <w:tmpl w:val="367A6E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1529D"/>
    <w:multiLevelType w:val="hybridMultilevel"/>
    <w:tmpl w:val="0F2A2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E27F5"/>
    <w:multiLevelType w:val="hybridMultilevel"/>
    <w:tmpl w:val="FFFFFFFF"/>
    <w:lvl w:ilvl="0" w:tplc="6554B858">
      <w:start w:val="1"/>
      <w:numFmt w:val="bullet"/>
      <w:lvlText w:val=""/>
      <w:lvlJc w:val="left"/>
      <w:pPr>
        <w:ind w:left="720" w:hanging="360"/>
      </w:pPr>
      <w:rPr>
        <w:rFonts w:ascii="Symbol" w:hAnsi="Symbol" w:hint="default"/>
      </w:rPr>
    </w:lvl>
    <w:lvl w:ilvl="1" w:tplc="BF8CD87E">
      <w:start w:val="1"/>
      <w:numFmt w:val="bullet"/>
      <w:lvlText w:val="o"/>
      <w:lvlJc w:val="left"/>
      <w:pPr>
        <w:ind w:left="1440" w:hanging="360"/>
      </w:pPr>
      <w:rPr>
        <w:rFonts w:ascii="Courier New" w:hAnsi="Courier New" w:hint="default"/>
      </w:rPr>
    </w:lvl>
    <w:lvl w:ilvl="2" w:tplc="F1BE9A82">
      <w:start w:val="1"/>
      <w:numFmt w:val="bullet"/>
      <w:lvlText w:val=""/>
      <w:lvlJc w:val="left"/>
      <w:pPr>
        <w:ind w:left="2160" w:hanging="360"/>
      </w:pPr>
      <w:rPr>
        <w:rFonts w:ascii="Wingdings" w:hAnsi="Wingdings" w:hint="default"/>
      </w:rPr>
    </w:lvl>
    <w:lvl w:ilvl="3" w:tplc="E2545594">
      <w:start w:val="1"/>
      <w:numFmt w:val="bullet"/>
      <w:lvlText w:val=""/>
      <w:lvlJc w:val="left"/>
      <w:pPr>
        <w:ind w:left="2880" w:hanging="360"/>
      </w:pPr>
      <w:rPr>
        <w:rFonts w:ascii="Symbol" w:hAnsi="Symbol" w:hint="default"/>
      </w:rPr>
    </w:lvl>
    <w:lvl w:ilvl="4" w:tplc="A030F0D6">
      <w:start w:val="1"/>
      <w:numFmt w:val="bullet"/>
      <w:lvlText w:val="o"/>
      <w:lvlJc w:val="left"/>
      <w:pPr>
        <w:ind w:left="3600" w:hanging="360"/>
      </w:pPr>
      <w:rPr>
        <w:rFonts w:ascii="Courier New" w:hAnsi="Courier New" w:hint="default"/>
      </w:rPr>
    </w:lvl>
    <w:lvl w:ilvl="5" w:tplc="CB10C660">
      <w:start w:val="1"/>
      <w:numFmt w:val="bullet"/>
      <w:lvlText w:val=""/>
      <w:lvlJc w:val="left"/>
      <w:pPr>
        <w:ind w:left="4320" w:hanging="360"/>
      </w:pPr>
      <w:rPr>
        <w:rFonts w:ascii="Wingdings" w:hAnsi="Wingdings" w:hint="default"/>
      </w:rPr>
    </w:lvl>
    <w:lvl w:ilvl="6" w:tplc="0510B6A0">
      <w:start w:val="1"/>
      <w:numFmt w:val="bullet"/>
      <w:lvlText w:val=""/>
      <w:lvlJc w:val="left"/>
      <w:pPr>
        <w:ind w:left="5040" w:hanging="360"/>
      </w:pPr>
      <w:rPr>
        <w:rFonts w:ascii="Symbol" w:hAnsi="Symbol" w:hint="default"/>
      </w:rPr>
    </w:lvl>
    <w:lvl w:ilvl="7" w:tplc="9A44AFFC">
      <w:start w:val="1"/>
      <w:numFmt w:val="bullet"/>
      <w:lvlText w:val="o"/>
      <w:lvlJc w:val="left"/>
      <w:pPr>
        <w:ind w:left="5760" w:hanging="360"/>
      </w:pPr>
      <w:rPr>
        <w:rFonts w:ascii="Courier New" w:hAnsi="Courier New" w:hint="default"/>
      </w:rPr>
    </w:lvl>
    <w:lvl w:ilvl="8" w:tplc="ECDA0BEA">
      <w:start w:val="1"/>
      <w:numFmt w:val="bullet"/>
      <w:lvlText w:val=""/>
      <w:lvlJc w:val="left"/>
      <w:pPr>
        <w:ind w:left="6480" w:hanging="360"/>
      </w:pPr>
      <w:rPr>
        <w:rFonts w:ascii="Wingdings" w:hAnsi="Wingdings" w:hint="default"/>
      </w:rPr>
    </w:lvl>
  </w:abstractNum>
  <w:abstractNum w:abstractNumId="3" w15:restartNumberingAfterBreak="0">
    <w:nsid w:val="17595FB5"/>
    <w:multiLevelType w:val="hybridMultilevel"/>
    <w:tmpl w:val="D020D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4A0FB4"/>
    <w:multiLevelType w:val="hybridMultilevel"/>
    <w:tmpl w:val="FFFFFFFF"/>
    <w:lvl w:ilvl="0" w:tplc="3FD2BBC6">
      <w:start w:val="1"/>
      <w:numFmt w:val="bullet"/>
      <w:lvlText w:val=""/>
      <w:lvlJc w:val="left"/>
      <w:pPr>
        <w:ind w:left="720" w:hanging="360"/>
      </w:pPr>
      <w:rPr>
        <w:rFonts w:ascii="Symbol" w:hAnsi="Symbol" w:hint="default"/>
      </w:rPr>
    </w:lvl>
    <w:lvl w:ilvl="1" w:tplc="3D8228CE">
      <w:start w:val="1"/>
      <w:numFmt w:val="bullet"/>
      <w:lvlText w:val="o"/>
      <w:lvlJc w:val="left"/>
      <w:pPr>
        <w:ind w:left="1440" w:hanging="360"/>
      </w:pPr>
      <w:rPr>
        <w:rFonts w:ascii="Courier New" w:hAnsi="Courier New" w:hint="default"/>
      </w:rPr>
    </w:lvl>
    <w:lvl w:ilvl="2" w:tplc="E22A12DA">
      <w:start w:val="1"/>
      <w:numFmt w:val="bullet"/>
      <w:lvlText w:val=""/>
      <w:lvlJc w:val="left"/>
      <w:pPr>
        <w:ind w:left="2160" w:hanging="360"/>
      </w:pPr>
      <w:rPr>
        <w:rFonts w:ascii="Wingdings" w:hAnsi="Wingdings" w:hint="default"/>
      </w:rPr>
    </w:lvl>
    <w:lvl w:ilvl="3" w:tplc="754A2754">
      <w:start w:val="1"/>
      <w:numFmt w:val="bullet"/>
      <w:lvlText w:val=""/>
      <w:lvlJc w:val="left"/>
      <w:pPr>
        <w:ind w:left="2880" w:hanging="360"/>
      </w:pPr>
      <w:rPr>
        <w:rFonts w:ascii="Symbol" w:hAnsi="Symbol" w:hint="default"/>
      </w:rPr>
    </w:lvl>
    <w:lvl w:ilvl="4" w:tplc="488CA0AC">
      <w:start w:val="1"/>
      <w:numFmt w:val="bullet"/>
      <w:lvlText w:val="o"/>
      <w:lvlJc w:val="left"/>
      <w:pPr>
        <w:ind w:left="3600" w:hanging="360"/>
      </w:pPr>
      <w:rPr>
        <w:rFonts w:ascii="Courier New" w:hAnsi="Courier New" w:hint="default"/>
      </w:rPr>
    </w:lvl>
    <w:lvl w:ilvl="5" w:tplc="75E433DA">
      <w:start w:val="1"/>
      <w:numFmt w:val="bullet"/>
      <w:lvlText w:val=""/>
      <w:lvlJc w:val="left"/>
      <w:pPr>
        <w:ind w:left="4320" w:hanging="360"/>
      </w:pPr>
      <w:rPr>
        <w:rFonts w:ascii="Wingdings" w:hAnsi="Wingdings" w:hint="default"/>
      </w:rPr>
    </w:lvl>
    <w:lvl w:ilvl="6" w:tplc="8852464A">
      <w:start w:val="1"/>
      <w:numFmt w:val="bullet"/>
      <w:lvlText w:val=""/>
      <w:lvlJc w:val="left"/>
      <w:pPr>
        <w:ind w:left="5040" w:hanging="360"/>
      </w:pPr>
      <w:rPr>
        <w:rFonts w:ascii="Symbol" w:hAnsi="Symbol" w:hint="default"/>
      </w:rPr>
    </w:lvl>
    <w:lvl w:ilvl="7" w:tplc="FED4C826">
      <w:start w:val="1"/>
      <w:numFmt w:val="bullet"/>
      <w:lvlText w:val="o"/>
      <w:lvlJc w:val="left"/>
      <w:pPr>
        <w:ind w:left="5760" w:hanging="360"/>
      </w:pPr>
      <w:rPr>
        <w:rFonts w:ascii="Courier New" w:hAnsi="Courier New" w:hint="default"/>
      </w:rPr>
    </w:lvl>
    <w:lvl w:ilvl="8" w:tplc="DF1006D6">
      <w:start w:val="1"/>
      <w:numFmt w:val="bullet"/>
      <w:lvlText w:val=""/>
      <w:lvlJc w:val="left"/>
      <w:pPr>
        <w:ind w:left="6480" w:hanging="360"/>
      </w:pPr>
      <w:rPr>
        <w:rFonts w:ascii="Wingdings" w:hAnsi="Wingdings" w:hint="default"/>
      </w:rPr>
    </w:lvl>
  </w:abstractNum>
  <w:abstractNum w:abstractNumId="5" w15:restartNumberingAfterBreak="0">
    <w:nsid w:val="272A2041"/>
    <w:multiLevelType w:val="hybridMultilevel"/>
    <w:tmpl w:val="DCE276B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BD82CCF"/>
    <w:multiLevelType w:val="hybridMultilevel"/>
    <w:tmpl w:val="06880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3278F2"/>
    <w:multiLevelType w:val="hybridMultilevel"/>
    <w:tmpl w:val="3AF42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8F62FF"/>
    <w:multiLevelType w:val="hybridMultilevel"/>
    <w:tmpl w:val="13F61F5C"/>
    <w:lvl w:ilvl="0" w:tplc="64BAB702">
      <w:start w:val="5"/>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C3623CA"/>
    <w:multiLevelType w:val="multilevel"/>
    <w:tmpl w:val="5980D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923550"/>
    <w:multiLevelType w:val="hybridMultilevel"/>
    <w:tmpl w:val="00D66AB6"/>
    <w:lvl w:ilvl="0" w:tplc="E62CC19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82108D"/>
    <w:multiLevelType w:val="hybridMultilevel"/>
    <w:tmpl w:val="2ED88E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A389F"/>
    <w:multiLevelType w:val="hybridMultilevel"/>
    <w:tmpl w:val="9AF2AC26"/>
    <w:lvl w:ilvl="0" w:tplc="40682D6A">
      <w:start w:val="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FC3A93"/>
    <w:multiLevelType w:val="hybridMultilevel"/>
    <w:tmpl w:val="9D0A21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817943"/>
    <w:multiLevelType w:val="hybridMultilevel"/>
    <w:tmpl w:val="EF3214A4"/>
    <w:lvl w:ilvl="0" w:tplc="0C7C74E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4E5C77EB"/>
    <w:multiLevelType w:val="hybridMultilevel"/>
    <w:tmpl w:val="A69C53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3954A85"/>
    <w:multiLevelType w:val="hybridMultilevel"/>
    <w:tmpl w:val="272AC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867592"/>
    <w:multiLevelType w:val="hybridMultilevel"/>
    <w:tmpl w:val="1248C9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8EF754F"/>
    <w:multiLevelType w:val="hybridMultilevel"/>
    <w:tmpl w:val="6B7AA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D403BC"/>
    <w:multiLevelType w:val="hybridMultilevel"/>
    <w:tmpl w:val="AF72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384C39"/>
    <w:multiLevelType w:val="hybridMultilevel"/>
    <w:tmpl w:val="4B28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E0D27D5"/>
    <w:multiLevelType w:val="hybridMultilevel"/>
    <w:tmpl w:val="FCDAE3B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1E1595"/>
    <w:multiLevelType w:val="hybridMultilevel"/>
    <w:tmpl w:val="6C8E25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0DF723A"/>
    <w:multiLevelType w:val="hybridMultilevel"/>
    <w:tmpl w:val="B538C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C058E3"/>
    <w:multiLevelType w:val="hybridMultilevel"/>
    <w:tmpl w:val="9532285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49F3C3A"/>
    <w:multiLevelType w:val="hybridMultilevel"/>
    <w:tmpl w:val="81D67A4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9F2A0A"/>
    <w:multiLevelType w:val="hybridMultilevel"/>
    <w:tmpl w:val="F830115C"/>
    <w:lvl w:ilvl="0" w:tplc="6E785D12">
      <w:start w:val="1"/>
      <w:numFmt w:val="decimal"/>
      <w:lvlText w:val="%1b."/>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136E62"/>
    <w:multiLevelType w:val="hybridMultilevel"/>
    <w:tmpl w:val="85324A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CB64AE"/>
    <w:multiLevelType w:val="hybridMultilevel"/>
    <w:tmpl w:val="758C0C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0"/>
  </w:num>
  <w:num w:numId="2">
    <w:abstractNumId w:val="7"/>
  </w:num>
  <w:num w:numId="3">
    <w:abstractNumId w:val="17"/>
  </w:num>
  <w:num w:numId="4">
    <w:abstractNumId w:val="15"/>
  </w:num>
  <w:num w:numId="5">
    <w:abstractNumId w:val="28"/>
  </w:num>
  <w:num w:numId="6">
    <w:abstractNumId w:val="26"/>
  </w:num>
  <w:num w:numId="7">
    <w:abstractNumId w:val="8"/>
  </w:num>
  <w:num w:numId="8">
    <w:abstractNumId w:val="12"/>
  </w:num>
  <w:num w:numId="9">
    <w:abstractNumId w:val="18"/>
  </w:num>
  <w:num w:numId="10">
    <w:abstractNumId w:val="9"/>
  </w:num>
  <w:num w:numId="11">
    <w:abstractNumId w:val="1"/>
  </w:num>
  <w:num w:numId="12">
    <w:abstractNumId w:val="3"/>
  </w:num>
  <w:num w:numId="13">
    <w:abstractNumId w:val="19"/>
  </w:num>
  <w:num w:numId="14">
    <w:abstractNumId w:val="16"/>
  </w:num>
  <w:num w:numId="15">
    <w:abstractNumId w:val="23"/>
  </w:num>
  <w:num w:numId="16">
    <w:abstractNumId w:val="6"/>
  </w:num>
  <w:num w:numId="17">
    <w:abstractNumId w:val="2"/>
  </w:num>
  <w:num w:numId="18">
    <w:abstractNumId w:val="4"/>
  </w:num>
  <w:num w:numId="19">
    <w:abstractNumId w:val="10"/>
  </w:num>
  <w:num w:numId="20">
    <w:abstractNumId w:val="11"/>
  </w:num>
  <w:num w:numId="21">
    <w:abstractNumId w:val="22"/>
  </w:num>
  <w:num w:numId="22">
    <w:abstractNumId w:val="24"/>
  </w:num>
  <w:num w:numId="23">
    <w:abstractNumId w:val="25"/>
  </w:num>
  <w:num w:numId="24">
    <w:abstractNumId w:val="14"/>
  </w:num>
  <w:num w:numId="25">
    <w:abstractNumId w:val="27"/>
  </w:num>
  <w:num w:numId="26">
    <w:abstractNumId w:val="0"/>
  </w:num>
  <w:num w:numId="27">
    <w:abstractNumId w:val="21"/>
  </w:num>
  <w:num w:numId="28">
    <w:abstractNumId w:val="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DB"/>
    <w:rsid w:val="00000242"/>
    <w:rsid w:val="00000DF3"/>
    <w:rsid w:val="0000140B"/>
    <w:rsid w:val="00002D9D"/>
    <w:rsid w:val="0000467E"/>
    <w:rsid w:val="000047E3"/>
    <w:rsid w:val="00004BED"/>
    <w:rsid w:val="00006023"/>
    <w:rsid w:val="000125F4"/>
    <w:rsid w:val="000132A3"/>
    <w:rsid w:val="0002555E"/>
    <w:rsid w:val="00033212"/>
    <w:rsid w:val="000358E2"/>
    <w:rsid w:val="000370C8"/>
    <w:rsid w:val="00043E6A"/>
    <w:rsid w:val="00046BA6"/>
    <w:rsid w:val="000500D9"/>
    <w:rsid w:val="00050A89"/>
    <w:rsid w:val="00050EC0"/>
    <w:rsid w:val="000521F3"/>
    <w:rsid w:val="00055E4E"/>
    <w:rsid w:val="000564D7"/>
    <w:rsid w:val="00060F4A"/>
    <w:rsid w:val="00061490"/>
    <w:rsid w:val="00061EEE"/>
    <w:rsid w:val="0006547C"/>
    <w:rsid w:val="0006690B"/>
    <w:rsid w:val="00066F35"/>
    <w:rsid w:val="00071E1D"/>
    <w:rsid w:val="000768BB"/>
    <w:rsid w:val="00077139"/>
    <w:rsid w:val="00081AB5"/>
    <w:rsid w:val="00084C47"/>
    <w:rsid w:val="00093D75"/>
    <w:rsid w:val="000A1437"/>
    <w:rsid w:val="000A1AD1"/>
    <w:rsid w:val="000A61E1"/>
    <w:rsid w:val="000A67E0"/>
    <w:rsid w:val="000A6CE8"/>
    <w:rsid w:val="000B4820"/>
    <w:rsid w:val="000B712C"/>
    <w:rsid w:val="000C18C2"/>
    <w:rsid w:val="000C4923"/>
    <w:rsid w:val="000D0B13"/>
    <w:rsid w:val="000D1355"/>
    <w:rsid w:val="000D2444"/>
    <w:rsid w:val="000D4194"/>
    <w:rsid w:val="000D47E5"/>
    <w:rsid w:val="000E3E26"/>
    <w:rsid w:val="000F3FFC"/>
    <w:rsid w:val="000F4EA6"/>
    <w:rsid w:val="000F589F"/>
    <w:rsid w:val="000F5E2E"/>
    <w:rsid w:val="0010135A"/>
    <w:rsid w:val="00102BDE"/>
    <w:rsid w:val="001077E9"/>
    <w:rsid w:val="00107BC2"/>
    <w:rsid w:val="00112A91"/>
    <w:rsid w:val="00121387"/>
    <w:rsid w:val="00122449"/>
    <w:rsid w:val="0012385F"/>
    <w:rsid w:val="00125B61"/>
    <w:rsid w:val="00131067"/>
    <w:rsid w:val="00132F81"/>
    <w:rsid w:val="001339D6"/>
    <w:rsid w:val="00134189"/>
    <w:rsid w:val="0014162E"/>
    <w:rsid w:val="00142140"/>
    <w:rsid w:val="00144E00"/>
    <w:rsid w:val="00147035"/>
    <w:rsid w:val="00151C09"/>
    <w:rsid w:val="00156FD9"/>
    <w:rsid w:val="00173E94"/>
    <w:rsid w:val="001763BD"/>
    <w:rsid w:val="001804DE"/>
    <w:rsid w:val="00183868"/>
    <w:rsid w:val="001846A9"/>
    <w:rsid w:val="001919F7"/>
    <w:rsid w:val="00195C86"/>
    <w:rsid w:val="00195FF9"/>
    <w:rsid w:val="001A2FBC"/>
    <w:rsid w:val="001A626D"/>
    <w:rsid w:val="001A64C3"/>
    <w:rsid w:val="001A6C5D"/>
    <w:rsid w:val="001A70B2"/>
    <w:rsid w:val="001A74D0"/>
    <w:rsid w:val="001B0ED8"/>
    <w:rsid w:val="001B13E2"/>
    <w:rsid w:val="001B2D13"/>
    <w:rsid w:val="001B6AD2"/>
    <w:rsid w:val="001E0BDE"/>
    <w:rsid w:val="001E45E5"/>
    <w:rsid w:val="002025AA"/>
    <w:rsid w:val="00205E76"/>
    <w:rsid w:val="00206290"/>
    <w:rsid w:val="00210BC5"/>
    <w:rsid w:val="00211710"/>
    <w:rsid w:val="00212B1C"/>
    <w:rsid w:val="002201FE"/>
    <w:rsid w:val="00221BB7"/>
    <w:rsid w:val="002244BD"/>
    <w:rsid w:val="002247C6"/>
    <w:rsid w:val="00226D34"/>
    <w:rsid w:val="00231BA4"/>
    <w:rsid w:val="00232B34"/>
    <w:rsid w:val="00234890"/>
    <w:rsid w:val="002356FF"/>
    <w:rsid w:val="002365D1"/>
    <w:rsid w:val="00245939"/>
    <w:rsid w:val="00251FEA"/>
    <w:rsid w:val="00253C79"/>
    <w:rsid w:val="00260BBF"/>
    <w:rsid w:val="00260F0B"/>
    <w:rsid w:val="0026297A"/>
    <w:rsid w:val="00264F33"/>
    <w:rsid w:val="00271AC2"/>
    <w:rsid w:val="00277F06"/>
    <w:rsid w:val="00280A54"/>
    <w:rsid w:val="00282C98"/>
    <w:rsid w:val="00285904"/>
    <w:rsid w:val="0029036C"/>
    <w:rsid w:val="00290A05"/>
    <w:rsid w:val="002979F0"/>
    <w:rsid w:val="002A278D"/>
    <w:rsid w:val="002A6AEB"/>
    <w:rsid w:val="002B3E04"/>
    <w:rsid w:val="002B3FC0"/>
    <w:rsid w:val="002B4434"/>
    <w:rsid w:val="002B4CAF"/>
    <w:rsid w:val="002C409C"/>
    <w:rsid w:val="002D053D"/>
    <w:rsid w:val="002D4C55"/>
    <w:rsid w:val="002F0323"/>
    <w:rsid w:val="002F05D6"/>
    <w:rsid w:val="002F2AA3"/>
    <w:rsid w:val="002F448E"/>
    <w:rsid w:val="002F6240"/>
    <w:rsid w:val="0030378A"/>
    <w:rsid w:val="003039E9"/>
    <w:rsid w:val="00310A64"/>
    <w:rsid w:val="00311C97"/>
    <w:rsid w:val="003201A4"/>
    <w:rsid w:val="00324744"/>
    <w:rsid w:val="00337F65"/>
    <w:rsid w:val="003402DF"/>
    <w:rsid w:val="00340831"/>
    <w:rsid w:val="003414AB"/>
    <w:rsid w:val="00343317"/>
    <w:rsid w:val="003463C5"/>
    <w:rsid w:val="00347478"/>
    <w:rsid w:val="003516BA"/>
    <w:rsid w:val="003548DE"/>
    <w:rsid w:val="0035652F"/>
    <w:rsid w:val="003602D8"/>
    <w:rsid w:val="00363E3A"/>
    <w:rsid w:val="00367BC0"/>
    <w:rsid w:val="003774C3"/>
    <w:rsid w:val="00377B3E"/>
    <w:rsid w:val="003848F1"/>
    <w:rsid w:val="00386287"/>
    <w:rsid w:val="00387667"/>
    <w:rsid w:val="00387CD1"/>
    <w:rsid w:val="003900AC"/>
    <w:rsid w:val="00391B4D"/>
    <w:rsid w:val="003A067E"/>
    <w:rsid w:val="003A167A"/>
    <w:rsid w:val="003A32EA"/>
    <w:rsid w:val="003A5CFC"/>
    <w:rsid w:val="003A6F1A"/>
    <w:rsid w:val="003B4D44"/>
    <w:rsid w:val="003B7E16"/>
    <w:rsid w:val="003C2CFE"/>
    <w:rsid w:val="003D1F08"/>
    <w:rsid w:val="003D60D5"/>
    <w:rsid w:val="003E4036"/>
    <w:rsid w:val="003E7ABA"/>
    <w:rsid w:val="004003FA"/>
    <w:rsid w:val="00403D4A"/>
    <w:rsid w:val="00405934"/>
    <w:rsid w:val="00407C41"/>
    <w:rsid w:val="00412F12"/>
    <w:rsid w:val="00415901"/>
    <w:rsid w:val="004163EC"/>
    <w:rsid w:val="00426807"/>
    <w:rsid w:val="004313FE"/>
    <w:rsid w:val="0043356B"/>
    <w:rsid w:val="004336C5"/>
    <w:rsid w:val="00433A1A"/>
    <w:rsid w:val="00433BA5"/>
    <w:rsid w:val="00436B1A"/>
    <w:rsid w:val="00442659"/>
    <w:rsid w:val="00444C4C"/>
    <w:rsid w:val="00450A2C"/>
    <w:rsid w:val="00452B9E"/>
    <w:rsid w:val="00453135"/>
    <w:rsid w:val="00453553"/>
    <w:rsid w:val="00464418"/>
    <w:rsid w:val="00464FAE"/>
    <w:rsid w:val="00470388"/>
    <w:rsid w:val="004730B0"/>
    <w:rsid w:val="00473E9B"/>
    <w:rsid w:val="00476948"/>
    <w:rsid w:val="00477440"/>
    <w:rsid w:val="00482CA4"/>
    <w:rsid w:val="00485E77"/>
    <w:rsid w:val="00485F6F"/>
    <w:rsid w:val="00485F81"/>
    <w:rsid w:val="00487736"/>
    <w:rsid w:val="00493EBD"/>
    <w:rsid w:val="00494523"/>
    <w:rsid w:val="004A1BD9"/>
    <w:rsid w:val="004A3607"/>
    <w:rsid w:val="004A6FB2"/>
    <w:rsid w:val="004B4891"/>
    <w:rsid w:val="004B5E71"/>
    <w:rsid w:val="004C01C4"/>
    <w:rsid w:val="004D2DB5"/>
    <w:rsid w:val="004D42E7"/>
    <w:rsid w:val="004D4F5A"/>
    <w:rsid w:val="004D6DD5"/>
    <w:rsid w:val="004E4812"/>
    <w:rsid w:val="004E5DA8"/>
    <w:rsid w:val="004F2062"/>
    <w:rsid w:val="004F2A47"/>
    <w:rsid w:val="004F3362"/>
    <w:rsid w:val="004F5B48"/>
    <w:rsid w:val="0050049E"/>
    <w:rsid w:val="00500BE5"/>
    <w:rsid w:val="0050271C"/>
    <w:rsid w:val="005027CC"/>
    <w:rsid w:val="005037F9"/>
    <w:rsid w:val="00512309"/>
    <w:rsid w:val="005132C1"/>
    <w:rsid w:val="0051349C"/>
    <w:rsid w:val="00515B2A"/>
    <w:rsid w:val="00516D8E"/>
    <w:rsid w:val="005175E0"/>
    <w:rsid w:val="00517F6F"/>
    <w:rsid w:val="0052240D"/>
    <w:rsid w:val="005241A4"/>
    <w:rsid w:val="00524A8B"/>
    <w:rsid w:val="00525A7D"/>
    <w:rsid w:val="00526D57"/>
    <w:rsid w:val="00533B58"/>
    <w:rsid w:val="005501A6"/>
    <w:rsid w:val="005504A6"/>
    <w:rsid w:val="0055298E"/>
    <w:rsid w:val="00552F64"/>
    <w:rsid w:val="0055478D"/>
    <w:rsid w:val="00563BC5"/>
    <w:rsid w:val="00565F66"/>
    <w:rsid w:val="00567C13"/>
    <w:rsid w:val="0057075F"/>
    <w:rsid w:val="00573B62"/>
    <w:rsid w:val="005746AF"/>
    <w:rsid w:val="00575310"/>
    <w:rsid w:val="00582C46"/>
    <w:rsid w:val="00583AAD"/>
    <w:rsid w:val="0058557B"/>
    <w:rsid w:val="00587363"/>
    <w:rsid w:val="005906B8"/>
    <w:rsid w:val="00592B27"/>
    <w:rsid w:val="0059529B"/>
    <w:rsid w:val="005A1776"/>
    <w:rsid w:val="005A197D"/>
    <w:rsid w:val="005A43A6"/>
    <w:rsid w:val="005A44DF"/>
    <w:rsid w:val="005A6B14"/>
    <w:rsid w:val="005A6CFA"/>
    <w:rsid w:val="005B3F96"/>
    <w:rsid w:val="005B744C"/>
    <w:rsid w:val="005C15DD"/>
    <w:rsid w:val="005C4554"/>
    <w:rsid w:val="005C6140"/>
    <w:rsid w:val="005D0AA4"/>
    <w:rsid w:val="005D4EDB"/>
    <w:rsid w:val="005D6263"/>
    <w:rsid w:val="005E1608"/>
    <w:rsid w:val="005E41BE"/>
    <w:rsid w:val="005E4C74"/>
    <w:rsid w:val="005E7365"/>
    <w:rsid w:val="005F5C39"/>
    <w:rsid w:val="00602977"/>
    <w:rsid w:val="00603E8E"/>
    <w:rsid w:val="00605EBE"/>
    <w:rsid w:val="006060D1"/>
    <w:rsid w:val="00610AA8"/>
    <w:rsid w:val="00613BC5"/>
    <w:rsid w:val="00614215"/>
    <w:rsid w:val="00621894"/>
    <w:rsid w:val="00621DAD"/>
    <w:rsid w:val="0062279B"/>
    <w:rsid w:val="006227B2"/>
    <w:rsid w:val="00622F38"/>
    <w:rsid w:val="006271F4"/>
    <w:rsid w:val="00627B57"/>
    <w:rsid w:val="0063037A"/>
    <w:rsid w:val="00630ED2"/>
    <w:rsid w:val="006327D3"/>
    <w:rsid w:val="00633B1F"/>
    <w:rsid w:val="00637EC5"/>
    <w:rsid w:val="00642297"/>
    <w:rsid w:val="0064277C"/>
    <w:rsid w:val="006471D5"/>
    <w:rsid w:val="006514E4"/>
    <w:rsid w:val="00653FE1"/>
    <w:rsid w:val="00661033"/>
    <w:rsid w:val="006670BA"/>
    <w:rsid w:val="00667338"/>
    <w:rsid w:val="006709E4"/>
    <w:rsid w:val="006718CF"/>
    <w:rsid w:val="00674DE5"/>
    <w:rsid w:val="0067534D"/>
    <w:rsid w:val="006776B8"/>
    <w:rsid w:val="00680FBC"/>
    <w:rsid w:val="0068210E"/>
    <w:rsid w:val="00690309"/>
    <w:rsid w:val="006903C1"/>
    <w:rsid w:val="00693C94"/>
    <w:rsid w:val="006953DA"/>
    <w:rsid w:val="006A2B81"/>
    <w:rsid w:val="006A2C69"/>
    <w:rsid w:val="006A5A77"/>
    <w:rsid w:val="006A6CF1"/>
    <w:rsid w:val="006A719F"/>
    <w:rsid w:val="006A7E10"/>
    <w:rsid w:val="006B18D0"/>
    <w:rsid w:val="006B1D05"/>
    <w:rsid w:val="006B2C14"/>
    <w:rsid w:val="006B44CE"/>
    <w:rsid w:val="006B5242"/>
    <w:rsid w:val="006B5363"/>
    <w:rsid w:val="006C592D"/>
    <w:rsid w:val="006C5AB1"/>
    <w:rsid w:val="006C5DC1"/>
    <w:rsid w:val="006C5FF0"/>
    <w:rsid w:val="006C66CA"/>
    <w:rsid w:val="006D1B8D"/>
    <w:rsid w:val="006D2332"/>
    <w:rsid w:val="006D2B02"/>
    <w:rsid w:val="006D3FAC"/>
    <w:rsid w:val="006E356B"/>
    <w:rsid w:val="006E3B26"/>
    <w:rsid w:val="006E4603"/>
    <w:rsid w:val="006E4BF7"/>
    <w:rsid w:val="006F2119"/>
    <w:rsid w:val="006F3657"/>
    <w:rsid w:val="0070118A"/>
    <w:rsid w:val="0070264A"/>
    <w:rsid w:val="007069BE"/>
    <w:rsid w:val="00714145"/>
    <w:rsid w:val="007204AB"/>
    <w:rsid w:val="00722970"/>
    <w:rsid w:val="007229EF"/>
    <w:rsid w:val="007243D3"/>
    <w:rsid w:val="00726034"/>
    <w:rsid w:val="007261DB"/>
    <w:rsid w:val="00727180"/>
    <w:rsid w:val="00732432"/>
    <w:rsid w:val="00733FF7"/>
    <w:rsid w:val="00734533"/>
    <w:rsid w:val="00734A65"/>
    <w:rsid w:val="00734DC4"/>
    <w:rsid w:val="0073535C"/>
    <w:rsid w:val="0075531C"/>
    <w:rsid w:val="00762BC6"/>
    <w:rsid w:val="00770535"/>
    <w:rsid w:val="007715F3"/>
    <w:rsid w:val="00771B44"/>
    <w:rsid w:val="007836E3"/>
    <w:rsid w:val="007855B1"/>
    <w:rsid w:val="00786E61"/>
    <w:rsid w:val="00791792"/>
    <w:rsid w:val="00792260"/>
    <w:rsid w:val="007934E5"/>
    <w:rsid w:val="00794CB3"/>
    <w:rsid w:val="00796430"/>
    <w:rsid w:val="00797698"/>
    <w:rsid w:val="007A086A"/>
    <w:rsid w:val="007A2F99"/>
    <w:rsid w:val="007A4B73"/>
    <w:rsid w:val="007A56DB"/>
    <w:rsid w:val="007A74B8"/>
    <w:rsid w:val="007B5011"/>
    <w:rsid w:val="007C325F"/>
    <w:rsid w:val="007C3B60"/>
    <w:rsid w:val="007C4F54"/>
    <w:rsid w:val="007C7F2B"/>
    <w:rsid w:val="007D0D1F"/>
    <w:rsid w:val="007D1554"/>
    <w:rsid w:val="007D4F26"/>
    <w:rsid w:val="007D6456"/>
    <w:rsid w:val="007D796E"/>
    <w:rsid w:val="007E075F"/>
    <w:rsid w:val="007E1F7D"/>
    <w:rsid w:val="007E22E3"/>
    <w:rsid w:val="007F0909"/>
    <w:rsid w:val="007F09E3"/>
    <w:rsid w:val="007F5643"/>
    <w:rsid w:val="00801252"/>
    <w:rsid w:val="00807258"/>
    <w:rsid w:val="008075EF"/>
    <w:rsid w:val="0081184F"/>
    <w:rsid w:val="0081275F"/>
    <w:rsid w:val="008133B1"/>
    <w:rsid w:val="008140EA"/>
    <w:rsid w:val="00817B24"/>
    <w:rsid w:val="00820F9A"/>
    <w:rsid w:val="0082322E"/>
    <w:rsid w:val="00823870"/>
    <w:rsid w:val="00827275"/>
    <w:rsid w:val="0083058A"/>
    <w:rsid w:val="00830E73"/>
    <w:rsid w:val="00832BEF"/>
    <w:rsid w:val="00833E9C"/>
    <w:rsid w:val="00835D37"/>
    <w:rsid w:val="00835E22"/>
    <w:rsid w:val="00837128"/>
    <w:rsid w:val="00843613"/>
    <w:rsid w:val="0084440B"/>
    <w:rsid w:val="00844727"/>
    <w:rsid w:val="00851369"/>
    <w:rsid w:val="00853AEB"/>
    <w:rsid w:val="00853EE7"/>
    <w:rsid w:val="00856AFB"/>
    <w:rsid w:val="00864211"/>
    <w:rsid w:val="00870EC1"/>
    <w:rsid w:val="00871F94"/>
    <w:rsid w:val="0087332D"/>
    <w:rsid w:val="00874C46"/>
    <w:rsid w:val="00876BE6"/>
    <w:rsid w:val="00876F69"/>
    <w:rsid w:val="00886E23"/>
    <w:rsid w:val="008932EE"/>
    <w:rsid w:val="00894BD9"/>
    <w:rsid w:val="00895BE8"/>
    <w:rsid w:val="00897E29"/>
    <w:rsid w:val="008A059F"/>
    <w:rsid w:val="008A1038"/>
    <w:rsid w:val="008A1E61"/>
    <w:rsid w:val="008B117D"/>
    <w:rsid w:val="008B7C4E"/>
    <w:rsid w:val="008B7E39"/>
    <w:rsid w:val="008C078A"/>
    <w:rsid w:val="008C5DC1"/>
    <w:rsid w:val="008C7942"/>
    <w:rsid w:val="008D2FCD"/>
    <w:rsid w:val="008D494A"/>
    <w:rsid w:val="008D72CE"/>
    <w:rsid w:val="008E3A73"/>
    <w:rsid w:val="008E6888"/>
    <w:rsid w:val="008E70D0"/>
    <w:rsid w:val="008F05D1"/>
    <w:rsid w:val="008F2612"/>
    <w:rsid w:val="008F53E8"/>
    <w:rsid w:val="00905F03"/>
    <w:rsid w:val="00906DD4"/>
    <w:rsid w:val="00911BFF"/>
    <w:rsid w:val="00914A7E"/>
    <w:rsid w:val="009159C1"/>
    <w:rsid w:val="0092094A"/>
    <w:rsid w:val="00930ABF"/>
    <w:rsid w:val="0094246F"/>
    <w:rsid w:val="009439D5"/>
    <w:rsid w:val="00945316"/>
    <w:rsid w:val="00950BAB"/>
    <w:rsid w:val="0095292B"/>
    <w:rsid w:val="0095319A"/>
    <w:rsid w:val="00962958"/>
    <w:rsid w:val="00965B8B"/>
    <w:rsid w:val="00976D5B"/>
    <w:rsid w:val="00977AD7"/>
    <w:rsid w:val="00977B79"/>
    <w:rsid w:val="00985B4B"/>
    <w:rsid w:val="009869E5"/>
    <w:rsid w:val="00991D1C"/>
    <w:rsid w:val="00992D8D"/>
    <w:rsid w:val="00996FDF"/>
    <w:rsid w:val="009A13CD"/>
    <w:rsid w:val="009B7B91"/>
    <w:rsid w:val="009C1729"/>
    <w:rsid w:val="009C1D28"/>
    <w:rsid w:val="009C3AAE"/>
    <w:rsid w:val="009C48FD"/>
    <w:rsid w:val="009D0A60"/>
    <w:rsid w:val="009D38A3"/>
    <w:rsid w:val="009D57DE"/>
    <w:rsid w:val="009D6EE7"/>
    <w:rsid w:val="009E2EE6"/>
    <w:rsid w:val="009E3053"/>
    <w:rsid w:val="009E4663"/>
    <w:rsid w:val="009E485B"/>
    <w:rsid w:val="009E49DE"/>
    <w:rsid w:val="009E6FF9"/>
    <w:rsid w:val="009F3883"/>
    <w:rsid w:val="009F3E4D"/>
    <w:rsid w:val="009F3F13"/>
    <w:rsid w:val="009F4808"/>
    <w:rsid w:val="009F646A"/>
    <w:rsid w:val="009F7831"/>
    <w:rsid w:val="00A01B71"/>
    <w:rsid w:val="00A027BA"/>
    <w:rsid w:val="00A15751"/>
    <w:rsid w:val="00A2050B"/>
    <w:rsid w:val="00A24052"/>
    <w:rsid w:val="00A3037C"/>
    <w:rsid w:val="00A30CDA"/>
    <w:rsid w:val="00A32370"/>
    <w:rsid w:val="00A3623B"/>
    <w:rsid w:val="00A3697C"/>
    <w:rsid w:val="00A40409"/>
    <w:rsid w:val="00A4186F"/>
    <w:rsid w:val="00A41B8E"/>
    <w:rsid w:val="00A57CE8"/>
    <w:rsid w:val="00A60A41"/>
    <w:rsid w:val="00A63712"/>
    <w:rsid w:val="00A638A7"/>
    <w:rsid w:val="00A63F7D"/>
    <w:rsid w:val="00A66097"/>
    <w:rsid w:val="00A700B7"/>
    <w:rsid w:val="00A70156"/>
    <w:rsid w:val="00A82A57"/>
    <w:rsid w:val="00A830EB"/>
    <w:rsid w:val="00A90F7B"/>
    <w:rsid w:val="00A94347"/>
    <w:rsid w:val="00A95110"/>
    <w:rsid w:val="00A97692"/>
    <w:rsid w:val="00AA13E6"/>
    <w:rsid w:val="00AA255C"/>
    <w:rsid w:val="00AB028F"/>
    <w:rsid w:val="00AB5B54"/>
    <w:rsid w:val="00AB63DE"/>
    <w:rsid w:val="00AC4360"/>
    <w:rsid w:val="00AC63E6"/>
    <w:rsid w:val="00AC7EC6"/>
    <w:rsid w:val="00AE4005"/>
    <w:rsid w:val="00AE590E"/>
    <w:rsid w:val="00AE6A9B"/>
    <w:rsid w:val="00B05D1E"/>
    <w:rsid w:val="00B10279"/>
    <w:rsid w:val="00B11FE6"/>
    <w:rsid w:val="00B12FBB"/>
    <w:rsid w:val="00B142AE"/>
    <w:rsid w:val="00B15FE0"/>
    <w:rsid w:val="00B164AA"/>
    <w:rsid w:val="00B17738"/>
    <w:rsid w:val="00B237DE"/>
    <w:rsid w:val="00B30B64"/>
    <w:rsid w:val="00B453CA"/>
    <w:rsid w:val="00B47489"/>
    <w:rsid w:val="00B50EDC"/>
    <w:rsid w:val="00B542B2"/>
    <w:rsid w:val="00B576B2"/>
    <w:rsid w:val="00B6118E"/>
    <w:rsid w:val="00B74078"/>
    <w:rsid w:val="00B75013"/>
    <w:rsid w:val="00B81ADA"/>
    <w:rsid w:val="00B82492"/>
    <w:rsid w:val="00B91B01"/>
    <w:rsid w:val="00B95647"/>
    <w:rsid w:val="00B967D9"/>
    <w:rsid w:val="00BA0CE0"/>
    <w:rsid w:val="00BA0FED"/>
    <w:rsid w:val="00BB0C50"/>
    <w:rsid w:val="00BB65EE"/>
    <w:rsid w:val="00BC00E9"/>
    <w:rsid w:val="00BC054E"/>
    <w:rsid w:val="00BC1BF8"/>
    <w:rsid w:val="00BC3CAC"/>
    <w:rsid w:val="00BC4186"/>
    <w:rsid w:val="00BC4FC1"/>
    <w:rsid w:val="00BC556F"/>
    <w:rsid w:val="00BC6C45"/>
    <w:rsid w:val="00BD0A45"/>
    <w:rsid w:val="00BD6281"/>
    <w:rsid w:val="00BD7864"/>
    <w:rsid w:val="00BE0BE9"/>
    <w:rsid w:val="00BE2EFD"/>
    <w:rsid w:val="00BE45E1"/>
    <w:rsid w:val="00BE5BCF"/>
    <w:rsid w:val="00BF6893"/>
    <w:rsid w:val="00BF6A47"/>
    <w:rsid w:val="00C017FE"/>
    <w:rsid w:val="00C01CAE"/>
    <w:rsid w:val="00C06409"/>
    <w:rsid w:val="00C07B83"/>
    <w:rsid w:val="00C14B32"/>
    <w:rsid w:val="00C17DA8"/>
    <w:rsid w:val="00C22090"/>
    <w:rsid w:val="00C26956"/>
    <w:rsid w:val="00C26F2D"/>
    <w:rsid w:val="00C27C66"/>
    <w:rsid w:val="00C300AE"/>
    <w:rsid w:val="00C30FB9"/>
    <w:rsid w:val="00C34211"/>
    <w:rsid w:val="00C346F6"/>
    <w:rsid w:val="00C368A4"/>
    <w:rsid w:val="00C408DE"/>
    <w:rsid w:val="00C4248A"/>
    <w:rsid w:val="00C44CF7"/>
    <w:rsid w:val="00C45A86"/>
    <w:rsid w:val="00C467E2"/>
    <w:rsid w:val="00C4790B"/>
    <w:rsid w:val="00C47C3B"/>
    <w:rsid w:val="00C51384"/>
    <w:rsid w:val="00C51745"/>
    <w:rsid w:val="00C63290"/>
    <w:rsid w:val="00C63328"/>
    <w:rsid w:val="00C67E20"/>
    <w:rsid w:val="00C70976"/>
    <w:rsid w:val="00C769A1"/>
    <w:rsid w:val="00C860AB"/>
    <w:rsid w:val="00C87A73"/>
    <w:rsid w:val="00C923FC"/>
    <w:rsid w:val="00C92A7F"/>
    <w:rsid w:val="00C92D0E"/>
    <w:rsid w:val="00C941BD"/>
    <w:rsid w:val="00CA6918"/>
    <w:rsid w:val="00CB132E"/>
    <w:rsid w:val="00CB19FB"/>
    <w:rsid w:val="00CB3DCC"/>
    <w:rsid w:val="00CB78F7"/>
    <w:rsid w:val="00CC2E61"/>
    <w:rsid w:val="00CC510D"/>
    <w:rsid w:val="00CC7B74"/>
    <w:rsid w:val="00CD0B04"/>
    <w:rsid w:val="00CD1EC2"/>
    <w:rsid w:val="00CD22FC"/>
    <w:rsid w:val="00CD6DEC"/>
    <w:rsid w:val="00CE135D"/>
    <w:rsid w:val="00CF035F"/>
    <w:rsid w:val="00CF131E"/>
    <w:rsid w:val="00CF1408"/>
    <w:rsid w:val="00CF2F3D"/>
    <w:rsid w:val="00D05E11"/>
    <w:rsid w:val="00D072E2"/>
    <w:rsid w:val="00D074B3"/>
    <w:rsid w:val="00D1063E"/>
    <w:rsid w:val="00D12DF0"/>
    <w:rsid w:val="00D13777"/>
    <w:rsid w:val="00D15204"/>
    <w:rsid w:val="00D16D33"/>
    <w:rsid w:val="00D16D5B"/>
    <w:rsid w:val="00D2202F"/>
    <w:rsid w:val="00D22052"/>
    <w:rsid w:val="00D230B9"/>
    <w:rsid w:val="00D24EE6"/>
    <w:rsid w:val="00D25023"/>
    <w:rsid w:val="00D27C79"/>
    <w:rsid w:val="00D328D3"/>
    <w:rsid w:val="00D33058"/>
    <w:rsid w:val="00D348F5"/>
    <w:rsid w:val="00D349F1"/>
    <w:rsid w:val="00D36766"/>
    <w:rsid w:val="00D36B2F"/>
    <w:rsid w:val="00D3796E"/>
    <w:rsid w:val="00D42773"/>
    <w:rsid w:val="00D6225D"/>
    <w:rsid w:val="00D63280"/>
    <w:rsid w:val="00D66C7E"/>
    <w:rsid w:val="00D7153A"/>
    <w:rsid w:val="00D7162D"/>
    <w:rsid w:val="00D73EAA"/>
    <w:rsid w:val="00D74B2D"/>
    <w:rsid w:val="00D75811"/>
    <w:rsid w:val="00D77A83"/>
    <w:rsid w:val="00D80C43"/>
    <w:rsid w:val="00D83DC8"/>
    <w:rsid w:val="00D877EF"/>
    <w:rsid w:val="00D93896"/>
    <w:rsid w:val="00D96E9D"/>
    <w:rsid w:val="00DA6D80"/>
    <w:rsid w:val="00DB0667"/>
    <w:rsid w:val="00DB2928"/>
    <w:rsid w:val="00DB3AC2"/>
    <w:rsid w:val="00DC2919"/>
    <w:rsid w:val="00DC5C5E"/>
    <w:rsid w:val="00DD025C"/>
    <w:rsid w:val="00DD0C5B"/>
    <w:rsid w:val="00DD422B"/>
    <w:rsid w:val="00DE4CEA"/>
    <w:rsid w:val="00DE51FF"/>
    <w:rsid w:val="00DF11A4"/>
    <w:rsid w:val="00DF42C4"/>
    <w:rsid w:val="00DF7C04"/>
    <w:rsid w:val="00E01197"/>
    <w:rsid w:val="00E01678"/>
    <w:rsid w:val="00E01C6B"/>
    <w:rsid w:val="00E04E8E"/>
    <w:rsid w:val="00E0654D"/>
    <w:rsid w:val="00E1094C"/>
    <w:rsid w:val="00E11BBD"/>
    <w:rsid w:val="00E22E54"/>
    <w:rsid w:val="00E304FD"/>
    <w:rsid w:val="00E309D6"/>
    <w:rsid w:val="00E32DB9"/>
    <w:rsid w:val="00E3461C"/>
    <w:rsid w:val="00E365C3"/>
    <w:rsid w:val="00E36676"/>
    <w:rsid w:val="00E366A7"/>
    <w:rsid w:val="00E40B74"/>
    <w:rsid w:val="00E41430"/>
    <w:rsid w:val="00E4292E"/>
    <w:rsid w:val="00E43E01"/>
    <w:rsid w:val="00E472C6"/>
    <w:rsid w:val="00E52546"/>
    <w:rsid w:val="00E5340D"/>
    <w:rsid w:val="00E543A5"/>
    <w:rsid w:val="00E62C61"/>
    <w:rsid w:val="00E6695A"/>
    <w:rsid w:val="00E67BE4"/>
    <w:rsid w:val="00E70BCB"/>
    <w:rsid w:val="00E75116"/>
    <w:rsid w:val="00E76835"/>
    <w:rsid w:val="00E80CBA"/>
    <w:rsid w:val="00E80FE4"/>
    <w:rsid w:val="00E83155"/>
    <w:rsid w:val="00E92C9F"/>
    <w:rsid w:val="00E960BE"/>
    <w:rsid w:val="00E97641"/>
    <w:rsid w:val="00EA511E"/>
    <w:rsid w:val="00EA56F6"/>
    <w:rsid w:val="00EA7120"/>
    <w:rsid w:val="00EB55C5"/>
    <w:rsid w:val="00EB7C9C"/>
    <w:rsid w:val="00EC371E"/>
    <w:rsid w:val="00EC3E8E"/>
    <w:rsid w:val="00EC622A"/>
    <w:rsid w:val="00EC649B"/>
    <w:rsid w:val="00EC75E7"/>
    <w:rsid w:val="00ED342B"/>
    <w:rsid w:val="00ED41AC"/>
    <w:rsid w:val="00ED6D3A"/>
    <w:rsid w:val="00EE2A81"/>
    <w:rsid w:val="00EE4A14"/>
    <w:rsid w:val="00EF2B03"/>
    <w:rsid w:val="00EF4F30"/>
    <w:rsid w:val="00EF7062"/>
    <w:rsid w:val="00EF7B70"/>
    <w:rsid w:val="00F000AD"/>
    <w:rsid w:val="00F020BD"/>
    <w:rsid w:val="00F02291"/>
    <w:rsid w:val="00F04A62"/>
    <w:rsid w:val="00F05933"/>
    <w:rsid w:val="00F1075D"/>
    <w:rsid w:val="00F12D81"/>
    <w:rsid w:val="00F146A4"/>
    <w:rsid w:val="00F200D4"/>
    <w:rsid w:val="00F25177"/>
    <w:rsid w:val="00F26010"/>
    <w:rsid w:val="00F30111"/>
    <w:rsid w:val="00F3187E"/>
    <w:rsid w:val="00F3373B"/>
    <w:rsid w:val="00F478AE"/>
    <w:rsid w:val="00F5564D"/>
    <w:rsid w:val="00F574FD"/>
    <w:rsid w:val="00F6079D"/>
    <w:rsid w:val="00F63648"/>
    <w:rsid w:val="00F63724"/>
    <w:rsid w:val="00F702D0"/>
    <w:rsid w:val="00F711FB"/>
    <w:rsid w:val="00F7286B"/>
    <w:rsid w:val="00F72FAC"/>
    <w:rsid w:val="00F7499B"/>
    <w:rsid w:val="00F758E8"/>
    <w:rsid w:val="00F81A39"/>
    <w:rsid w:val="00F82AA6"/>
    <w:rsid w:val="00F83D67"/>
    <w:rsid w:val="00F9062D"/>
    <w:rsid w:val="00F90DB7"/>
    <w:rsid w:val="00F93739"/>
    <w:rsid w:val="00F9391E"/>
    <w:rsid w:val="00F94942"/>
    <w:rsid w:val="00F95876"/>
    <w:rsid w:val="00FA0009"/>
    <w:rsid w:val="00FA0FCF"/>
    <w:rsid w:val="00FA3503"/>
    <w:rsid w:val="00FA3F4F"/>
    <w:rsid w:val="00FA5659"/>
    <w:rsid w:val="00FA70F5"/>
    <w:rsid w:val="00FA73F6"/>
    <w:rsid w:val="00FB04DB"/>
    <w:rsid w:val="00FB1FA8"/>
    <w:rsid w:val="00FB455D"/>
    <w:rsid w:val="00FB4F8F"/>
    <w:rsid w:val="00FB6488"/>
    <w:rsid w:val="00FC182B"/>
    <w:rsid w:val="00FD7131"/>
    <w:rsid w:val="00FF056B"/>
    <w:rsid w:val="00FF622D"/>
    <w:rsid w:val="00FF79AE"/>
    <w:rsid w:val="28903D4B"/>
    <w:rsid w:val="6982D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C5F55E"/>
  <w15:docId w15:val="{22A4B0CD-C03C-45CB-9A99-DB147538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Xo Normal"/>
    <w:qFormat/>
    <w:rsid w:val="007A56DB"/>
    <w:rPr>
      <w:rFonts w:ascii="Arial" w:hAnsi="Arial"/>
    </w:rPr>
  </w:style>
  <w:style w:type="paragraph" w:styleId="Heading1">
    <w:name w:val="heading 1"/>
    <w:aliases w:val="Xo Heading 1"/>
    <w:basedOn w:val="Normal"/>
    <w:next w:val="Normal"/>
    <w:link w:val="Heading1Char"/>
    <w:uiPriority w:val="9"/>
    <w:qFormat/>
    <w:rsid w:val="007A56DB"/>
    <w:pPr>
      <w:keepNext/>
      <w:keepLines/>
      <w:spacing w:before="480" w:after="0"/>
      <w:outlineLvl w:val="0"/>
    </w:pPr>
    <w:rPr>
      <w:rFonts w:eastAsiaTheme="majorEastAsia" w:cstheme="majorBidi"/>
      <w:b/>
      <w:bCs/>
      <w:color w:val="3E5AA8"/>
      <w:sz w:val="28"/>
      <w:szCs w:val="28"/>
    </w:rPr>
  </w:style>
  <w:style w:type="paragraph" w:styleId="Heading2">
    <w:name w:val="heading 2"/>
    <w:aliases w:val="Xo Heading 2"/>
    <w:basedOn w:val="Normal"/>
    <w:next w:val="Normal"/>
    <w:link w:val="Heading2Char"/>
    <w:uiPriority w:val="9"/>
    <w:unhideWhenUsed/>
    <w:qFormat/>
    <w:rsid w:val="007A56DB"/>
    <w:pPr>
      <w:keepNext/>
      <w:keepLines/>
      <w:spacing w:before="200" w:after="0"/>
      <w:outlineLvl w:val="1"/>
    </w:pPr>
    <w:rPr>
      <w:rFonts w:eastAsiaTheme="majorEastAsia" w:cstheme="majorBidi"/>
      <w:b/>
      <w:bCs/>
      <w:color w:val="6440A3"/>
      <w:sz w:val="26"/>
      <w:szCs w:val="26"/>
    </w:rPr>
  </w:style>
  <w:style w:type="paragraph" w:styleId="Heading3">
    <w:name w:val="heading 3"/>
    <w:basedOn w:val="Normal"/>
    <w:next w:val="Normal"/>
    <w:link w:val="Heading3Char"/>
    <w:uiPriority w:val="9"/>
    <w:unhideWhenUsed/>
    <w:qFormat/>
    <w:rsid w:val="00BD0A45"/>
    <w:pPr>
      <w:keepNext/>
      <w:keepLines/>
      <w:spacing w:before="200" w:after="0"/>
      <w:outlineLvl w:val="2"/>
    </w:pPr>
    <w:rPr>
      <w:rFonts w:asciiTheme="majorHAnsi" w:eastAsiaTheme="majorEastAsia" w:hAnsiTheme="majorHAnsi" w:cstheme="majorBidi"/>
      <w:b/>
      <w:bCs/>
      <w:color w:val="40D1F5" w:themeColor="accent5"/>
    </w:rPr>
  </w:style>
  <w:style w:type="paragraph" w:styleId="Heading4">
    <w:name w:val="heading 4"/>
    <w:aliases w:val="Xo Heading 4"/>
    <w:basedOn w:val="Normal"/>
    <w:next w:val="Normal"/>
    <w:link w:val="Heading4Char"/>
    <w:uiPriority w:val="9"/>
    <w:unhideWhenUsed/>
    <w:qFormat/>
    <w:rsid w:val="0000140B"/>
    <w:pPr>
      <w:keepNext/>
      <w:keepLines/>
      <w:spacing w:before="200" w:after="0"/>
      <w:outlineLvl w:val="3"/>
    </w:pPr>
    <w:rPr>
      <w:rFonts w:asciiTheme="majorHAnsi" w:eastAsiaTheme="majorEastAsia" w:hAnsiTheme="majorHAnsi" w:cstheme="majorBidi"/>
      <w:b/>
      <w:bCs/>
      <w:i/>
      <w:iCs/>
      <w:color w:val="3E5AA8" w:themeColor="accent1"/>
    </w:rPr>
  </w:style>
  <w:style w:type="paragraph" w:styleId="Heading5">
    <w:name w:val="heading 5"/>
    <w:basedOn w:val="Normal"/>
    <w:next w:val="Normal"/>
    <w:link w:val="Heading5Char"/>
    <w:uiPriority w:val="9"/>
    <w:semiHidden/>
    <w:unhideWhenUsed/>
    <w:rsid w:val="0000140B"/>
    <w:pPr>
      <w:keepNext/>
      <w:keepLines/>
      <w:spacing w:before="200" w:after="0"/>
      <w:outlineLvl w:val="4"/>
    </w:pPr>
    <w:rPr>
      <w:rFonts w:asciiTheme="majorHAnsi" w:eastAsiaTheme="majorEastAsia" w:hAnsiTheme="majorHAnsi" w:cstheme="majorBidi"/>
      <w:color w:val="1E2C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Xo No Spacing"/>
    <w:uiPriority w:val="1"/>
    <w:qFormat/>
    <w:rsid w:val="007A56DB"/>
    <w:pPr>
      <w:spacing w:after="0" w:line="240" w:lineRule="auto"/>
    </w:pPr>
    <w:rPr>
      <w:rFonts w:ascii="Arial" w:hAnsi="Arial"/>
    </w:rPr>
  </w:style>
  <w:style w:type="character" w:customStyle="1" w:styleId="Heading1Char">
    <w:name w:val="Heading 1 Char"/>
    <w:aliases w:val="Xo Heading 1 Char"/>
    <w:basedOn w:val="DefaultParagraphFont"/>
    <w:link w:val="Heading1"/>
    <w:uiPriority w:val="9"/>
    <w:rsid w:val="007A56DB"/>
    <w:rPr>
      <w:rFonts w:ascii="Arial" w:eastAsiaTheme="majorEastAsia" w:hAnsi="Arial" w:cstheme="majorBidi"/>
      <w:b/>
      <w:bCs/>
      <w:color w:val="3E5AA8"/>
      <w:sz w:val="28"/>
      <w:szCs w:val="28"/>
    </w:rPr>
  </w:style>
  <w:style w:type="character" w:customStyle="1" w:styleId="Heading2Char">
    <w:name w:val="Heading 2 Char"/>
    <w:aliases w:val="Xo Heading 2 Char"/>
    <w:basedOn w:val="DefaultParagraphFont"/>
    <w:link w:val="Heading2"/>
    <w:uiPriority w:val="9"/>
    <w:rsid w:val="007A56DB"/>
    <w:rPr>
      <w:rFonts w:ascii="Arial" w:eastAsiaTheme="majorEastAsia" w:hAnsi="Arial" w:cstheme="majorBidi"/>
      <w:b/>
      <w:bCs/>
      <w:color w:val="6440A3"/>
      <w:sz w:val="26"/>
      <w:szCs w:val="26"/>
    </w:rPr>
  </w:style>
  <w:style w:type="paragraph" w:styleId="Title">
    <w:name w:val="Title"/>
    <w:aliases w:val="Xo Title"/>
    <w:basedOn w:val="Normal"/>
    <w:next w:val="Normal"/>
    <w:link w:val="TitleChar"/>
    <w:uiPriority w:val="10"/>
    <w:qFormat/>
    <w:rsid w:val="00BD0A45"/>
    <w:pPr>
      <w:pBdr>
        <w:bottom w:val="single" w:sz="8" w:space="4" w:color="3E5AA8" w:themeColor="accent1"/>
      </w:pBdr>
      <w:spacing w:after="300" w:line="240" w:lineRule="auto"/>
      <w:contextualSpacing/>
    </w:pPr>
    <w:rPr>
      <w:rFonts w:eastAsiaTheme="majorEastAsia" w:cstheme="majorBidi"/>
      <w:b/>
      <w:color w:val="1D3E61"/>
      <w:spacing w:val="5"/>
      <w:kern w:val="28"/>
      <w:sz w:val="52"/>
      <w:szCs w:val="52"/>
    </w:rPr>
  </w:style>
  <w:style w:type="character" w:customStyle="1" w:styleId="TitleChar">
    <w:name w:val="Title Char"/>
    <w:aliases w:val="Xo Title Char"/>
    <w:basedOn w:val="DefaultParagraphFont"/>
    <w:link w:val="Title"/>
    <w:uiPriority w:val="10"/>
    <w:rsid w:val="00BD0A45"/>
    <w:rPr>
      <w:rFonts w:ascii="Arial" w:eastAsiaTheme="majorEastAsia" w:hAnsi="Arial" w:cstheme="majorBidi"/>
      <w:b/>
      <w:color w:val="1D3E61"/>
      <w:spacing w:val="5"/>
      <w:kern w:val="28"/>
      <w:sz w:val="52"/>
      <w:szCs w:val="52"/>
    </w:rPr>
  </w:style>
  <w:style w:type="paragraph" w:styleId="Subtitle">
    <w:name w:val="Subtitle"/>
    <w:aliases w:val="Xo Subtitle"/>
    <w:basedOn w:val="Normal"/>
    <w:next w:val="Normal"/>
    <w:link w:val="SubtitleChar"/>
    <w:uiPriority w:val="11"/>
    <w:qFormat/>
    <w:rsid w:val="00324744"/>
    <w:pPr>
      <w:numPr>
        <w:ilvl w:val="1"/>
      </w:numPr>
    </w:pPr>
    <w:rPr>
      <w:rFonts w:eastAsiaTheme="majorEastAsia" w:cstheme="majorBidi"/>
      <w:i/>
      <w:iCs/>
      <w:color w:val="56CF9E"/>
      <w:spacing w:val="15"/>
      <w:sz w:val="24"/>
      <w:szCs w:val="24"/>
    </w:rPr>
  </w:style>
  <w:style w:type="character" w:customStyle="1" w:styleId="SubtitleChar">
    <w:name w:val="Subtitle Char"/>
    <w:aliases w:val="Xo Subtitle Char"/>
    <w:basedOn w:val="DefaultParagraphFont"/>
    <w:link w:val="Subtitle"/>
    <w:uiPriority w:val="11"/>
    <w:rsid w:val="00324744"/>
    <w:rPr>
      <w:rFonts w:ascii="Arial" w:eastAsiaTheme="majorEastAsia" w:hAnsi="Arial" w:cstheme="majorBidi"/>
      <w:i/>
      <w:iCs/>
      <w:color w:val="56CF9E"/>
      <w:spacing w:val="15"/>
      <w:sz w:val="24"/>
      <w:szCs w:val="24"/>
    </w:rPr>
  </w:style>
  <w:style w:type="character" w:styleId="SubtleEmphasis">
    <w:name w:val="Subtle Emphasis"/>
    <w:aliases w:val="Xo Subtle Emphasis"/>
    <w:basedOn w:val="DefaultParagraphFont"/>
    <w:uiPriority w:val="19"/>
    <w:qFormat/>
    <w:rsid w:val="00324744"/>
    <w:rPr>
      <w:rFonts w:ascii="Arial" w:hAnsi="Arial"/>
      <w:i/>
      <w:iCs/>
      <w:color w:val="808080" w:themeColor="text1" w:themeTint="7F"/>
    </w:rPr>
  </w:style>
  <w:style w:type="paragraph" w:styleId="Header">
    <w:name w:val="header"/>
    <w:basedOn w:val="Normal"/>
    <w:link w:val="HeaderChar"/>
    <w:uiPriority w:val="99"/>
    <w:unhideWhenUsed/>
    <w:rsid w:val="00324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744"/>
    <w:rPr>
      <w:rFonts w:ascii="Arial" w:hAnsi="Arial"/>
    </w:rPr>
  </w:style>
  <w:style w:type="paragraph" w:styleId="Footer">
    <w:name w:val="footer"/>
    <w:basedOn w:val="Normal"/>
    <w:link w:val="FooterChar"/>
    <w:uiPriority w:val="99"/>
    <w:unhideWhenUsed/>
    <w:rsid w:val="00324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744"/>
    <w:rPr>
      <w:rFonts w:ascii="Arial" w:hAnsi="Arial"/>
    </w:rPr>
  </w:style>
  <w:style w:type="character" w:customStyle="1" w:styleId="Heading3Char">
    <w:name w:val="Heading 3 Char"/>
    <w:basedOn w:val="DefaultParagraphFont"/>
    <w:link w:val="Heading3"/>
    <w:uiPriority w:val="9"/>
    <w:rsid w:val="00BD0A45"/>
    <w:rPr>
      <w:rFonts w:asciiTheme="majorHAnsi" w:eastAsiaTheme="majorEastAsia" w:hAnsiTheme="majorHAnsi" w:cstheme="majorBidi"/>
      <w:b/>
      <w:bCs/>
      <w:color w:val="40D1F5" w:themeColor="accent5"/>
    </w:rPr>
  </w:style>
  <w:style w:type="paragraph" w:styleId="BalloonText">
    <w:name w:val="Balloon Text"/>
    <w:basedOn w:val="Normal"/>
    <w:link w:val="BalloonTextChar"/>
    <w:uiPriority w:val="99"/>
    <w:semiHidden/>
    <w:unhideWhenUsed/>
    <w:rsid w:val="005529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98E"/>
    <w:rPr>
      <w:rFonts w:ascii="Tahoma" w:hAnsi="Tahoma" w:cs="Tahoma"/>
      <w:sz w:val="16"/>
      <w:szCs w:val="16"/>
    </w:rPr>
  </w:style>
  <w:style w:type="character" w:styleId="Hyperlink">
    <w:name w:val="Hyperlink"/>
    <w:basedOn w:val="DefaultParagraphFont"/>
    <w:uiPriority w:val="99"/>
    <w:unhideWhenUsed/>
    <w:rsid w:val="0000140B"/>
    <w:rPr>
      <w:color w:val="6440A3" w:themeColor="hyperlink"/>
      <w:u w:val="single"/>
    </w:rPr>
  </w:style>
  <w:style w:type="character" w:customStyle="1" w:styleId="Heading4Char">
    <w:name w:val="Heading 4 Char"/>
    <w:aliases w:val="Xo Heading 4 Char"/>
    <w:basedOn w:val="DefaultParagraphFont"/>
    <w:link w:val="Heading4"/>
    <w:uiPriority w:val="9"/>
    <w:rsid w:val="0000140B"/>
    <w:rPr>
      <w:rFonts w:asciiTheme="majorHAnsi" w:eastAsiaTheme="majorEastAsia" w:hAnsiTheme="majorHAnsi" w:cstheme="majorBidi"/>
      <w:b/>
      <w:bCs/>
      <w:i/>
      <w:iCs/>
      <w:color w:val="3E5AA8" w:themeColor="accent1"/>
    </w:rPr>
  </w:style>
  <w:style w:type="character" w:customStyle="1" w:styleId="Heading5Char">
    <w:name w:val="Heading 5 Char"/>
    <w:basedOn w:val="DefaultParagraphFont"/>
    <w:link w:val="Heading5"/>
    <w:uiPriority w:val="9"/>
    <w:semiHidden/>
    <w:rsid w:val="0000140B"/>
    <w:rPr>
      <w:rFonts w:asciiTheme="majorHAnsi" w:eastAsiaTheme="majorEastAsia" w:hAnsiTheme="majorHAnsi" w:cstheme="majorBidi"/>
      <w:color w:val="1E2C53" w:themeColor="accent1" w:themeShade="7F"/>
    </w:rPr>
  </w:style>
  <w:style w:type="character" w:styleId="IntenseEmphasis">
    <w:name w:val="Intense Emphasis"/>
    <w:basedOn w:val="DefaultParagraphFont"/>
    <w:uiPriority w:val="21"/>
    <w:qFormat/>
    <w:rsid w:val="00426807"/>
    <w:rPr>
      <w:b/>
      <w:bCs/>
      <w:i/>
      <w:iCs/>
      <w:color w:val="3E5AA8" w:themeColor="accent1"/>
    </w:rPr>
  </w:style>
  <w:style w:type="character" w:styleId="Strong">
    <w:name w:val="Strong"/>
    <w:basedOn w:val="DefaultParagraphFont"/>
    <w:uiPriority w:val="22"/>
    <w:qFormat/>
    <w:rsid w:val="00426807"/>
    <w:rPr>
      <w:b/>
      <w:bCs/>
    </w:rPr>
  </w:style>
  <w:style w:type="paragraph" w:styleId="Quote">
    <w:name w:val="Quote"/>
    <w:basedOn w:val="Normal"/>
    <w:next w:val="Normal"/>
    <w:link w:val="QuoteChar"/>
    <w:uiPriority w:val="29"/>
    <w:qFormat/>
    <w:rsid w:val="00426807"/>
    <w:rPr>
      <w:i/>
      <w:iCs/>
      <w:color w:val="000000" w:themeColor="text1"/>
    </w:rPr>
  </w:style>
  <w:style w:type="character" w:customStyle="1" w:styleId="QuoteChar">
    <w:name w:val="Quote Char"/>
    <w:basedOn w:val="DefaultParagraphFont"/>
    <w:link w:val="Quote"/>
    <w:uiPriority w:val="29"/>
    <w:rsid w:val="00426807"/>
    <w:rPr>
      <w:rFonts w:ascii="Arial" w:hAnsi="Arial"/>
      <w:i/>
      <w:iCs/>
      <w:color w:val="000000" w:themeColor="text1"/>
    </w:rPr>
  </w:style>
  <w:style w:type="table" w:styleId="TableGrid">
    <w:name w:val="Table Grid"/>
    <w:basedOn w:val="TableNormal"/>
    <w:uiPriority w:val="59"/>
    <w:rsid w:val="00310A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10A64"/>
    <w:pPr>
      <w:ind w:left="720"/>
      <w:contextualSpacing/>
    </w:pPr>
    <w:rPr>
      <w:rFonts w:asciiTheme="minorHAnsi" w:hAnsiTheme="minorHAnsi"/>
    </w:rPr>
  </w:style>
  <w:style w:type="character" w:styleId="CommentReference">
    <w:name w:val="annotation reference"/>
    <w:basedOn w:val="DefaultParagraphFont"/>
    <w:uiPriority w:val="99"/>
    <w:semiHidden/>
    <w:unhideWhenUsed/>
    <w:rsid w:val="00C01CAE"/>
    <w:rPr>
      <w:sz w:val="16"/>
      <w:szCs w:val="16"/>
    </w:rPr>
  </w:style>
  <w:style w:type="paragraph" w:styleId="CommentText">
    <w:name w:val="annotation text"/>
    <w:basedOn w:val="Normal"/>
    <w:link w:val="CommentTextChar"/>
    <w:uiPriority w:val="99"/>
    <w:semiHidden/>
    <w:unhideWhenUsed/>
    <w:rsid w:val="00C01CAE"/>
    <w:pPr>
      <w:spacing w:line="240" w:lineRule="auto"/>
    </w:pPr>
    <w:rPr>
      <w:sz w:val="20"/>
      <w:szCs w:val="20"/>
    </w:rPr>
  </w:style>
  <w:style w:type="character" w:customStyle="1" w:styleId="CommentTextChar">
    <w:name w:val="Comment Text Char"/>
    <w:basedOn w:val="DefaultParagraphFont"/>
    <w:link w:val="CommentText"/>
    <w:uiPriority w:val="99"/>
    <w:semiHidden/>
    <w:rsid w:val="00C01CAE"/>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01CAE"/>
    <w:rPr>
      <w:b/>
      <w:bCs/>
    </w:rPr>
  </w:style>
  <w:style w:type="character" w:customStyle="1" w:styleId="CommentSubjectChar">
    <w:name w:val="Comment Subject Char"/>
    <w:basedOn w:val="CommentTextChar"/>
    <w:link w:val="CommentSubject"/>
    <w:uiPriority w:val="99"/>
    <w:semiHidden/>
    <w:rsid w:val="00C01CAE"/>
    <w:rPr>
      <w:rFonts w:ascii="Arial" w:hAnsi="Arial"/>
      <w:b/>
      <w:bCs/>
      <w:sz w:val="20"/>
      <w:szCs w:val="20"/>
    </w:rPr>
  </w:style>
  <w:style w:type="character" w:styleId="PlaceholderText">
    <w:name w:val="Placeholder Text"/>
    <w:basedOn w:val="DefaultParagraphFont"/>
    <w:uiPriority w:val="99"/>
    <w:semiHidden/>
    <w:rsid w:val="00886E23"/>
    <w:rPr>
      <w:color w:val="808080"/>
    </w:rPr>
  </w:style>
  <w:style w:type="character" w:styleId="UnresolvedMention">
    <w:name w:val="Unresolved Mention"/>
    <w:basedOn w:val="DefaultParagraphFont"/>
    <w:uiPriority w:val="99"/>
    <w:semiHidden/>
    <w:unhideWhenUsed/>
    <w:rsid w:val="00485F6F"/>
    <w:rPr>
      <w:color w:val="605E5C"/>
      <w:shd w:val="clear" w:color="auto" w:fill="E1DFDD"/>
    </w:rPr>
  </w:style>
  <w:style w:type="table" w:customStyle="1" w:styleId="TableGrid1">
    <w:name w:val="Table Grid1"/>
    <w:basedOn w:val="TableNormal"/>
    <w:next w:val="TableGrid"/>
    <w:uiPriority w:val="59"/>
    <w:rsid w:val="00260BBF"/>
    <w:pPr>
      <w:spacing w:after="0" w:line="240" w:lineRule="auto"/>
    </w:pPr>
    <w:rPr>
      <w:rFonts w:ascii="Arial" w:eastAsia="Times New Roman"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9452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D6456"/>
    <w:rPr>
      <w:color w:val="D2232A"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64086">
      <w:bodyDiv w:val="1"/>
      <w:marLeft w:val="0"/>
      <w:marRight w:val="0"/>
      <w:marTop w:val="0"/>
      <w:marBottom w:val="0"/>
      <w:divBdr>
        <w:top w:val="none" w:sz="0" w:space="0" w:color="auto"/>
        <w:left w:val="none" w:sz="0" w:space="0" w:color="auto"/>
        <w:bottom w:val="none" w:sz="0" w:space="0" w:color="auto"/>
        <w:right w:val="none" w:sz="0" w:space="0" w:color="auto"/>
      </w:divBdr>
    </w:div>
    <w:div w:id="241524527">
      <w:bodyDiv w:val="1"/>
      <w:marLeft w:val="0"/>
      <w:marRight w:val="0"/>
      <w:marTop w:val="0"/>
      <w:marBottom w:val="0"/>
      <w:divBdr>
        <w:top w:val="none" w:sz="0" w:space="0" w:color="auto"/>
        <w:left w:val="none" w:sz="0" w:space="0" w:color="auto"/>
        <w:bottom w:val="none" w:sz="0" w:space="0" w:color="auto"/>
        <w:right w:val="none" w:sz="0" w:space="0" w:color="auto"/>
      </w:divBdr>
    </w:div>
    <w:div w:id="486360928">
      <w:bodyDiv w:val="1"/>
      <w:marLeft w:val="0"/>
      <w:marRight w:val="0"/>
      <w:marTop w:val="0"/>
      <w:marBottom w:val="0"/>
      <w:divBdr>
        <w:top w:val="none" w:sz="0" w:space="0" w:color="auto"/>
        <w:left w:val="none" w:sz="0" w:space="0" w:color="auto"/>
        <w:bottom w:val="none" w:sz="0" w:space="0" w:color="auto"/>
        <w:right w:val="none" w:sz="0" w:space="0" w:color="auto"/>
      </w:divBdr>
      <w:divsChild>
        <w:div w:id="2088572773">
          <w:marLeft w:val="720"/>
          <w:marRight w:val="0"/>
          <w:marTop w:val="86"/>
          <w:marBottom w:val="0"/>
          <w:divBdr>
            <w:top w:val="none" w:sz="0" w:space="0" w:color="auto"/>
            <w:left w:val="none" w:sz="0" w:space="0" w:color="auto"/>
            <w:bottom w:val="none" w:sz="0" w:space="0" w:color="auto"/>
            <w:right w:val="none" w:sz="0" w:space="0" w:color="auto"/>
          </w:divBdr>
        </w:div>
      </w:divsChild>
    </w:div>
    <w:div w:id="508255331">
      <w:bodyDiv w:val="1"/>
      <w:marLeft w:val="0"/>
      <w:marRight w:val="0"/>
      <w:marTop w:val="0"/>
      <w:marBottom w:val="0"/>
      <w:divBdr>
        <w:top w:val="none" w:sz="0" w:space="0" w:color="auto"/>
        <w:left w:val="none" w:sz="0" w:space="0" w:color="auto"/>
        <w:bottom w:val="none" w:sz="0" w:space="0" w:color="auto"/>
        <w:right w:val="none" w:sz="0" w:space="0" w:color="auto"/>
      </w:divBdr>
      <w:divsChild>
        <w:div w:id="577717484">
          <w:marLeft w:val="720"/>
          <w:marRight w:val="0"/>
          <w:marTop w:val="86"/>
          <w:marBottom w:val="0"/>
          <w:divBdr>
            <w:top w:val="none" w:sz="0" w:space="0" w:color="auto"/>
            <w:left w:val="none" w:sz="0" w:space="0" w:color="auto"/>
            <w:bottom w:val="none" w:sz="0" w:space="0" w:color="auto"/>
            <w:right w:val="none" w:sz="0" w:space="0" w:color="auto"/>
          </w:divBdr>
        </w:div>
      </w:divsChild>
    </w:div>
    <w:div w:id="765729445">
      <w:bodyDiv w:val="1"/>
      <w:marLeft w:val="0"/>
      <w:marRight w:val="0"/>
      <w:marTop w:val="0"/>
      <w:marBottom w:val="0"/>
      <w:divBdr>
        <w:top w:val="none" w:sz="0" w:space="0" w:color="auto"/>
        <w:left w:val="none" w:sz="0" w:space="0" w:color="auto"/>
        <w:bottom w:val="none" w:sz="0" w:space="0" w:color="auto"/>
        <w:right w:val="none" w:sz="0" w:space="0" w:color="auto"/>
      </w:divBdr>
    </w:div>
    <w:div w:id="814029732">
      <w:bodyDiv w:val="1"/>
      <w:marLeft w:val="0"/>
      <w:marRight w:val="0"/>
      <w:marTop w:val="0"/>
      <w:marBottom w:val="0"/>
      <w:divBdr>
        <w:top w:val="none" w:sz="0" w:space="0" w:color="auto"/>
        <w:left w:val="none" w:sz="0" w:space="0" w:color="auto"/>
        <w:bottom w:val="none" w:sz="0" w:space="0" w:color="auto"/>
        <w:right w:val="none" w:sz="0" w:space="0" w:color="auto"/>
      </w:divBdr>
    </w:div>
    <w:div w:id="1109856233">
      <w:bodyDiv w:val="1"/>
      <w:marLeft w:val="0"/>
      <w:marRight w:val="0"/>
      <w:marTop w:val="0"/>
      <w:marBottom w:val="0"/>
      <w:divBdr>
        <w:top w:val="none" w:sz="0" w:space="0" w:color="auto"/>
        <w:left w:val="none" w:sz="0" w:space="0" w:color="auto"/>
        <w:bottom w:val="none" w:sz="0" w:space="0" w:color="auto"/>
        <w:right w:val="none" w:sz="0" w:space="0" w:color="auto"/>
      </w:divBdr>
    </w:div>
    <w:div w:id="1301612579">
      <w:bodyDiv w:val="1"/>
      <w:marLeft w:val="0"/>
      <w:marRight w:val="0"/>
      <w:marTop w:val="0"/>
      <w:marBottom w:val="0"/>
      <w:divBdr>
        <w:top w:val="none" w:sz="0" w:space="0" w:color="auto"/>
        <w:left w:val="none" w:sz="0" w:space="0" w:color="auto"/>
        <w:bottom w:val="none" w:sz="0" w:space="0" w:color="auto"/>
        <w:right w:val="none" w:sz="0" w:space="0" w:color="auto"/>
      </w:divBdr>
      <w:divsChild>
        <w:div w:id="550002219">
          <w:marLeft w:val="720"/>
          <w:marRight w:val="0"/>
          <w:marTop w:val="86"/>
          <w:marBottom w:val="0"/>
          <w:divBdr>
            <w:top w:val="none" w:sz="0" w:space="0" w:color="auto"/>
            <w:left w:val="none" w:sz="0" w:space="0" w:color="auto"/>
            <w:bottom w:val="none" w:sz="0" w:space="0" w:color="auto"/>
            <w:right w:val="none" w:sz="0" w:space="0" w:color="auto"/>
          </w:divBdr>
        </w:div>
      </w:divsChild>
    </w:div>
    <w:div w:id="1376075746">
      <w:bodyDiv w:val="1"/>
      <w:marLeft w:val="0"/>
      <w:marRight w:val="0"/>
      <w:marTop w:val="0"/>
      <w:marBottom w:val="0"/>
      <w:divBdr>
        <w:top w:val="none" w:sz="0" w:space="0" w:color="auto"/>
        <w:left w:val="none" w:sz="0" w:space="0" w:color="auto"/>
        <w:bottom w:val="none" w:sz="0" w:space="0" w:color="auto"/>
        <w:right w:val="none" w:sz="0" w:space="0" w:color="auto"/>
      </w:divBdr>
    </w:div>
    <w:div w:id="1383213205">
      <w:bodyDiv w:val="1"/>
      <w:marLeft w:val="0"/>
      <w:marRight w:val="0"/>
      <w:marTop w:val="0"/>
      <w:marBottom w:val="0"/>
      <w:divBdr>
        <w:top w:val="none" w:sz="0" w:space="0" w:color="auto"/>
        <w:left w:val="none" w:sz="0" w:space="0" w:color="auto"/>
        <w:bottom w:val="none" w:sz="0" w:space="0" w:color="auto"/>
        <w:right w:val="none" w:sz="0" w:space="0" w:color="auto"/>
      </w:divBdr>
    </w:div>
    <w:div w:id="1434864377">
      <w:bodyDiv w:val="1"/>
      <w:marLeft w:val="0"/>
      <w:marRight w:val="0"/>
      <w:marTop w:val="0"/>
      <w:marBottom w:val="0"/>
      <w:divBdr>
        <w:top w:val="none" w:sz="0" w:space="0" w:color="auto"/>
        <w:left w:val="none" w:sz="0" w:space="0" w:color="auto"/>
        <w:bottom w:val="none" w:sz="0" w:space="0" w:color="auto"/>
        <w:right w:val="none" w:sz="0" w:space="0" w:color="auto"/>
      </w:divBdr>
    </w:div>
    <w:div w:id="1450199472">
      <w:bodyDiv w:val="1"/>
      <w:marLeft w:val="0"/>
      <w:marRight w:val="0"/>
      <w:marTop w:val="0"/>
      <w:marBottom w:val="0"/>
      <w:divBdr>
        <w:top w:val="none" w:sz="0" w:space="0" w:color="auto"/>
        <w:left w:val="none" w:sz="0" w:space="0" w:color="auto"/>
        <w:bottom w:val="none" w:sz="0" w:space="0" w:color="auto"/>
        <w:right w:val="none" w:sz="0" w:space="0" w:color="auto"/>
      </w:divBdr>
    </w:div>
    <w:div w:id="1710563806">
      <w:bodyDiv w:val="1"/>
      <w:marLeft w:val="0"/>
      <w:marRight w:val="0"/>
      <w:marTop w:val="0"/>
      <w:marBottom w:val="0"/>
      <w:divBdr>
        <w:top w:val="none" w:sz="0" w:space="0" w:color="auto"/>
        <w:left w:val="none" w:sz="0" w:space="0" w:color="auto"/>
        <w:bottom w:val="none" w:sz="0" w:space="0" w:color="auto"/>
        <w:right w:val="none" w:sz="0" w:space="0" w:color="auto"/>
      </w:divBdr>
    </w:div>
    <w:div w:id="1781216532">
      <w:bodyDiv w:val="1"/>
      <w:marLeft w:val="0"/>
      <w:marRight w:val="0"/>
      <w:marTop w:val="0"/>
      <w:marBottom w:val="0"/>
      <w:divBdr>
        <w:top w:val="none" w:sz="0" w:space="0" w:color="auto"/>
        <w:left w:val="none" w:sz="0" w:space="0" w:color="auto"/>
        <w:bottom w:val="none" w:sz="0" w:space="0" w:color="auto"/>
        <w:right w:val="none" w:sz="0" w:space="0" w:color="auto"/>
      </w:divBdr>
    </w:div>
    <w:div w:id="1800879436">
      <w:bodyDiv w:val="1"/>
      <w:marLeft w:val="0"/>
      <w:marRight w:val="0"/>
      <w:marTop w:val="0"/>
      <w:marBottom w:val="0"/>
      <w:divBdr>
        <w:top w:val="none" w:sz="0" w:space="0" w:color="auto"/>
        <w:left w:val="none" w:sz="0" w:space="0" w:color="auto"/>
        <w:bottom w:val="none" w:sz="0" w:space="0" w:color="auto"/>
        <w:right w:val="none" w:sz="0" w:space="0" w:color="auto"/>
      </w:divBdr>
    </w:div>
    <w:div w:id="1801026981">
      <w:bodyDiv w:val="1"/>
      <w:marLeft w:val="0"/>
      <w:marRight w:val="0"/>
      <w:marTop w:val="0"/>
      <w:marBottom w:val="0"/>
      <w:divBdr>
        <w:top w:val="none" w:sz="0" w:space="0" w:color="auto"/>
        <w:left w:val="none" w:sz="0" w:space="0" w:color="auto"/>
        <w:bottom w:val="none" w:sz="0" w:space="0" w:color="auto"/>
        <w:right w:val="none" w:sz="0" w:space="0" w:color="auto"/>
      </w:divBdr>
      <w:divsChild>
        <w:div w:id="1113751090">
          <w:marLeft w:val="720"/>
          <w:marRight w:val="0"/>
          <w:marTop w:val="86"/>
          <w:marBottom w:val="0"/>
          <w:divBdr>
            <w:top w:val="none" w:sz="0" w:space="0" w:color="auto"/>
            <w:left w:val="none" w:sz="0" w:space="0" w:color="auto"/>
            <w:bottom w:val="none" w:sz="0" w:space="0" w:color="auto"/>
            <w:right w:val="none" w:sz="0" w:space="0" w:color="auto"/>
          </w:divBdr>
        </w:div>
      </w:divsChild>
    </w:div>
    <w:div w:id="2138142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asgovernance.co.uk/sites/default/files/ggf/book/2023-02/Modification%200819%20ROM%20Response%20-%20V1.0A.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asgovernance.co.uk/index.php/081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sgovernance.co.uk/index.php/0819"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klink@xoserv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Xoserve 2018">
      <a:dk1>
        <a:sysClr val="windowText" lastClr="000000"/>
      </a:dk1>
      <a:lt1>
        <a:sysClr val="window" lastClr="FFFFFF"/>
      </a:lt1>
      <a:dk2>
        <a:srgbClr val="1D3E61"/>
      </a:dk2>
      <a:lt2>
        <a:srgbClr val="EEECE1"/>
      </a:lt2>
      <a:accent1>
        <a:srgbClr val="3E5AA8"/>
      </a:accent1>
      <a:accent2>
        <a:srgbClr val="D75733"/>
      </a:accent2>
      <a:accent3>
        <a:srgbClr val="56CF9E"/>
      </a:accent3>
      <a:accent4>
        <a:srgbClr val="6440A3"/>
      </a:accent4>
      <a:accent5>
        <a:srgbClr val="40D1F5"/>
      </a:accent5>
      <a:accent6>
        <a:srgbClr val="FCBC55"/>
      </a:accent6>
      <a:hlink>
        <a:srgbClr val="6440A3"/>
      </a:hlink>
      <a:folHlink>
        <a:srgbClr val="D2232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0FB9CDCC5328344A3162B2D7C8A4CE2" ma:contentTypeVersion="16" ma:contentTypeDescription="Create a new document." ma:contentTypeScope="" ma:versionID="ede32156e104b9db28a12065827d15ac">
  <xsd:schema xmlns:xsd="http://www.w3.org/2001/XMLSchema" xmlns:xs="http://www.w3.org/2001/XMLSchema" xmlns:p="http://schemas.microsoft.com/office/2006/metadata/properties" xmlns:ns2="efb0c983-77a3-4edc-9303-e1cb655c76c7" xmlns:ns3="3ee84ff3-1fa2-4b0e-bbc1-9d3729ac2ba9" targetNamespace="http://schemas.microsoft.com/office/2006/metadata/properties" ma:root="true" ma:fieldsID="a8c1c2972ccccfaf548a4caf8c530352" ns2:_="" ns3:_="">
    <xsd:import namespace="efb0c983-77a3-4edc-9303-e1cb655c76c7"/>
    <xsd:import namespace="3ee84ff3-1fa2-4b0e-bbc1-9d3729ac2ba9"/>
    <xsd:element name="properties">
      <xsd:complexType>
        <xsd:sequence>
          <xsd:element name="documentManagement">
            <xsd:complexType>
              <xsd:all>
                <xsd:element ref="ns2:_Flow_SignoffStatus" minOccurs="0"/>
                <xsd:element ref="ns2:Sign_x002d_offBy"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b0c983-77a3-4edc-9303-e1cb655c76c7"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Sign_x002d_offBy" ma:index="9" nillable="true" ma:displayName="Sign-off By" ma:format="Dropdown" ma:list="UserInfo" ma:SharePointGroup="0" ma:internalName="Sign_x002d_off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cb18e80-c0a1-4e4c-a24b-611b5f62a90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ee84ff3-1fa2-4b0e-bbc1-9d3729ac2ba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edf0d92-15e2-4a18-8841-dbc4ae997dea}" ma:internalName="TaxCatchAll" ma:showField="CatchAllData" ma:web="3ee84ff3-1fa2-4b0e-bbc1-9d3729ac2b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3ee84ff3-1fa2-4b0e-bbc1-9d3729ac2ba9">
      <UserInfo>
        <DisplayName>James Barlow</DisplayName>
        <AccountId>75</AccountId>
        <AccountType/>
      </UserInfo>
      <UserInfo>
        <DisplayName>Victoria Mustard</DisplayName>
        <AccountId>320</AccountId>
        <AccountType/>
      </UserInfo>
    </SharedWithUsers>
    <_Flow_SignoffStatus xmlns="efb0c983-77a3-4edc-9303-e1cb655c76c7" xsi:nil="true"/>
    <TaxCatchAll xmlns="3ee84ff3-1fa2-4b0e-bbc1-9d3729ac2ba9" xsi:nil="true"/>
    <lcf76f155ced4ddcb4097134ff3c332f xmlns="efb0c983-77a3-4edc-9303-e1cb655c76c7">
      <Terms xmlns="http://schemas.microsoft.com/office/infopath/2007/PartnerControls"/>
    </lcf76f155ced4ddcb4097134ff3c332f>
    <Sign_x002d_offBy xmlns="efb0c983-77a3-4edc-9303-e1cb655c76c7">
      <UserInfo>
        <DisplayName/>
        <AccountId xsi:nil="true"/>
        <AccountType/>
      </UserInfo>
    </Sign_x002d_offBy>
  </documentManagement>
</p:properties>
</file>

<file path=customXml/itemProps1.xml><?xml version="1.0" encoding="utf-8"?>
<ds:datastoreItem xmlns:ds="http://schemas.openxmlformats.org/officeDocument/2006/customXml" ds:itemID="{10FE92D9-C373-4587-A1BF-C6A521F5EE35}">
  <ds:schemaRefs>
    <ds:schemaRef ds:uri="http://schemas.microsoft.com/sharepoint/v3/contenttype/forms"/>
  </ds:schemaRefs>
</ds:datastoreItem>
</file>

<file path=customXml/itemProps2.xml><?xml version="1.0" encoding="utf-8"?>
<ds:datastoreItem xmlns:ds="http://schemas.openxmlformats.org/officeDocument/2006/customXml" ds:itemID="{963FCCE8-2968-4995-99BA-A4E1AF050533}"/>
</file>

<file path=customXml/itemProps3.xml><?xml version="1.0" encoding="utf-8"?>
<ds:datastoreItem xmlns:ds="http://schemas.openxmlformats.org/officeDocument/2006/customXml" ds:itemID="{668BF3FB-3F9B-47D9-B7EF-28C81A9153A2}">
  <ds:schemaRefs>
    <ds:schemaRef ds:uri="http://schemas.openxmlformats.org/officeDocument/2006/bibliography"/>
  </ds:schemaRefs>
</ds:datastoreItem>
</file>

<file path=customXml/itemProps4.xml><?xml version="1.0" encoding="utf-8"?>
<ds:datastoreItem xmlns:ds="http://schemas.openxmlformats.org/officeDocument/2006/customXml" ds:itemID="{DA5FD1E4-E801-45E3-8622-5705A3614C6C}">
  <ds:schemaRefs>
    <ds:schemaRef ds:uri="http://schemas.microsoft.com/office/2006/metadata/properties"/>
    <ds:schemaRef ds:uri="http://schemas.microsoft.com/office/infopath/2007/PartnerControls"/>
    <ds:schemaRef ds:uri="c78a4dae-5fc0-4ed3-ad80-da51122ab114"/>
    <ds:schemaRef ds:uri="5844fa40-a696-4ac9-bd38-c0330d295109"/>
  </ds:schemaRefs>
</ds:datastoreItem>
</file>

<file path=docMetadata/LabelInfo.xml><?xml version="1.0" encoding="utf-8"?>
<clbl:labelList xmlns:clbl="http://schemas.microsoft.com/office/2020/mipLabelMetadata">
  <clbl:label id="{a603898f-7de2-45ba-b67d-d35fb519b2cf}" enabled="0" method="" siteId="{a603898f-7de2-45ba-b67d-d35fb519b2cf}" removed="1"/>
</clbl:labelList>
</file>

<file path=docProps/app.xml><?xml version="1.0" encoding="utf-8"?>
<Properties xmlns="http://schemas.openxmlformats.org/officeDocument/2006/extended-properties" xmlns:vt="http://schemas.openxmlformats.org/officeDocument/2006/docPropsVTypes">
  <Template>Normal</Template>
  <TotalTime>19</TotalTime>
  <Pages>6</Pages>
  <Words>1368</Words>
  <Characters>7799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9149</CharactersWithSpaces>
  <SharedDoc>false</SharedDoc>
  <HLinks>
    <vt:vector size="6" baseType="variant">
      <vt:variant>
        <vt:i4>6815836</vt:i4>
      </vt:variant>
      <vt:variant>
        <vt:i4>0</vt:i4>
      </vt:variant>
      <vt:variant>
        <vt:i4>0</vt:i4>
      </vt:variant>
      <vt:variant>
        <vt:i4>5</vt:i4>
      </vt:variant>
      <vt:variant>
        <vt:lpwstr>mailto:uklink@xoserve.com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National Grid</dc:creator>
  <cp:lastModifiedBy>Ellie Rogers</cp:lastModifiedBy>
  <cp:revision>12</cp:revision>
  <cp:lastPrinted>2019-02-07T14:31:00Z</cp:lastPrinted>
  <dcterms:created xsi:type="dcterms:W3CDTF">2023-02-23T16:19:00Z</dcterms:created>
  <dcterms:modified xsi:type="dcterms:W3CDTF">2023-02-23T16:37:00Z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0x010100BE4A46900855F54F8B1B4A69CC14CF6B</vt:lpwstr>
  </property>
  <property fmtid="{D5CDD505-2E9C-101B-9397-08002B2CF9AE}" pid="3" name="_NewReviewCycle">
    <vt:lpwstr/>
  </property>
  <property fmtid="{D5CDD505-2E9C-101B-9397-08002B2CF9AE}" pid="4" name="Order">
    <vt:r8>3024400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