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5D54D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7ABFE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0BF7773A" w:rsidR="007855B1" w:rsidRPr="00BC3CAC" w:rsidRDefault="00BE2EFD" w:rsidP="00FA3F4F">
            <w:pPr>
              <w:rPr>
                <w:rFonts w:cs="Arial"/>
              </w:rPr>
            </w:pPr>
            <w:r>
              <w:rPr>
                <w:rFonts w:cs="Arial"/>
              </w:rPr>
              <w:t>XRN</w:t>
            </w:r>
            <w:r w:rsidR="00E565F8">
              <w:rPr>
                <w:rFonts w:cs="Arial"/>
              </w:rPr>
              <w:t>5605</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610DF44A" w:rsidR="00ED342B" w:rsidRPr="00BC3CAC" w:rsidRDefault="00E22765" w:rsidP="00ED342B">
            <w:pPr>
              <w:rPr>
                <w:rFonts w:cs="Arial"/>
              </w:rPr>
            </w:pPr>
            <w:r>
              <w:rPr>
                <w:rFonts w:cs="Arial"/>
              </w:rPr>
              <w:t xml:space="preserve">Amendments to the </w:t>
            </w:r>
            <w:r w:rsidR="00DD323D">
              <w:rPr>
                <w:rFonts w:cs="Arial"/>
              </w:rPr>
              <w:t>m</w:t>
            </w:r>
            <w:r>
              <w:rPr>
                <w:rFonts w:cs="Arial"/>
              </w:rPr>
              <w:t xml:space="preserve">ust </w:t>
            </w:r>
            <w:r w:rsidR="00DD323D">
              <w:rPr>
                <w:rFonts w:cs="Arial"/>
              </w:rPr>
              <w:t>r</w:t>
            </w:r>
            <w:r>
              <w:rPr>
                <w:rFonts w:cs="Arial"/>
              </w:rPr>
              <w:t>ead process (IGT159V)</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76B0FDC4" w:rsidR="6982D0D0" w:rsidRPr="00A830EB" w:rsidRDefault="001825C8">
            <w:pPr>
              <w:rPr>
                <w:rFonts w:cs="Arial"/>
              </w:rPr>
            </w:pPr>
            <w:r>
              <w:rPr>
                <w:rFonts w:cs="Arial"/>
              </w:rPr>
              <w:t>22/12/2022</w:t>
            </w:r>
          </w:p>
        </w:tc>
      </w:tr>
      <w:tr w:rsidR="008075EF"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8075EF" w:rsidRDefault="008075EF" w:rsidP="008075EF">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8075EF" w:rsidRDefault="008075EF" w:rsidP="008075EF">
            <w:pPr>
              <w:jc w:val="right"/>
              <w:rPr>
                <w:rFonts w:cs="Arial"/>
              </w:rPr>
            </w:pPr>
            <w:r>
              <w:rPr>
                <w:rFonts w:cs="Arial"/>
              </w:rPr>
              <w:t>Organisation:</w:t>
            </w:r>
          </w:p>
        </w:tc>
        <w:tc>
          <w:tcPr>
            <w:tcW w:w="2868" w:type="pct"/>
            <w:gridSpan w:val="3"/>
            <w:vAlign w:val="center"/>
          </w:tcPr>
          <w:p w14:paraId="66C5F56D" w14:textId="526E44A0" w:rsidR="008075EF" w:rsidRPr="00BC3CAC" w:rsidRDefault="00E22765" w:rsidP="008075EF">
            <w:pPr>
              <w:rPr>
                <w:rFonts w:cs="Arial"/>
              </w:rPr>
            </w:pPr>
            <w:r>
              <w:rPr>
                <w:rFonts w:cs="Arial"/>
              </w:rPr>
              <w:t>Centrica</w:t>
            </w:r>
          </w:p>
        </w:tc>
      </w:tr>
      <w:tr w:rsidR="008075EF" w:rsidRPr="00BC3CAC" w14:paraId="66C5F572" w14:textId="77777777" w:rsidTr="00FF79AE">
        <w:trPr>
          <w:trHeight w:val="403"/>
        </w:trPr>
        <w:tc>
          <w:tcPr>
            <w:tcW w:w="1226" w:type="pct"/>
            <w:vMerge/>
            <w:vAlign w:val="center"/>
          </w:tcPr>
          <w:p w14:paraId="66C5F56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0" w14:textId="77777777" w:rsidR="008075EF" w:rsidRDefault="008075EF" w:rsidP="008075EF">
            <w:pPr>
              <w:jc w:val="right"/>
              <w:rPr>
                <w:rFonts w:cs="Arial"/>
              </w:rPr>
            </w:pPr>
            <w:r>
              <w:rPr>
                <w:rFonts w:cs="Arial"/>
              </w:rPr>
              <w:t>Name:</w:t>
            </w:r>
          </w:p>
        </w:tc>
        <w:tc>
          <w:tcPr>
            <w:tcW w:w="2868" w:type="pct"/>
            <w:gridSpan w:val="3"/>
            <w:vAlign w:val="center"/>
          </w:tcPr>
          <w:p w14:paraId="66C5F571" w14:textId="5237D4B8" w:rsidR="008075EF" w:rsidRPr="00BC3CAC" w:rsidRDefault="00F56BC9" w:rsidP="008075EF">
            <w:pPr>
              <w:rPr>
                <w:rFonts w:cs="Arial"/>
              </w:rPr>
            </w:pPr>
            <w:r>
              <w:rPr>
                <w:rFonts w:cs="Arial"/>
              </w:rPr>
              <w:t>Oorlagh Chapman</w:t>
            </w:r>
          </w:p>
        </w:tc>
      </w:tr>
      <w:tr w:rsidR="008075EF" w:rsidRPr="00BC3CAC" w14:paraId="66C5F576" w14:textId="77777777" w:rsidTr="00FF79AE">
        <w:trPr>
          <w:trHeight w:val="403"/>
        </w:trPr>
        <w:tc>
          <w:tcPr>
            <w:tcW w:w="1226" w:type="pct"/>
            <w:vMerge/>
            <w:vAlign w:val="center"/>
          </w:tcPr>
          <w:p w14:paraId="66C5F57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4" w14:textId="77777777" w:rsidR="008075EF" w:rsidRDefault="008075EF" w:rsidP="008075EF">
            <w:pPr>
              <w:jc w:val="right"/>
              <w:rPr>
                <w:rFonts w:cs="Arial"/>
              </w:rPr>
            </w:pPr>
            <w:r>
              <w:rPr>
                <w:rFonts w:cs="Arial"/>
              </w:rPr>
              <w:t>Email:</w:t>
            </w:r>
          </w:p>
        </w:tc>
        <w:tc>
          <w:tcPr>
            <w:tcW w:w="2868" w:type="pct"/>
            <w:gridSpan w:val="3"/>
            <w:vAlign w:val="center"/>
          </w:tcPr>
          <w:p w14:paraId="66C5F575" w14:textId="143859FB" w:rsidR="008075EF" w:rsidRPr="00BC3CAC" w:rsidRDefault="001825C8" w:rsidP="008075EF">
            <w:pPr>
              <w:rPr>
                <w:rFonts w:cs="Arial"/>
              </w:rPr>
            </w:pPr>
            <w:hyperlink r:id="rId11" w:history="1">
              <w:r w:rsidR="004F097C" w:rsidRPr="00D24A18">
                <w:rPr>
                  <w:rStyle w:val="Hyperlink"/>
                  <w:rFonts w:cs="Arial"/>
                </w:rPr>
                <w:t>Oorlagh.chapman@centrica.com</w:t>
              </w:r>
            </w:hyperlink>
          </w:p>
        </w:tc>
      </w:tr>
      <w:tr w:rsidR="008075EF" w:rsidRPr="00BC3CAC" w14:paraId="66C5F57A" w14:textId="77777777" w:rsidTr="00FF79AE">
        <w:trPr>
          <w:trHeight w:val="403"/>
        </w:trPr>
        <w:tc>
          <w:tcPr>
            <w:tcW w:w="1226" w:type="pct"/>
            <w:vMerge/>
            <w:vAlign w:val="center"/>
          </w:tcPr>
          <w:p w14:paraId="66C5F577"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8" w14:textId="77777777" w:rsidR="008075EF" w:rsidRDefault="008075EF" w:rsidP="008075EF">
            <w:pPr>
              <w:jc w:val="right"/>
              <w:rPr>
                <w:rFonts w:cs="Arial"/>
              </w:rPr>
            </w:pPr>
            <w:r>
              <w:rPr>
                <w:rFonts w:cs="Arial"/>
              </w:rPr>
              <w:t>Telephone:</w:t>
            </w:r>
          </w:p>
        </w:tc>
        <w:tc>
          <w:tcPr>
            <w:tcW w:w="2868" w:type="pct"/>
            <w:gridSpan w:val="3"/>
            <w:vAlign w:val="center"/>
          </w:tcPr>
          <w:p w14:paraId="66C5F579" w14:textId="19DC3557" w:rsidR="008075EF" w:rsidRPr="00BC3CAC" w:rsidRDefault="004F097C" w:rsidP="008075EF">
            <w:pPr>
              <w:rPr>
                <w:rFonts w:cs="Arial"/>
              </w:rPr>
            </w:pPr>
            <w:r>
              <w:rPr>
                <w:rFonts w:cs="Arial"/>
              </w:rPr>
              <w:t>07557614769</w:t>
            </w:r>
          </w:p>
        </w:tc>
      </w:tr>
      <w:tr w:rsidR="008075EF"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8075EF" w:rsidRDefault="008075EF" w:rsidP="008075E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8075EF" w:rsidRDefault="008075EF" w:rsidP="008075EF">
            <w:pPr>
              <w:jc w:val="right"/>
              <w:rPr>
                <w:rFonts w:cs="Arial"/>
              </w:rPr>
            </w:pPr>
            <w:r>
              <w:rPr>
                <w:rFonts w:cs="Arial"/>
              </w:rPr>
              <w:t>Name:</w:t>
            </w:r>
          </w:p>
        </w:tc>
        <w:tc>
          <w:tcPr>
            <w:tcW w:w="2868" w:type="pct"/>
            <w:gridSpan w:val="3"/>
            <w:vAlign w:val="center"/>
          </w:tcPr>
          <w:p w14:paraId="66C5F57D" w14:textId="786C117F" w:rsidR="008075EF" w:rsidRPr="00BC3CAC" w:rsidRDefault="000972A1" w:rsidP="008075EF">
            <w:pPr>
              <w:rPr>
                <w:rFonts w:cs="Arial"/>
              </w:rPr>
            </w:pPr>
            <w:r>
              <w:rPr>
                <w:rFonts w:cs="Arial"/>
              </w:rPr>
              <w:t>Ellie Rogers</w:t>
            </w:r>
          </w:p>
        </w:tc>
      </w:tr>
      <w:tr w:rsidR="008075EF" w:rsidRPr="00BC3CAC" w14:paraId="66C5F582" w14:textId="77777777" w:rsidTr="00FF79AE">
        <w:trPr>
          <w:trHeight w:val="403"/>
        </w:trPr>
        <w:tc>
          <w:tcPr>
            <w:tcW w:w="1226" w:type="pct"/>
            <w:vMerge/>
            <w:vAlign w:val="center"/>
          </w:tcPr>
          <w:p w14:paraId="66C5F57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0" w14:textId="77777777" w:rsidR="008075EF" w:rsidRDefault="008075EF" w:rsidP="008075EF">
            <w:pPr>
              <w:jc w:val="right"/>
              <w:rPr>
                <w:rFonts w:cs="Arial"/>
              </w:rPr>
            </w:pPr>
            <w:r>
              <w:rPr>
                <w:rFonts w:cs="Arial"/>
              </w:rPr>
              <w:t>Email:</w:t>
            </w:r>
          </w:p>
        </w:tc>
        <w:tc>
          <w:tcPr>
            <w:tcW w:w="2868" w:type="pct"/>
            <w:gridSpan w:val="3"/>
            <w:vAlign w:val="center"/>
          </w:tcPr>
          <w:p w14:paraId="66C5F581" w14:textId="4A396173" w:rsidR="008075EF" w:rsidRPr="00BC3CAC" w:rsidRDefault="001825C8" w:rsidP="008075EF">
            <w:pPr>
              <w:rPr>
                <w:rFonts w:cs="Arial"/>
              </w:rPr>
            </w:pPr>
            <w:hyperlink r:id="rId12" w:history="1">
              <w:r w:rsidR="000972A1" w:rsidRPr="00C36559">
                <w:rPr>
                  <w:rStyle w:val="Hyperlink"/>
                  <w:rFonts w:cs="Arial"/>
                </w:rPr>
                <w:t>Ellie.rogers@xoserve.com</w:t>
              </w:r>
            </w:hyperlink>
            <w:r w:rsidR="000972A1">
              <w:rPr>
                <w:rFonts w:cs="Arial"/>
              </w:rPr>
              <w:t xml:space="preserve"> </w:t>
            </w:r>
          </w:p>
        </w:tc>
      </w:tr>
      <w:tr w:rsidR="008075EF" w:rsidRPr="00BC3CAC" w14:paraId="66C5F586" w14:textId="77777777" w:rsidTr="00FF79AE">
        <w:trPr>
          <w:trHeight w:val="403"/>
        </w:trPr>
        <w:tc>
          <w:tcPr>
            <w:tcW w:w="1226" w:type="pct"/>
            <w:vMerge/>
            <w:vAlign w:val="center"/>
          </w:tcPr>
          <w:p w14:paraId="66C5F58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4" w14:textId="77777777" w:rsidR="008075EF" w:rsidRDefault="008075EF" w:rsidP="008075EF">
            <w:pPr>
              <w:jc w:val="right"/>
              <w:rPr>
                <w:rFonts w:cs="Arial"/>
              </w:rPr>
            </w:pPr>
            <w:r>
              <w:rPr>
                <w:rFonts w:cs="Arial"/>
              </w:rPr>
              <w:t>Telephone:</w:t>
            </w:r>
          </w:p>
        </w:tc>
        <w:tc>
          <w:tcPr>
            <w:tcW w:w="2868" w:type="pct"/>
            <w:gridSpan w:val="3"/>
            <w:vAlign w:val="center"/>
          </w:tcPr>
          <w:p w14:paraId="66C5F585" w14:textId="75CA225E" w:rsidR="008075EF" w:rsidRPr="00BC3CAC" w:rsidRDefault="003344D3" w:rsidP="008075EF">
            <w:pPr>
              <w:rPr>
                <w:rFonts w:cs="Arial"/>
              </w:rPr>
            </w:pPr>
            <w:r>
              <w:rPr>
                <w:rFonts w:cs="Arial"/>
              </w:rPr>
              <w:t>0</w:t>
            </w:r>
            <w:r w:rsidRPr="003344D3">
              <w:rPr>
                <w:rFonts w:cs="Arial"/>
              </w:rPr>
              <w:t>1212 292 185</w:t>
            </w:r>
          </w:p>
        </w:tc>
      </w:tr>
      <w:tr w:rsidR="00FF79AE" w:rsidRPr="00BC3CAC" w14:paraId="66C5F58A" w14:textId="77777777" w:rsidTr="00FF79AE">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46A6D88B" w:rsidR="00FF79AE" w:rsidRPr="00BC3CAC" w:rsidRDefault="00DD4173" w:rsidP="00FF79AE">
            <w:pPr>
              <w:rPr>
                <w:rFonts w:cs="Arial"/>
              </w:rPr>
            </w:pPr>
            <w:r>
              <w:rPr>
                <w:rFonts w:cs="Arial"/>
              </w:rPr>
              <w:t>TBC</w:t>
            </w:r>
          </w:p>
        </w:tc>
      </w:tr>
      <w:tr w:rsidR="00FF79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5EE08EA0" w:rsidR="00FF79AE" w:rsidRPr="00BC3CAC" w:rsidRDefault="001825C8"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3C293D">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1825C8"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1825C8"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005504A6">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1825C8"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1825C8"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1825C8"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430F1505" w:rsidR="009C3AAE" w:rsidRPr="00BC3CAC" w:rsidRDefault="001825C8"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DD4173">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7C5EE3DC" w:rsidR="009C3AAE" w:rsidRPr="00BC3CAC" w:rsidRDefault="001825C8"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50148F">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1825C8"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684D4EE4" w:rsidR="009C3AAE" w:rsidRPr="00BC3CAC" w:rsidRDefault="001825C8"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DD4173">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1825C8"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322E38B6" w:rsidR="009C3AAE" w:rsidRDefault="001825C8"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w:t>
            </w:r>
            <w:r w:rsidR="008E70D0">
              <w:rPr>
                <w:rFonts w:cs="Arial"/>
                <w:szCs w:val="20"/>
              </w:rPr>
              <w:t>O</w:t>
            </w:r>
            <w:r w:rsidR="008E70D0">
              <w:rPr>
                <w:rFonts w:cs="Arial"/>
              </w:rPr>
              <w:t>ther</w:t>
            </w:r>
          </w:p>
        </w:tc>
      </w:tr>
      <w:tr w:rsidR="005D0AA4" w:rsidRPr="00BC3CAC" w14:paraId="66C5F5A4" w14:textId="77777777" w:rsidTr="001D793D">
        <w:trPr>
          <w:trHeight w:val="2032"/>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3597AADA" w14:textId="77777777" w:rsidR="005D0AA4" w:rsidRDefault="001C1D1E" w:rsidP="00232B34">
            <w:pPr>
              <w:rPr>
                <w:rFonts w:cs="Arial"/>
                <w:szCs w:val="20"/>
              </w:rPr>
            </w:pPr>
            <w:r>
              <w:rPr>
                <w:rFonts w:cs="Arial"/>
                <w:szCs w:val="20"/>
              </w:rPr>
              <w:t xml:space="preserve">This change </w:t>
            </w:r>
            <w:r w:rsidR="00372360">
              <w:rPr>
                <w:rFonts w:cs="Arial"/>
                <w:szCs w:val="20"/>
              </w:rPr>
              <w:t xml:space="preserve">amends the current must read process for Supply Meter Points (SMPs) on an IGT network. </w:t>
            </w:r>
          </w:p>
          <w:p w14:paraId="1C42B498" w14:textId="77777777" w:rsidR="00372360" w:rsidRDefault="00372360" w:rsidP="00232B34">
            <w:pPr>
              <w:rPr>
                <w:rFonts w:cs="Arial"/>
                <w:szCs w:val="20"/>
              </w:rPr>
            </w:pPr>
          </w:p>
          <w:p w14:paraId="6D28B87A" w14:textId="77777777" w:rsidR="00372360" w:rsidRDefault="00372360" w:rsidP="00232B34">
            <w:pPr>
              <w:rPr>
                <w:rFonts w:cs="Arial"/>
                <w:szCs w:val="20"/>
              </w:rPr>
            </w:pPr>
            <w:r>
              <w:rPr>
                <w:rFonts w:cs="Arial"/>
                <w:szCs w:val="20"/>
              </w:rPr>
              <w:t xml:space="preserve">Based on this, </w:t>
            </w:r>
            <w:r w:rsidR="00B23312">
              <w:rPr>
                <w:rFonts w:cs="Arial"/>
                <w:szCs w:val="20"/>
              </w:rPr>
              <w:t xml:space="preserve">IGTs as the responsible party for obtaining must reads and </w:t>
            </w:r>
            <w:r>
              <w:rPr>
                <w:rFonts w:cs="Arial"/>
                <w:szCs w:val="20"/>
              </w:rPr>
              <w:t>Shippers, as the recipients of the must read process</w:t>
            </w:r>
            <w:r w:rsidR="00B23312">
              <w:rPr>
                <w:rFonts w:cs="Arial"/>
                <w:szCs w:val="20"/>
              </w:rPr>
              <w:t xml:space="preserve"> are the impacted parties.  </w:t>
            </w:r>
          </w:p>
          <w:p w14:paraId="66C5F5A3" w14:textId="0223E124" w:rsidR="00E36616" w:rsidRDefault="00E36616" w:rsidP="00232B34">
            <w:pPr>
              <w:rPr>
                <w:rFonts w:cs="Arial"/>
                <w:szCs w:val="20"/>
              </w:rPr>
            </w:pPr>
          </w:p>
        </w:tc>
      </w:tr>
    </w:tbl>
    <w:p w14:paraId="66C5F5A5"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66C5F5A8" w14:textId="4648A4E9" w:rsidR="0030378A" w:rsidRPr="00494523" w:rsidRDefault="00F41375" w:rsidP="00D83DC8">
            <w:pPr>
              <w:rPr>
                <w:rFonts w:cs="Arial"/>
              </w:rPr>
            </w:pPr>
            <w:r>
              <w:rPr>
                <w:rFonts w:cs="Arial"/>
              </w:rPr>
              <w:t>Changes have been proposed to the current IGT must read process to ensure it is fit for purpose</w:t>
            </w:r>
            <w:r w:rsidR="00B5319A">
              <w:rPr>
                <w:rFonts w:cs="Arial"/>
              </w:rPr>
              <w:t xml:space="preserve">. </w:t>
            </w:r>
            <w:r>
              <w:rPr>
                <w:rFonts w:cs="Arial"/>
              </w:rPr>
              <w:t xml:space="preserve"> </w:t>
            </w:r>
            <w:r w:rsidR="002F7F36">
              <w:rPr>
                <w:rFonts w:cs="Arial"/>
              </w:rPr>
              <w:t xml:space="preserve"> </w:t>
            </w: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t>Change Description:</w:t>
            </w:r>
          </w:p>
        </w:tc>
        <w:tc>
          <w:tcPr>
            <w:tcW w:w="3777" w:type="pct"/>
            <w:gridSpan w:val="2"/>
            <w:vAlign w:val="center"/>
          </w:tcPr>
          <w:p w14:paraId="37830ED9" w14:textId="4277C69E" w:rsidR="00444C4C" w:rsidRDefault="00B745A9" w:rsidP="00565F66">
            <w:pPr>
              <w:spacing w:before="100" w:beforeAutospacing="1" w:after="100" w:afterAutospacing="1"/>
              <w:rPr>
                <w:rFonts w:cs="Arial"/>
              </w:rPr>
            </w:pPr>
            <w:r>
              <w:rPr>
                <w:rFonts w:cs="Arial"/>
              </w:rPr>
              <w:t xml:space="preserve">This Change Proposal has been raised to deliver the requirements set out under </w:t>
            </w:r>
            <w:hyperlink r:id="rId13" w:history="1">
              <w:r w:rsidRPr="00376C38">
                <w:rPr>
                  <w:rStyle w:val="Hyperlink"/>
                  <w:rFonts w:cs="Arial"/>
                </w:rPr>
                <w:t>IGT UNC Modification 159V</w:t>
              </w:r>
              <w:r w:rsidR="00376C38" w:rsidRPr="00376C38">
                <w:rPr>
                  <w:rStyle w:val="Hyperlink"/>
                  <w:rFonts w:cs="Arial"/>
                </w:rPr>
                <w:t xml:space="preserve"> – Amendments to the must read process</w:t>
              </w:r>
            </w:hyperlink>
            <w:r w:rsidR="00376C38">
              <w:rPr>
                <w:rFonts w:cs="Arial"/>
              </w:rPr>
              <w:t xml:space="preserve">. </w:t>
            </w:r>
          </w:p>
          <w:p w14:paraId="32B587D5" w14:textId="76DBD35F" w:rsidR="00376C38" w:rsidRDefault="00750B7B" w:rsidP="00565F66">
            <w:pPr>
              <w:spacing w:before="100" w:beforeAutospacing="1" w:after="100" w:afterAutospacing="1"/>
              <w:rPr>
                <w:rFonts w:cs="Arial"/>
              </w:rPr>
            </w:pPr>
            <w:r>
              <w:rPr>
                <w:rFonts w:cs="Arial"/>
              </w:rPr>
              <w:t xml:space="preserve">This Modification was raised to update the IGT must read process to include timescales for a site to enter the process and to introduce timeframes for procuring and returning a read that align with </w:t>
            </w:r>
            <w:r w:rsidR="00706BF1">
              <w:rPr>
                <w:rFonts w:cs="Arial"/>
              </w:rPr>
              <w:t xml:space="preserve">read validation. </w:t>
            </w:r>
          </w:p>
          <w:p w14:paraId="6A48D3AD" w14:textId="55E9E740" w:rsidR="007C5AB4" w:rsidRDefault="004715B6" w:rsidP="00565F66">
            <w:pPr>
              <w:spacing w:before="100" w:beforeAutospacing="1" w:after="100" w:afterAutospacing="1"/>
              <w:rPr>
                <w:rFonts w:cs="Arial"/>
              </w:rPr>
            </w:pPr>
            <w:r>
              <w:rPr>
                <w:rFonts w:cs="Arial"/>
              </w:rPr>
              <w:t>The Change Proposal will amend the IGT must read process in line with the Modification IGT159V requirements which includes the following:</w:t>
            </w:r>
          </w:p>
          <w:p w14:paraId="71C74FE3" w14:textId="15EC143B" w:rsidR="00706BF1" w:rsidRDefault="000C7318" w:rsidP="004715B6">
            <w:pPr>
              <w:pStyle w:val="ListParagraph"/>
              <w:numPr>
                <w:ilvl w:val="0"/>
                <w:numId w:val="11"/>
              </w:numPr>
              <w:spacing w:before="100" w:beforeAutospacing="1" w:after="100" w:afterAutospacing="1"/>
              <w:rPr>
                <w:rFonts w:cs="Arial"/>
              </w:rPr>
            </w:pPr>
            <w:r>
              <w:rPr>
                <w:rFonts w:cs="Arial"/>
              </w:rPr>
              <w:t>Placing a timeframe on the must read being provided by the IGT to</w:t>
            </w:r>
            <w:r w:rsidR="00DA1EE8">
              <w:rPr>
                <w:rFonts w:cs="Arial"/>
              </w:rPr>
              <w:t xml:space="preserve"> ensure is aligns with the current validation window. </w:t>
            </w:r>
          </w:p>
          <w:p w14:paraId="1CD0CFD0" w14:textId="77777777" w:rsidR="007A05AA" w:rsidRDefault="007A05AA" w:rsidP="007A05AA">
            <w:pPr>
              <w:pStyle w:val="ListParagraph"/>
              <w:spacing w:before="100" w:beforeAutospacing="1" w:after="100" w:afterAutospacing="1"/>
              <w:rPr>
                <w:rFonts w:cs="Arial"/>
              </w:rPr>
            </w:pPr>
          </w:p>
          <w:p w14:paraId="5B7B7E86" w14:textId="2337125A" w:rsidR="00DA1EE8" w:rsidRDefault="00DA1EE8" w:rsidP="004715B6">
            <w:pPr>
              <w:pStyle w:val="ListParagraph"/>
              <w:numPr>
                <w:ilvl w:val="0"/>
                <w:numId w:val="11"/>
              </w:numPr>
              <w:spacing w:before="100" w:beforeAutospacing="1" w:after="100" w:afterAutospacing="1"/>
              <w:rPr>
                <w:rFonts w:cs="Arial"/>
              </w:rPr>
            </w:pPr>
            <w:r>
              <w:rPr>
                <w:rFonts w:cs="Arial"/>
              </w:rPr>
              <w:t>Allow</w:t>
            </w:r>
            <w:r w:rsidR="007A05AA">
              <w:rPr>
                <w:rFonts w:cs="Arial"/>
              </w:rPr>
              <w:t>ing</w:t>
            </w:r>
            <w:r>
              <w:rPr>
                <w:rFonts w:cs="Arial"/>
              </w:rPr>
              <w:t xml:space="preserve"> Shippers a mechanism to exclude SMPs from the IGT must read process which have a known meter issue preventing reads being obtained. </w:t>
            </w:r>
          </w:p>
          <w:p w14:paraId="12C7C198" w14:textId="77777777" w:rsidR="007A05AA" w:rsidRDefault="007A05AA" w:rsidP="007A05AA">
            <w:pPr>
              <w:pStyle w:val="ListParagraph"/>
              <w:spacing w:before="100" w:beforeAutospacing="1" w:after="100" w:afterAutospacing="1"/>
              <w:rPr>
                <w:rFonts w:cs="Arial"/>
              </w:rPr>
            </w:pPr>
          </w:p>
          <w:p w14:paraId="54034865" w14:textId="7CAC0624" w:rsidR="007A05AA" w:rsidRDefault="00E42787" w:rsidP="007A05AA">
            <w:pPr>
              <w:pStyle w:val="ListParagraph"/>
              <w:numPr>
                <w:ilvl w:val="0"/>
                <w:numId w:val="11"/>
              </w:numPr>
              <w:spacing w:before="100" w:beforeAutospacing="1" w:after="100" w:afterAutospacing="1"/>
              <w:rPr>
                <w:rFonts w:cs="Arial"/>
              </w:rPr>
            </w:pPr>
            <w:r>
              <w:rPr>
                <w:rFonts w:cs="Arial"/>
              </w:rPr>
              <w:t>Exclud</w:t>
            </w:r>
            <w:r w:rsidR="007A05AA">
              <w:rPr>
                <w:rFonts w:cs="Arial"/>
              </w:rPr>
              <w:t>ing</w:t>
            </w:r>
            <w:r>
              <w:rPr>
                <w:rFonts w:cs="Arial"/>
              </w:rPr>
              <w:t xml:space="preserve"> SMART, AMR and DCC Active SMPs from being included in the IGT must read process. </w:t>
            </w:r>
          </w:p>
          <w:p w14:paraId="09C17D37" w14:textId="77777777" w:rsidR="007A05AA" w:rsidRPr="007A05AA" w:rsidRDefault="007A05AA" w:rsidP="007A05AA">
            <w:pPr>
              <w:pStyle w:val="ListParagraph"/>
              <w:rPr>
                <w:rFonts w:cs="Arial"/>
              </w:rPr>
            </w:pPr>
          </w:p>
          <w:p w14:paraId="360D09EA" w14:textId="605546DD" w:rsidR="00E42787" w:rsidRDefault="00BD4701" w:rsidP="004715B6">
            <w:pPr>
              <w:pStyle w:val="ListParagraph"/>
              <w:numPr>
                <w:ilvl w:val="0"/>
                <w:numId w:val="11"/>
              </w:numPr>
              <w:spacing w:before="100" w:beforeAutospacing="1" w:after="100" w:afterAutospacing="1"/>
              <w:rPr>
                <w:rFonts w:cs="Arial"/>
              </w:rPr>
            </w:pPr>
            <w:r>
              <w:rPr>
                <w:rFonts w:cs="Arial"/>
              </w:rPr>
              <w:t xml:space="preserve">Where there is a SoLR or Change </w:t>
            </w:r>
            <w:r w:rsidR="000776DA">
              <w:rPr>
                <w:rFonts w:cs="Arial"/>
              </w:rPr>
              <w:t>o</w:t>
            </w:r>
            <w:r>
              <w:rPr>
                <w:rFonts w:cs="Arial"/>
              </w:rPr>
              <w:t xml:space="preserve">f Shipper event, allow a 4 </w:t>
            </w:r>
            <w:r w:rsidR="007A05AA">
              <w:rPr>
                <w:rFonts w:cs="Arial"/>
              </w:rPr>
              <w:t xml:space="preserve">month pause in the relevant SMP(s) entering the IGT must read process. </w:t>
            </w:r>
          </w:p>
          <w:p w14:paraId="2D421433" w14:textId="77777777" w:rsidR="007A05AA" w:rsidRPr="007A05AA" w:rsidRDefault="007A05AA" w:rsidP="007A05AA">
            <w:pPr>
              <w:pStyle w:val="ListParagraph"/>
              <w:rPr>
                <w:rFonts w:cs="Arial"/>
              </w:rPr>
            </w:pPr>
          </w:p>
          <w:p w14:paraId="6694991B" w14:textId="77777777" w:rsidR="007A05AA" w:rsidRDefault="00766E60" w:rsidP="004715B6">
            <w:pPr>
              <w:pStyle w:val="ListParagraph"/>
              <w:numPr>
                <w:ilvl w:val="0"/>
                <w:numId w:val="11"/>
              </w:numPr>
              <w:spacing w:before="100" w:beforeAutospacing="1" w:after="100" w:afterAutospacing="1"/>
              <w:rPr>
                <w:rFonts w:cs="Arial"/>
              </w:rPr>
            </w:pPr>
            <w:r>
              <w:rPr>
                <w:rFonts w:cs="Arial"/>
              </w:rPr>
              <w:t xml:space="preserve">Ensuring PAC are provided the relevant information about the IGT must read process. </w:t>
            </w:r>
          </w:p>
          <w:p w14:paraId="6DC28CA1" w14:textId="77777777" w:rsidR="0071163F" w:rsidRPr="0071163F" w:rsidRDefault="0071163F" w:rsidP="0071163F">
            <w:pPr>
              <w:pStyle w:val="ListParagraph"/>
              <w:rPr>
                <w:rFonts w:cs="Arial"/>
              </w:rPr>
            </w:pPr>
          </w:p>
          <w:p w14:paraId="66C5F5AB" w14:textId="5625DD89" w:rsidR="0071163F" w:rsidRPr="0071163F" w:rsidRDefault="0071163F" w:rsidP="0071163F">
            <w:pPr>
              <w:spacing w:before="100" w:beforeAutospacing="1" w:after="100" w:afterAutospacing="1"/>
              <w:rPr>
                <w:rFonts w:cs="Arial"/>
              </w:rPr>
            </w:pPr>
            <w:r>
              <w:rPr>
                <w:rFonts w:cs="Arial"/>
              </w:rPr>
              <w:t xml:space="preserve">Please note, Ofgem approved the implementation of IGT159V on the </w:t>
            </w:r>
            <w:r w:rsidR="00EF4C12">
              <w:rPr>
                <w:rFonts w:cs="Arial"/>
              </w:rPr>
              <w:t xml:space="preserve">02 December 2022. The decision letter can be found </w:t>
            </w:r>
            <w:hyperlink r:id="rId14" w:history="1">
              <w:r w:rsidR="00EF4C12" w:rsidRPr="00EF4C12">
                <w:rPr>
                  <w:rStyle w:val="Hyperlink"/>
                  <w:rFonts w:cs="Arial"/>
                </w:rPr>
                <w:t>here</w:t>
              </w:r>
            </w:hyperlink>
            <w:r w:rsidR="00EF4C12">
              <w:rPr>
                <w:rFonts w:cs="Arial"/>
              </w:rPr>
              <w:t xml:space="preserve">. </w:t>
            </w: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04CC363A" w:rsidR="00F30111" w:rsidRPr="00BC3CAC" w:rsidRDefault="00766E60" w:rsidP="00F30111">
            <w:pPr>
              <w:rPr>
                <w:rFonts w:cs="Arial"/>
              </w:rPr>
            </w:pPr>
            <w:r>
              <w:rPr>
                <w:rFonts w:cs="Arial"/>
              </w:rPr>
              <w:t>TBC</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1825C8"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1825C8"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1825C8"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3A7C452F" w:rsidR="00F30111" w:rsidRPr="00BC3CAC" w:rsidRDefault="001825C8"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Other </w:t>
            </w:r>
            <w:r w:rsidR="00485E77">
              <w:rPr>
                <w:rFonts w:cs="Arial"/>
              </w:rPr>
              <w:t>[</w:t>
            </w:r>
            <w:r w:rsidR="00367BC0">
              <w:rPr>
                <w:rFonts w:cs="Arial"/>
              </w:rPr>
              <w:t>write specific here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10D4A1BD" w:rsidR="00ED6D3A" w:rsidRPr="00BC3CAC" w:rsidRDefault="00B05CA5" w:rsidP="00ED6D3A">
            <w:pPr>
              <w:rPr>
                <w:rFonts w:cs="Arial"/>
              </w:rPr>
            </w:pPr>
            <w:r>
              <w:rPr>
                <w:rFonts w:cs="Arial"/>
              </w:rPr>
              <w:t xml:space="preserve">Ensuring the </w:t>
            </w:r>
            <w:r w:rsidR="00D711AE">
              <w:rPr>
                <w:rFonts w:cs="Arial"/>
              </w:rPr>
              <w:t>IGT must read process is fit for purpose which could impro</w:t>
            </w:r>
            <w:r w:rsidR="00612BD2">
              <w:rPr>
                <w:rFonts w:cs="Arial"/>
              </w:rPr>
              <w:t>ve</w:t>
            </w:r>
            <w:r w:rsidR="00D711AE">
              <w:rPr>
                <w:rFonts w:cs="Arial"/>
              </w:rPr>
              <w:t xml:space="preserve"> settlement accuracy, protect customers from additional costs and unne</w:t>
            </w:r>
            <w:r w:rsidR="00612BD2">
              <w:rPr>
                <w:rFonts w:cs="Arial"/>
              </w:rPr>
              <w:t xml:space="preserve">cessary contact associated with site visits and possibly reducing the number of customer complaints received by Suppliers. </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4352D82C" w:rsidR="00084C47" w:rsidRPr="00BC3CAC" w:rsidRDefault="00946A52" w:rsidP="00084C47">
            <w:pPr>
              <w:rPr>
                <w:rFonts w:cs="Arial"/>
              </w:rPr>
            </w:pPr>
            <w:r>
              <w:rPr>
                <w:rFonts w:cs="Arial"/>
              </w:rPr>
              <w:t xml:space="preserve">Upon implementation. </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32A57152" w:rsidR="00084C47" w:rsidRDefault="0071163F" w:rsidP="00084C47">
            <w:pPr>
              <w:rPr>
                <w:rFonts w:cs="Arial"/>
              </w:rPr>
            </w:pPr>
            <w:r>
              <w:rPr>
                <w:rFonts w:cs="Arial"/>
              </w:rPr>
              <w:t xml:space="preserve">Delivery of this Change Proposal. </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3D9B6E9F">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0678F2F2" w14:textId="72EAE5F7" w:rsidR="008E6888" w:rsidRDefault="21984D1F" w:rsidP="3D9B6E9F">
            <w:pPr>
              <w:rPr>
                <w:rFonts w:cs="Arial"/>
              </w:rPr>
            </w:pPr>
            <w:r w:rsidRPr="3D9B6E9F">
              <w:rPr>
                <w:rFonts w:cs="Arial"/>
              </w:rPr>
              <w:t>The current must read process is detailed within various Service Lines within Service Area 4</w:t>
            </w:r>
            <w:r w:rsidR="000776DA">
              <w:rPr>
                <w:rFonts w:cs="Arial"/>
              </w:rPr>
              <w:t xml:space="preserve"> – Meter Read/Asset processing</w:t>
            </w:r>
            <w:r w:rsidRPr="3D9B6E9F">
              <w:rPr>
                <w:rFonts w:cs="Arial"/>
              </w:rPr>
              <w:t xml:space="preserve"> and Service Area 22 </w:t>
            </w:r>
            <w:r w:rsidR="000776DA">
              <w:rPr>
                <w:rFonts w:cs="Arial"/>
              </w:rPr>
              <w:t xml:space="preserve">- </w:t>
            </w:r>
            <w:r w:rsidRPr="3D9B6E9F">
              <w:rPr>
                <w:rFonts w:cs="Arial"/>
              </w:rPr>
              <w:t>Specific Services</w:t>
            </w:r>
            <w:r w:rsidR="000776DA">
              <w:rPr>
                <w:rFonts w:cs="Arial"/>
              </w:rPr>
              <w:t>.</w:t>
            </w:r>
          </w:p>
          <w:p w14:paraId="4D70D46C" w14:textId="77777777" w:rsidR="0098705C" w:rsidRDefault="0098705C" w:rsidP="009C3AAE">
            <w:pPr>
              <w:rPr>
                <w:rFonts w:cs="Arial"/>
              </w:rPr>
            </w:pPr>
          </w:p>
          <w:p w14:paraId="2E02680C" w14:textId="1A4BF53F" w:rsidR="008E6888" w:rsidRDefault="0098705C" w:rsidP="009C3AAE">
            <w:pPr>
              <w:rPr>
                <w:rFonts w:cs="Arial"/>
              </w:rPr>
            </w:pPr>
            <w:r>
              <w:rPr>
                <w:rFonts w:cs="Arial"/>
              </w:rPr>
              <w:t xml:space="preserve">For </w:t>
            </w:r>
            <w:r w:rsidR="008064F3" w:rsidRPr="3D9B6E9F">
              <w:rPr>
                <w:rFonts w:cs="Arial"/>
              </w:rPr>
              <w:t xml:space="preserve">Service Area </w:t>
            </w:r>
            <w:r w:rsidR="15BE1B23" w:rsidRPr="3D9B6E9F">
              <w:rPr>
                <w:rFonts w:cs="Arial"/>
              </w:rPr>
              <w:t>4 where the management of the must read process</w:t>
            </w:r>
            <w:r>
              <w:rPr>
                <w:rFonts w:cs="Arial"/>
              </w:rPr>
              <w:t xml:space="preserve"> Service Lines</w:t>
            </w:r>
            <w:r w:rsidR="15BE1B23" w:rsidRPr="3D9B6E9F">
              <w:rPr>
                <w:rFonts w:cs="Arial"/>
              </w:rPr>
              <w:t xml:space="preserve"> currently sit is </w:t>
            </w:r>
            <w:r w:rsidR="6F2E2979" w:rsidRPr="3D9B6E9F">
              <w:rPr>
                <w:rFonts w:cs="Arial"/>
              </w:rPr>
              <w:t xml:space="preserve">Meter Read/Asset processing which is 67% DNO funded and 33% Shipper. </w:t>
            </w:r>
          </w:p>
          <w:p w14:paraId="6F0C2A01" w14:textId="40B46A70" w:rsidR="0098705C" w:rsidRDefault="0098705C" w:rsidP="009C3AAE">
            <w:pPr>
              <w:rPr>
                <w:rFonts w:cs="Arial"/>
              </w:rPr>
            </w:pPr>
          </w:p>
          <w:p w14:paraId="6464311D" w14:textId="2770F3B6" w:rsidR="0098705C" w:rsidRDefault="0098705C" w:rsidP="009C3AAE">
            <w:pPr>
              <w:rPr>
                <w:rFonts w:cs="Arial"/>
              </w:rPr>
            </w:pPr>
            <w:r>
              <w:rPr>
                <w:rFonts w:cs="Arial"/>
              </w:rPr>
              <w:t xml:space="preserve">For Service Area 22 which are Specific Services, the </w:t>
            </w:r>
            <w:r w:rsidR="003818D6">
              <w:rPr>
                <w:rFonts w:cs="Arial"/>
              </w:rPr>
              <w:t xml:space="preserve">specific party responsible will fund the activity. </w:t>
            </w:r>
          </w:p>
          <w:p w14:paraId="39981435" w14:textId="77777777" w:rsidR="0098705C" w:rsidRDefault="0098705C" w:rsidP="009C3AAE">
            <w:pPr>
              <w:rPr>
                <w:rFonts w:cs="Arial"/>
              </w:rPr>
            </w:pPr>
          </w:p>
          <w:p w14:paraId="325E0697" w14:textId="5563E5F9" w:rsidR="008064F3" w:rsidRDefault="008064F3" w:rsidP="3D9B6E9F">
            <w:pPr>
              <w:rPr>
                <w:rFonts w:cs="Arial"/>
              </w:rPr>
            </w:pPr>
            <w:r w:rsidRPr="3D9B6E9F">
              <w:rPr>
                <w:rFonts w:cs="Arial"/>
              </w:rPr>
              <w:t>Service Lines already exist to manage the must read process</w:t>
            </w:r>
            <w:r w:rsidR="002D79F6" w:rsidRPr="3D9B6E9F">
              <w:rPr>
                <w:rFonts w:cs="Arial"/>
              </w:rPr>
              <w:t xml:space="preserve">. At this stage, it is not anticipated that further changes to those Service Lines will be required. </w:t>
            </w:r>
          </w:p>
          <w:p w14:paraId="66C5F5CE" w14:textId="7E94ED3C" w:rsidR="002D79F6" w:rsidRDefault="002D79F6" w:rsidP="009C3AAE">
            <w:pPr>
              <w:rPr>
                <w:rFonts w:cs="Arial"/>
              </w:rPr>
            </w:pPr>
          </w:p>
        </w:tc>
      </w:tr>
      <w:tr w:rsidR="008E6888" w:rsidRPr="00BC3CAC" w14:paraId="66C5F5D2" w14:textId="77777777" w:rsidTr="3D9B6E9F">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5C2FA8FE" w:rsidR="008E6888" w:rsidRDefault="00112A91" w:rsidP="009C3AAE">
            <w:pPr>
              <w:rPr>
                <w:rFonts w:cs="Arial"/>
              </w:rPr>
            </w:pPr>
            <w:r>
              <w:rPr>
                <w:rFonts w:cs="Arial"/>
              </w:rPr>
              <w:t>None</w:t>
            </w:r>
          </w:p>
        </w:tc>
      </w:tr>
      <w:tr w:rsidR="008E6888" w:rsidRPr="00BC3CAC" w14:paraId="66C5F5D5" w14:textId="77777777" w:rsidTr="3D9B6E9F">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654113DF" w:rsidR="008E6888" w:rsidRDefault="002D79F6" w:rsidP="009C3AAE">
            <w:pPr>
              <w:rPr>
                <w:rFonts w:cs="Arial"/>
              </w:rPr>
            </w:pPr>
            <w:r>
              <w:rPr>
                <w:rFonts w:cs="Arial"/>
              </w:rPr>
              <w:t xml:space="preserve">Service Lines already exist which cover this process and the </w:t>
            </w:r>
            <w:r w:rsidR="001509C0">
              <w:rPr>
                <w:rFonts w:cs="Arial"/>
              </w:rPr>
              <w:t>low-level</w:t>
            </w:r>
            <w:r>
              <w:rPr>
                <w:rFonts w:cs="Arial"/>
              </w:rPr>
              <w:t xml:space="preserve"> detail is not expected to be added. </w:t>
            </w:r>
          </w:p>
        </w:tc>
      </w:tr>
      <w:tr w:rsidR="00477440" w:rsidRPr="00BC3CAC" w14:paraId="66C5F5D8" w14:textId="77777777" w:rsidTr="3D9B6E9F">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3BA5E6E6" w:rsidR="00477440" w:rsidRDefault="002D79F6" w:rsidP="009C3AAE">
            <w:pPr>
              <w:rPr>
                <w:rFonts w:cs="Arial"/>
              </w:rPr>
            </w:pPr>
            <w:r>
              <w:rPr>
                <w:rFonts w:cs="Arial"/>
              </w:rPr>
              <w:t>TBC</w:t>
            </w:r>
          </w:p>
        </w:tc>
      </w:tr>
      <w:tr w:rsidR="00112A91" w:rsidRPr="00BC3CAC" w14:paraId="66C5F5DB" w14:textId="77777777" w:rsidTr="3D9B6E9F">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7EBB509C" w:rsidR="00112A91" w:rsidRDefault="002D79F6" w:rsidP="009C3AAE">
            <w:pPr>
              <w:rPr>
                <w:rFonts w:cs="Arial"/>
              </w:rPr>
            </w:pPr>
            <w:r>
              <w:rPr>
                <w:rFonts w:cs="Arial"/>
              </w:rPr>
              <w:t>Unclear</w:t>
            </w:r>
          </w:p>
        </w:tc>
      </w:tr>
      <w:tr w:rsidR="00112A91" w:rsidRPr="00BC3CAC" w14:paraId="66C5F5DE" w14:textId="77777777" w:rsidTr="3D9B6E9F">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2DB1557F" w:rsidR="00112A91" w:rsidRDefault="002D79F6" w:rsidP="009C3AAE">
            <w:pPr>
              <w:rPr>
                <w:rFonts w:cs="Arial"/>
              </w:rPr>
            </w:pPr>
            <w:r>
              <w:rPr>
                <w:rFonts w:cs="Arial"/>
              </w:rPr>
              <w:t>N/A</w:t>
            </w:r>
          </w:p>
        </w:tc>
      </w:tr>
      <w:tr w:rsidR="009F5D03" w:rsidRPr="00BC3CAC" w14:paraId="66C5F5E4" w14:textId="77777777" w:rsidTr="3D9B6E9F">
        <w:trPr>
          <w:trHeight w:val="403"/>
        </w:trPr>
        <w:tc>
          <w:tcPr>
            <w:tcW w:w="1222" w:type="pct"/>
            <w:vMerge w:val="restart"/>
            <w:shd w:val="clear" w:color="auto" w:fill="B2ECFB" w:themeFill="accent5" w:themeFillTint="66"/>
            <w:vAlign w:val="center"/>
          </w:tcPr>
          <w:p w14:paraId="66C5F5DF" w14:textId="77777777" w:rsidR="009F5D03" w:rsidRDefault="009F5D03" w:rsidP="009C3AAE">
            <w:pPr>
              <w:jc w:val="right"/>
              <w:rPr>
                <w:rFonts w:cs="Arial"/>
                <w:szCs w:val="20"/>
              </w:rPr>
            </w:pPr>
            <w:r w:rsidRPr="00B11FE6">
              <w:rPr>
                <w:rFonts w:cs="Arial"/>
                <w:szCs w:val="20"/>
              </w:rPr>
              <w:t>Funding Classes</w:t>
            </w:r>
          </w:p>
          <w:p w14:paraId="66C5F5E0" w14:textId="77777777" w:rsidR="009F5D03" w:rsidRDefault="009F5D03"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9F5D03" w:rsidRPr="0080277C" w:rsidRDefault="009F5D03" w:rsidP="009C3AAE">
            <w:pPr>
              <w:rPr>
                <w:rFonts w:cs="Arial"/>
              </w:rPr>
            </w:pPr>
            <w:r w:rsidRPr="0080277C">
              <w:rPr>
                <w:rFonts w:cs="Arial"/>
              </w:rPr>
              <w:t>Customer Classes/ Funding</w:t>
            </w:r>
          </w:p>
        </w:tc>
        <w:tc>
          <w:tcPr>
            <w:tcW w:w="840" w:type="pct"/>
            <w:shd w:val="clear" w:color="auto" w:fill="B2ECFB" w:themeFill="accent5" w:themeFillTint="66"/>
            <w:vAlign w:val="center"/>
          </w:tcPr>
          <w:p w14:paraId="66C5F5E2" w14:textId="77777777" w:rsidR="009F5D03" w:rsidRPr="0080277C" w:rsidRDefault="009F5D03" w:rsidP="009C3AAE">
            <w:pPr>
              <w:rPr>
                <w:rFonts w:cs="Arial"/>
              </w:rPr>
            </w:pPr>
            <w:r w:rsidRPr="0080277C">
              <w:rPr>
                <w:rFonts w:cs="Arial"/>
              </w:rPr>
              <w:t>Delivery of Change</w:t>
            </w:r>
          </w:p>
        </w:tc>
        <w:tc>
          <w:tcPr>
            <w:tcW w:w="1027" w:type="pct"/>
            <w:shd w:val="clear" w:color="auto" w:fill="B2ECFB" w:themeFill="accent5" w:themeFillTint="66"/>
            <w:vAlign w:val="center"/>
          </w:tcPr>
          <w:p w14:paraId="66C5F5E3" w14:textId="77777777" w:rsidR="009F5D03" w:rsidRPr="0080277C" w:rsidRDefault="009F5D03" w:rsidP="005A6CFA">
            <w:pPr>
              <w:rPr>
                <w:rFonts w:cs="Arial"/>
              </w:rPr>
            </w:pPr>
            <w:r w:rsidRPr="0080277C">
              <w:rPr>
                <w:rFonts w:cs="Arial"/>
              </w:rPr>
              <w:t xml:space="preserve">On-going Budget Amendment </w:t>
            </w:r>
          </w:p>
        </w:tc>
      </w:tr>
      <w:tr w:rsidR="009F5D03" w:rsidRPr="00BC3CAC" w14:paraId="66C5F5E9" w14:textId="77777777" w:rsidTr="3D9B6E9F">
        <w:trPr>
          <w:trHeight w:val="403"/>
        </w:trPr>
        <w:tc>
          <w:tcPr>
            <w:tcW w:w="1222" w:type="pct"/>
            <w:vMerge/>
            <w:vAlign w:val="center"/>
          </w:tcPr>
          <w:p w14:paraId="66C5F5E5" w14:textId="77777777" w:rsidR="009F5D03" w:rsidRDefault="009F5D03" w:rsidP="009C3AAE">
            <w:pPr>
              <w:jc w:val="right"/>
              <w:rPr>
                <w:rFonts w:cs="Arial"/>
                <w:szCs w:val="20"/>
              </w:rPr>
            </w:pPr>
          </w:p>
        </w:tc>
        <w:tc>
          <w:tcPr>
            <w:tcW w:w="1911" w:type="pct"/>
            <w:vAlign w:val="center"/>
          </w:tcPr>
          <w:p w14:paraId="66C5F5E6" w14:textId="086CEE9D" w:rsidR="009F5D03" w:rsidRPr="0080277C" w:rsidRDefault="001825C8"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50148F" w:rsidRPr="0080277C">
                  <w:rPr>
                    <w:rFonts w:ascii="MS Gothic" w:eastAsia="MS Gothic" w:hAnsi="MS Gothic" w:cs="Arial" w:hint="eastAsia"/>
                    <w:szCs w:val="20"/>
                  </w:rPr>
                  <w:t>☒</w:t>
                </w:r>
              </w:sdtContent>
            </w:sdt>
            <w:r w:rsidR="009F5D03" w:rsidRPr="0080277C">
              <w:rPr>
                <w:rFonts w:cs="Arial"/>
                <w:szCs w:val="20"/>
              </w:rPr>
              <w:t xml:space="preserve"> Shipper</w:t>
            </w:r>
          </w:p>
        </w:tc>
        <w:tc>
          <w:tcPr>
            <w:tcW w:w="840" w:type="pct"/>
            <w:vAlign w:val="center"/>
          </w:tcPr>
          <w:p w14:paraId="66C5F5E7" w14:textId="0AA7D667" w:rsidR="009F5D03" w:rsidRPr="0080277C" w:rsidRDefault="0050148F" w:rsidP="009C3AAE">
            <w:pPr>
              <w:rPr>
                <w:rFonts w:cs="Arial"/>
              </w:rPr>
            </w:pPr>
            <w:r w:rsidRPr="0080277C">
              <w:rPr>
                <w:rFonts w:cs="Arial"/>
              </w:rPr>
              <w:t>90</w:t>
            </w:r>
            <w:r w:rsidR="009F5D03" w:rsidRPr="0080277C">
              <w:rPr>
                <w:rFonts w:cs="Arial"/>
              </w:rPr>
              <w:t xml:space="preserve"> %</w:t>
            </w:r>
          </w:p>
        </w:tc>
        <w:tc>
          <w:tcPr>
            <w:tcW w:w="1027" w:type="pct"/>
            <w:vAlign w:val="center"/>
          </w:tcPr>
          <w:p w14:paraId="66C5F5E8" w14:textId="77777777" w:rsidR="009F5D03" w:rsidRPr="0080277C" w:rsidRDefault="009F5D03" w:rsidP="005E4C74">
            <w:pPr>
              <w:rPr>
                <w:rFonts w:cs="Arial"/>
              </w:rPr>
            </w:pPr>
            <w:r w:rsidRPr="0080277C">
              <w:rPr>
                <w:rFonts w:cs="Arial"/>
              </w:rPr>
              <w:t>XX %</w:t>
            </w:r>
          </w:p>
        </w:tc>
      </w:tr>
      <w:tr w:rsidR="009F5D03" w:rsidRPr="00BC3CAC" w14:paraId="66C5F5EE" w14:textId="77777777" w:rsidTr="3D9B6E9F">
        <w:trPr>
          <w:trHeight w:val="403"/>
        </w:trPr>
        <w:tc>
          <w:tcPr>
            <w:tcW w:w="1222" w:type="pct"/>
            <w:vMerge/>
            <w:vAlign w:val="center"/>
          </w:tcPr>
          <w:p w14:paraId="66C5F5EA" w14:textId="77777777" w:rsidR="009F5D03" w:rsidRDefault="009F5D03" w:rsidP="009C3AAE">
            <w:pPr>
              <w:jc w:val="right"/>
              <w:rPr>
                <w:rFonts w:cs="Arial"/>
                <w:szCs w:val="20"/>
              </w:rPr>
            </w:pPr>
          </w:p>
        </w:tc>
        <w:tc>
          <w:tcPr>
            <w:tcW w:w="1911" w:type="pct"/>
            <w:vAlign w:val="center"/>
          </w:tcPr>
          <w:p w14:paraId="66C5F5EB" w14:textId="77777777" w:rsidR="009F5D03" w:rsidRPr="0080277C" w:rsidRDefault="001825C8"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9F5D03" w:rsidRPr="0080277C">
                  <w:rPr>
                    <w:rFonts w:ascii="MS Gothic" w:eastAsia="MS Gothic" w:hAnsi="MS Gothic" w:cs="Arial" w:hint="eastAsia"/>
                    <w:szCs w:val="20"/>
                  </w:rPr>
                  <w:t>☐</w:t>
                </w:r>
              </w:sdtContent>
            </w:sdt>
            <w:r w:rsidR="009F5D03" w:rsidRPr="0080277C">
              <w:rPr>
                <w:rFonts w:cs="Arial"/>
                <w:szCs w:val="20"/>
              </w:rPr>
              <w:t xml:space="preserve"> National Grid Transmission</w:t>
            </w:r>
          </w:p>
        </w:tc>
        <w:tc>
          <w:tcPr>
            <w:tcW w:w="840" w:type="pct"/>
            <w:vAlign w:val="center"/>
          </w:tcPr>
          <w:p w14:paraId="66C5F5EC" w14:textId="77777777" w:rsidR="009F5D03" w:rsidRPr="0080277C" w:rsidRDefault="009F5D03" w:rsidP="009C3AAE">
            <w:pPr>
              <w:rPr>
                <w:rFonts w:cs="Arial"/>
              </w:rPr>
            </w:pPr>
            <w:r w:rsidRPr="0080277C">
              <w:rPr>
                <w:rFonts w:cs="Arial"/>
              </w:rPr>
              <w:t>XX %</w:t>
            </w:r>
          </w:p>
        </w:tc>
        <w:tc>
          <w:tcPr>
            <w:tcW w:w="1027" w:type="pct"/>
            <w:vAlign w:val="center"/>
          </w:tcPr>
          <w:p w14:paraId="66C5F5ED" w14:textId="77777777" w:rsidR="009F5D03" w:rsidRPr="0080277C" w:rsidRDefault="009F5D03" w:rsidP="005E4C74">
            <w:pPr>
              <w:rPr>
                <w:rFonts w:cs="Arial"/>
              </w:rPr>
            </w:pPr>
            <w:r w:rsidRPr="0080277C">
              <w:rPr>
                <w:rFonts w:cs="Arial"/>
              </w:rPr>
              <w:t>XX %</w:t>
            </w:r>
          </w:p>
        </w:tc>
      </w:tr>
      <w:tr w:rsidR="009F5D03" w:rsidRPr="00BC3CAC" w14:paraId="66C5F5F3" w14:textId="77777777" w:rsidTr="3D9B6E9F">
        <w:trPr>
          <w:trHeight w:val="403"/>
        </w:trPr>
        <w:tc>
          <w:tcPr>
            <w:tcW w:w="1222" w:type="pct"/>
            <w:vMerge/>
            <w:vAlign w:val="center"/>
          </w:tcPr>
          <w:p w14:paraId="66C5F5EF" w14:textId="77777777" w:rsidR="009F5D03" w:rsidRDefault="009F5D03" w:rsidP="009C3AAE">
            <w:pPr>
              <w:jc w:val="right"/>
              <w:rPr>
                <w:rFonts w:cs="Arial"/>
                <w:szCs w:val="20"/>
              </w:rPr>
            </w:pPr>
          </w:p>
        </w:tc>
        <w:tc>
          <w:tcPr>
            <w:tcW w:w="1911" w:type="pct"/>
            <w:vAlign w:val="center"/>
          </w:tcPr>
          <w:p w14:paraId="66C5F5F0" w14:textId="0B8B5630" w:rsidR="009F5D03" w:rsidRPr="0080277C" w:rsidRDefault="001825C8"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3818D6" w:rsidRPr="0080277C">
                  <w:rPr>
                    <w:rFonts w:ascii="MS Gothic" w:eastAsia="MS Gothic" w:hAnsi="MS Gothic" w:cs="Arial" w:hint="eastAsia"/>
                    <w:szCs w:val="20"/>
                  </w:rPr>
                  <w:t>☐</w:t>
                </w:r>
              </w:sdtContent>
            </w:sdt>
            <w:r w:rsidR="009F5D03" w:rsidRPr="0080277C">
              <w:rPr>
                <w:rFonts w:cs="Arial"/>
                <w:szCs w:val="20"/>
              </w:rPr>
              <w:t xml:space="preserve"> Distribution Network Operator</w:t>
            </w:r>
          </w:p>
        </w:tc>
        <w:tc>
          <w:tcPr>
            <w:tcW w:w="840" w:type="pct"/>
            <w:vAlign w:val="center"/>
          </w:tcPr>
          <w:p w14:paraId="66C5F5F1" w14:textId="6E776F2E" w:rsidR="009F5D03" w:rsidRPr="0080277C" w:rsidRDefault="003818D6" w:rsidP="009C3AAE">
            <w:pPr>
              <w:rPr>
                <w:rFonts w:cs="Arial"/>
              </w:rPr>
            </w:pPr>
            <w:r w:rsidRPr="0080277C">
              <w:rPr>
                <w:rFonts w:cs="Arial"/>
              </w:rPr>
              <w:t>XX</w:t>
            </w:r>
            <w:r w:rsidR="009F5D03" w:rsidRPr="0080277C">
              <w:rPr>
                <w:rFonts w:cs="Arial"/>
              </w:rPr>
              <w:t xml:space="preserve"> %</w:t>
            </w:r>
          </w:p>
        </w:tc>
        <w:tc>
          <w:tcPr>
            <w:tcW w:w="1027" w:type="pct"/>
            <w:vAlign w:val="center"/>
          </w:tcPr>
          <w:p w14:paraId="66C5F5F2" w14:textId="77777777" w:rsidR="009F5D03" w:rsidRPr="0080277C" w:rsidRDefault="009F5D03" w:rsidP="005E4C74">
            <w:pPr>
              <w:rPr>
                <w:rFonts w:cs="Arial"/>
              </w:rPr>
            </w:pPr>
            <w:r w:rsidRPr="0080277C">
              <w:rPr>
                <w:rFonts w:cs="Arial"/>
              </w:rPr>
              <w:t>XX %</w:t>
            </w:r>
          </w:p>
        </w:tc>
      </w:tr>
      <w:tr w:rsidR="009F5D03" w:rsidRPr="00BC3CAC" w14:paraId="66C5F5F8" w14:textId="77777777" w:rsidTr="3D9B6E9F">
        <w:trPr>
          <w:trHeight w:val="403"/>
        </w:trPr>
        <w:tc>
          <w:tcPr>
            <w:tcW w:w="1222" w:type="pct"/>
            <w:vMerge/>
            <w:vAlign w:val="center"/>
          </w:tcPr>
          <w:p w14:paraId="66C5F5F4" w14:textId="77777777" w:rsidR="009F5D03" w:rsidRDefault="009F5D03" w:rsidP="009C3AAE">
            <w:pPr>
              <w:jc w:val="right"/>
              <w:rPr>
                <w:rFonts w:cs="Arial"/>
                <w:szCs w:val="20"/>
              </w:rPr>
            </w:pPr>
          </w:p>
        </w:tc>
        <w:tc>
          <w:tcPr>
            <w:tcW w:w="1911" w:type="pct"/>
            <w:vAlign w:val="center"/>
          </w:tcPr>
          <w:p w14:paraId="66C5F5F5" w14:textId="5F5304E2" w:rsidR="009F5D03" w:rsidRPr="0080277C" w:rsidRDefault="001825C8"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50148F" w:rsidRPr="0080277C">
                  <w:rPr>
                    <w:rFonts w:ascii="MS Gothic" w:eastAsia="MS Gothic" w:hAnsi="MS Gothic" w:cs="Arial" w:hint="eastAsia"/>
                    <w:szCs w:val="20"/>
                  </w:rPr>
                  <w:t>☒</w:t>
                </w:r>
              </w:sdtContent>
            </w:sdt>
            <w:r w:rsidR="009F5D03" w:rsidRPr="0080277C">
              <w:rPr>
                <w:rFonts w:cs="Arial"/>
                <w:szCs w:val="20"/>
              </w:rPr>
              <w:t xml:space="preserve"> IGT</w:t>
            </w:r>
          </w:p>
        </w:tc>
        <w:tc>
          <w:tcPr>
            <w:tcW w:w="840" w:type="pct"/>
            <w:vAlign w:val="center"/>
          </w:tcPr>
          <w:p w14:paraId="66C5F5F6" w14:textId="10857BEE" w:rsidR="009F5D03" w:rsidRPr="0080277C" w:rsidRDefault="0050148F" w:rsidP="009C3AAE">
            <w:pPr>
              <w:rPr>
                <w:rFonts w:cs="Arial"/>
              </w:rPr>
            </w:pPr>
            <w:r w:rsidRPr="0080277C">
              <w:rPr>
                <w:rFonts w:cs="Arial"/>
              </w:rPr>
              <w:t>10</w:t>
            </w:r>
            <w:r w:rsidR="009F5D03" w:rsidRPr="0080277C">
              <w:rPr>
                <w:rFonts w:cs="Arial"/>
              </w:rPr>
              <w:t xml:space="preserve"> %</w:t>
            </w:r>
          </w:p>
        </w:tc>
        <w:tc>
          <w:tcPr>
            <w:tcW w:w="1027" w:type="pct"/>
            <w:vAlign w:val="center"/>
          </w:tcPr>
          <w:p w14:paraId="66C5F5F7" w14:textId="77777777" w:rsidR="009F5D03" w:rsidRPr="0080277C" w:rsidRDefault="009F5D03" w:rsidP="005E4C74">
            <w:pPr>
              <w:rPr>
                <w:rFonts w:cs="Arial"/>
              </w:rPr>
            </w:pPr>
            <w:r w:rsidRPr="0080277C">
              <w:rPr>
                <w:rFonts w:cs="Arial"/>
              </w:rPr>
              <w:t>XX %</w:t>
            </w:r>
          </w:p>
        </w:tc>
      </w:tr>
      <w:tr w:rsidR="009F5D03" w:rsidRPr="00BC3CAC" w14:paraId="66C5F5FD" w14:textId="77777777" w:rsidTr="3D9B6E9F">
        <w:trPr>
          <w:trHeight w:val="403"/>
        </w:trPr>
        <w:tc>
          <w:tcPr>
            <w:tcW w:w="1222" w:type="pct"/>
            <w:vMerge/>
            <w:vAlign w:val="center"/>
          </w:tcPr>
          <w:p w14:paraId="66C5F5F9" w14:textId="77777777" w:rsidR="009F5D03" w:rsidRDefault="009F5D03" w:rsidP="009C3AAE">
            <w:pPr>
              <w:jc w:val="right"/>
              <w:rPr>
                <w:rFonts w:cs="Arial"/>
                <w:szCs w:val="20"/>
              </w:rPr>
            </w:pPr>
          </w:p>
        </w:tc>
        <w:tc>
          <w:tcPr>
            <w:tcW w:w="1911" w:type="pct"/>
            <w:vAlign w:val="center"/>
          </w:tcPr>
          <w:p w14:paraId="66C5F5FA" w14:textId="237239D2" w:rsidR="009F5D03" w:rsidRPr="0080277C" w:rsidRDefault="001825C8"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F5D03" w:rsidRPr="0080277C">
                  <w:rPr>
                    <w:rFonts w:ascii="MS Gothic" w:eastAsia="MS Gothic" w:hAnsi="MS Gothic" w:cs="Arial" w:hint="eastAsia"/>
                    <w:szCs w:val="20"/>
                  </w:rPr>
                  <w:t>☐</w:t>
                </w:r>
              </w:sdtContent>
            </w:sdt>
            <w:r w:rsidR="009F5D03" w:rsidRPr="0080277C">
              <w:rPr>
                <w:rFonts w:cs="Arial"/>
                <w:szCs w:val="20"/>
              </w:rPr>
              <w:t xml:space="preserve"> Other &lt;please specify&gt;</w:t>
            </w:r>
          </w:p>
        </w:tc>
        <w:tc>
          <w:tcPr>
            <w:tcW w:w="840" w:type="pct"/>
            <w:vAlign w:val="center"/>
          </w:tcPr>
          <w:p w14:paraId="66C5F5FB" w14:textId="77777777" w:rsidR="009F5D03" w:rsidRPr="0080277C" w:rsidRDefault="009F5D03" w:rsidP="009C3AAE">
            <w:pPr>
              <w:rPr>
                <w:rFonts w:cs="Arial"/>
              </w:rPr>
            </w:pPr>
            <w:r w:rsidRPr="0080277C">
              <w:rPr>
                <w:rFonts w:cs="Arial"/>
              </w:rPr>
              <w:t>XX %</w:t>
            </w:r>
          </w:p>
        </w:tc>
        <w:tc>
          <w:tcPr>
            <w:tcW w:w="1027" w:type="pct"/>
            <w:vAlign w:val="center"/>
          </w:tcPr>
          <w:p w14:paraId="66C5F5FC" w14:textId="77777777" w:rsidR="009F5D03" w:rsidRPr="0080277C" w:rsidRDefault="009F5D03" w:rsidP="005E4C74">
            <w:pPr>
              <w:rPr>
                <w:rFonts w:cs="Arial"/>
              </w:rPr>
            </w:pPr>
            <w:r w:rsidRPr="0080277C">
              <w:rPr>
                <w:rFonts w:cs="Arial"/>
              </w:rPr>
              <w:t>XX %</w:t>
            </w:r>
          </w:p>
        </w:tc>
      </w:tr>
      <w:tr w:rsidR="00A84CC6" w:rsidRPr="00BC3CAC" w14:paraId="480D9566" w14:textId="77777777" w:rsidTr="00A84CC6">
        <w:trPr>
          <w:trHeight w:val="403"/>
        </w:trPr>
        <w:tc>
          <w:tcPr>
            <w:tcW w:w="1222" w:type="pct"/>
            <w:vMerge/>
            <w:vAlign w:val="center"/>
          </w:tcPr>
          <w:p w14:paraId="7E74E470" w14:textId="77777777" w:rsidR="00A84CC6" w:rsidRDefault="00A84CC6" w:rsidP="009C3AAE">
            <w:pPr>
              <w:jc w:val="right"/>
              <w:rPr>
                <w:rFonts w:cs="Arial"/>
                <w:szCs w:val="20"/>
              </w:rPr>
            </w:pPr>
          </w:p>
        </w:tc>
        <w:tc>
          <w:tcPr>
            <w:tcW w:w="3778" w:type="pct"/>
            <w:gridSpan w:val="3"/>
            <w:vAlign w:val="center"/>
          </w:tcPr>
          <w:p w14:paraId="026DC43A" w14:textId="440FE539" w:rsidR="00A84CC6" w:rsidRPr="009F5B60" w:rsidRDefault="00A84CC6" w:rsidP="005E4C74">
            <w:pPr>
              <w:rPr>
                <w:rFonts w:cs="Arial"/>
              </w:rPr>
            </w:pPr>
            <w:r w:rsidRPr="009F5B60">
              <w:rPr>
                <w:rFonts w:cs="Arial"/>
                <w:szCs w:val="20"/>
              </w:rPr>
              <w:t xml:space="preserve">Please note – this funding split </w:t>
            </w:r>
            <w:r w:rsidR="002127DF" w:rsidRPr="009F5B60">
              <w:rPr>
                <w:rFonts w:cs="Arial"/>
                <w:szCs w:val="20"/>
              </w:rPr>
              <w:t xml:space="preserve">is not aligned to a current Service Area but has been proposed by the Change Proposal proposer and </w:t>
            </w:r>
            <w:r w:rsidR="009F5B60" w:rsidRPr="009F5B60">
              <w:rPr>
                <w:rFonts w:cs="Arial"/>
                <w:szCs w:val="20"/>
              </w:rPr>
              <w:t xml:space="preserve">should be discussed and agreed at the DSC ChMC. </w:t>
            </w:r>
            <w:r w:rsidRPr="009F5B60">
              <w:rPr>
                <w:rFonts w:cs="Arial"/>
                <w:szCs w:val="20"/>
              </w:rPr>
              <w:t xml:space="preserve"> </w:t>
            </w:r>
          </w:p>
        </w:tc>
      </w:tr>
      <w:tr w:rsidR="008E6888" w:rsidRPr="00BC3CAC" w14:paraId="66C5F600" w14:textId="77777777" w:rsidTr="3D9B6E9F">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C50A207" w14:textId="77777777" w:rsidR="001C7C72" w:rsidRDefault="001C7C72" w:rsidP="001C7C72">
            <w:pPr>
              <w:rPr>
                <w:rFonts w:cs="Arial"/>
              </w:rPr>
            </w:pPr>
          </w:p>
          <w:p w14:paraId="4275F6B9" w14:textId="2E1B5E59" w:rsidR="00D677C2" w:rsidRDefault="001C7C72" w:rsidP="001C7C72">
            <w:pPr>
              <w:rPr>
                <w:rFonts w:cs="Arial"/>
              </w:rPr>
            </w:pPr>
            <w:r>
              <w:rPr>
                <w:rFonts w:cs="Arial"/>
              </w:rPr>
              <w:t xml:space="preserve">A ROM </w:t>
            </w:r>
            <w:r w:rsidR="000373FF">
              <w:rPr>
                <w:rFonts w:cs="Arial"/>
              </w:rPr>
              <w:t>was</w:t>
            </w:r>
            <w:r>
              <w:rPr>
                <w:rFonts w:cs="Arial"/>
              </w:rPr>
              <w:t xml:space="preserve"> completed</w:t>
            </w:r>
            <w:r w:rsidR="00BD237F">
              <w:rPr>
                <w:rFonts w:cs="Arial"/>
              </w:rPr>
              <w:t xml:space="preserve"> providing 2 </w:t>
            </w:r>
            <w:r w:rsidR="00D677C2">
              <w:rPr>
                <w:rFonts w:cs="Arial"/>
              </w:rPr>
              <w:t>solution options:</w:t>
            </w:r>
          </w:p>
          <w:p w14:paraId="4EF0FE7C" w14:textId="77777777" w:rsidR="00D677C2" w:rsidRDefault="00D677C2" w:rsidP="001C7C72">
            <w:pPr>
              <w:rPr>
                <w:rFonts w:cs="Arial"/>
              </w:rPr>
            </w:pPr>
          </w:p>
          <w:p w14:paraId="10C98460" w14:textId="77777777" w:rsidR="00473CF5" w:rsidRDefault="00D677C2" w:rsidP="001C7C72">
            <w:pPr>
              <w:rPr>
                <w:rFonts w:cs="Arial"/>
              </w:rPr>
            </w:pPr>
            <w:r>
              <w:rPr>
                <w:rFonts w:cs="Arial"/>
              </w:rPr>
              <w:t xml:space="preserve">Option 1 </w:t>
            </w:r>
            <w:r w:rsidR="00473CF5">
              <w:rPr>
                <w:rFonts w:cs="Arial"/>
              </w:rPr>
              <w:t>– implement the change in UK Link with the CMS element delivered as part of / following CMS Rebuild</w:t>
            </w:r>
          </w:p>
          <w:p w14:paraId="5655F2D8" w14:textId="79B7724E" w:rsidR="00A72908" w:rsidRDefault="00473CF5" w:rsidP="00A72908">
            <w:pPr>
              <w:pStyle w:val="ListParagraph"/>
              <w:numPr>
                <w:ilvl w:val="0"/>
                <w:numId w:val="12"/>
              </w:numPr>
              <w:rPr>
                <w:rFonts w:cs="Arial"/>
              </w:rPr>
            </w:pPr>
            <w:r>
              <w:rPr>
                <w:rFonts w:cs="Arial"/>
              </w:rPr>
              <w:t>E</w:t>
            </w:r>
            <w:r w:rsidR="001C7C72" w:rsidRPr="00473CF5">
              <w:rPr>
                <w:rFonts w:cs="Arial"/>
              </w:rPr>
              <w:t>stimat</w:t>
            </w:r>
            <w:r>
              <w:rPr>
                <w:rFonts w:cs="Arial"/>
              </w:rPr>
              <w:t>ed</w:t>
            </w:r>
            <w:r w:rsidR="001C7C72" w:rsidRPr="00473CF5">
              <w:rPr>
                <w:rFonts w:cs="Arial"/>
              </w:rPr>
              <w:t xml:space="preserve"> high level indicative delivery costs </w:t>
            </w:r>
            <w:r>
              <w:rPr>
                <w:rFonts w:cs="Arial"/>
              </w:rPr>
              <w:t>were</w:t>
            </w:r>
            <w:r w:rsidR="001C7C72" w:rsidRPr="00473CF5">
              <w:rPr>
                <w:rFonts w:cs="Arial"/>
              </w:rPr>
              <w:t xml:space="preserve"> anticipated to be between £</w:t>
            </w:r>
            <w:r w:rsidR="00F90ECA">
              <w:rPr>
                <w:rFonts w:cs="Arial"/>
              </w:rPr>
              <w:t>15</w:t>
            </w:r>
            <w:r w:rsidR="001C7C72" w:rsidRPr="00473CF5">
              <w:rPr>
                <w:rFonts w:cs="Arial"/>
              </w:rPr>
              <w:t>,000 and £</w:t>
            </w:r>
            <w:r w:rsidR="00F90ECA">
              <w:rPr>
                <w:rFonts w:cs="Arial"/>
              </w:rPr>
              <w:t>50,</w:t>
            </w:r>
            <w:r w:rsidR="00A72908">
              <w:rPr>
                <w:rFonts w:cs="Arial"/>
              </w:rPr>
              <w:t>000</w:t>
            </w:r>
            <w:r w:rsidR="001C7C72" w:rsidRPr="00473CF5">
              <w:rPr>
                <w:rFonts w:cs="Arial"/>
              </w:rPr>
              <w:t>.</w:t>
            </w:r>
          </w:p>
          <w:p w14:paraId="0DA9172B" w14:textId="55DF213B" w:rsidR="00A72908" w:rsidRDefault="00A72908" w:rsidP="00A72908">
            <w:pPr>
              <w:pStyle w:val="ListParagraph"/>
              <w:numPr>
                <w:ilvl w:val="0"/>
                <w:numId w:val="12"/>
              </w:numPr>
              <w:rPr>
                <w:rFonts w:cs="Arial"/>
              </w:rPr>
            </w:pPr>
            <w:r>
              <w:rPr>
                <w:rFonts w:cs="Arial"/>
              </w:rPr>
              <w:t xml:space="preserve">The actual cost is dependent on the timing of the Modification being implemented against the CMS Rebuild work. </w:t>
            </w:r>
          </w:p>
          <w:p w14:paraId="6C0AB9E2" w14:textId="48526C98" w:rsidR="00A72908" w:rsidRDefault="00A72908" w:rsidP="00A72908">
            <w:pPr>
              <w:rPr>
                <w:rFonts w:cs="Arial"/>
              </w:rPr>
            </w:pPr>
          </w:p>
          <w:p w14:paraId="1D1CE082" w14:textId="0F57E575" w:rsidR="00A72908" w:rsidRDefault="00A72908" w:rsidP="00A72908">
            <w:pPr>
              <w:rPr>
                <w:rFonts w:cs="Arial"/>
              </w:rPr>
            </w:pPr>
            <w:r>
              <w:rPr>
                <w:rFonts w:cs="Arial"/>
              </w:rPr>
              <w:t xml:space="preserve">Option 2 – implement the change in UK </w:t>
            </w:r>
            <w:r w:rsidR="001360C6">
              <w:rPr>
                <w:rFonts w:cs="Arial"/>
              </w:rPr>
              <w:t xml:space="preserve">Link and in current CMS (subsequent delivery within the new CMS will be required) </w:t>
            </w:r>
          </w:p>
          <w:p w14:paraId="1B248629" w14:textId="26983F09" w:rsidR="001360C6" w:rsidRDefault="001360C6" w:rsidP="001360C6">
            <w:pPr>
              <w:pStyle w:val="ListParagraph"/>
              <w:numPr>
                <w:ilvl w:val="0"/>
                <w:numId w:val="12"/>
              </w:numPr>
              <w:rPr>
                <w:rFonts w:cs="Arial"/>
              </w:rPr>
            </w:pPr>
            <w:r>
              <w:rPr>
                <w:rFonts w:cs="Arial"/>
              </w:rPr>
              <w:t>E</w:t>
            </w:r>
            <w:r w:rsidRPr="00473CF5">
              <w:rPr>
                <w:rFonts w:cs="Arial"/>
              </w:rPr>
              <w:t>stimat</w:t>
            </w:r>
            <w:r>
              <w:rPr>
                <w:rFonts w:cs="Arial"/>
              </w:rPr>
              <w:t>ed</w:t>
            </w:r>
            <w:r w:rsidRPr="00473CF5">
              <w:rPr>
                <w:rFonts w:cs="Arial"/>
              </w:rPr>
              <w:t xml:space="preserve"> high level indicative delivery costs </w:t>
            </w:r>
            <w:r>
              <w:rPr>
                <w:rFonts w:cs="Arial"/>
              </w:rPr>
              <w:t>were</w:t>
            </w:r>
            <w:r w:rsidRPr="00473CF5">
              <w:rPr>
                <w:rFonts w:cs="Arial"/>
              </w:rPr>
              <w:t xml:space="preserve"> anticipated to be between £</w:t>
            </w:r>
            <w:r>
              <w:rPr>
                <w:rFonts w:cs="Arial"/>
              </w:rPr>
              <w:t>30,000</w:t>
            </w:r>
            <w:r w:rsidRPr="00473CF5">
              <w:rPr>
                <w:rFonts w:cs="Arial"/>
              </w:rPr>
              <w:t xml:space="preserve"> and £</w:t>
            </w:r>
            <w:r>
              <w:rPr>
                <w:rFonts w:cs="Arial"/>
              </w:rPr>
              <w:t>70,000</w:t>
            </w:r>
            <w:r w:rsidRPr="00473CF5">
              <w:rPr>
                <w:rFonts w:cs="Arial"/>
              </w:rPr>
              <w:t>.</w:t>
            </w:r>
          </w:p>
          <w:p w14:paraId="113E2845" w14:textId="77777777" w:rsidR="007A2798" w:rsidRDefault="007A2798" w:rsidP="001C7C72">
            <w:pPr>
              <w:rPr>
                <w:rFonts w:cs="Arial"/>
              </w:rPr>
            </w:pPr>
          </w:p>
          <w:p w14:paraId="5B2A0A1E" w14:textId="2C17344D" w:rsidR="001C7C72" w:rsidRDefault="001C7C72" w:rsidP="001C7C72">
            <w:pPr>
              <w:rPr>
                <w:rFonts w:cs="Arial"/>
              </w:rPr>
            </w:pPr>
            <w:r>
              <w:rPr>
                <w:rFonts w:cs="Arial"/>
              </w:rPr>
              <w:t>Any ongoing costs are to be determined during the Detailed Design phase.</w:t>
            </w:r>
          </w:p>
          <w:p w14:paraId="76D2F57D" w14:textId="77777777" w:rsidR="001C7C72" w:rsidRDefault="001C7C72" w:rsidP="001C7C72">
            <w:pPr>
              <w:rPr>
                <w:rFonts w:cs="Arial"/>
              </w:rPr>
            </w:pPr>
          </w:p>
          <w:p w14:paraId="1620BF63" w14:textId="325AEAF2" w:rsidR="001C7C72" w:rsidRDefault="001C7C72" w:rsidP="001C7C72">
            <w:pPr>
              <w:rPr>
                <w:rFonts w:cs="Arial"/>
              </w:rPr>
            </w:pPr>
            <w:r>
              <w:rPr>
                <w:rFonts w:cs="Arial"/>
              </w:rPr>
              <w:t xml:space="preserve">Link to the ROM for reference </w:t>
            </w:r>
            <w:hyperlink r:id="rId15" w:history="1">
              <w:r w:rsidRPr="00612C62">
                <w:rPr>
                  <w:rStyle w:val="Hyperlink"/>
                  <w:rFonts w:cs="Arial"/>
                </w:rPr>
                <w:t>here</w:t>
              </w:r>
            </w:hyperlink>
            <w:r>
              <w:rPr>
                <w:rFonts w:cs="Arial"/>
              </w:rPr>
              <w:t xml:space="preserve">. </w:t>
            </w:r>
          </w:p>
          <w:p w14:paraId="66C5F5FF" w14:textId="77777777" w:rsidR="008E6888" w:rsidRDefault="008E6888" w:rsidP="009C3AAE">
            <w:pPr>
              <w:rPr>
                <w:rFonts w:cs="Arial"/>
              </w:rPr>
            </w:pPr>
          </w:p>
        </w:tc>
      </w:tr>
      <w:tr w:rsidR="008E6888" w:rsidRPr="00BC3CAC" w14:paraId="66C5F603" w14:textId="77777777" w:rsidTr="3D9B6E9F">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3EEFDAD0" w:rsidR="008E6888" w:rsidRDefault="007A2798" w:rsidP="001509C0">
            <w:pPr>
              <w:rPr>
                <w:rFonts w:cs="Arial"/>
              </w:rPr>
            </w:pPr>
            <w:r>
              <w:rPr>
                <w:rFonts w:cs="Arial"/>
              </w:rPr>
              <w:t>Proposed</w:t>
            </w:r>
            <w:r w:rsidR="4BC500CA" w:rsidRPr="3D9B6E9F">
              <w:rPr>
                <w:rFonts w:cs="Arial"/>
              </w:rPr>
              <w:t xml:space="preserve"> funding split should be </w:t>
            </w:r>
            <w:r w:rsidR="138C17A8" w:rsidRPr="3D9B6E9F">
              <w:rPr>
                <w:rFonts w:cs="Arial"/>
              </w:rPr>
              <w:t>discussed and agreed by ChMC when</w:t>
            </w:r>
            <w:r w:rsidR="001509C0" w:rsidRPr="3D9B6E9F">
              <w:rPr>
                <w:rFonts w:cs="Arial"/>
              </w:rPr>
              <w:t xml:space="preserve"> the Change Proposal is presented.</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6"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6"/>
        <w:gridCol w:w="1382"/>
        <w:gridCol w:w="1383"/>
        <w:gridCol w:w="1660"/>
        <w:gridCol w:w="4417"/>
      </w:tblGrid>
      <w:tr w:rsidR="0051349C" w:rsidRPr="006C66CA" w14:paraId="66C5F64A" w14:textId="77777777" w:rsidTr="00412F12">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412F12">
        <w:trPr>
          <w:trHeight w:val="403"/>
        </w:trPr>
        <w:tc>
          <w:tcPr>
            <w:tcW w:w="542" w:type="pct"/>
            <w:shd w:val="clear" w:color="auto" w:fill="auto"/>
            <w:vAlign w:val="center"/>
          </w:tcPr>
          <w:p w14:paraId="66C5F64B" w14:textId="66EFD6A7" w:rsidR="0051349C" w:rsidRPr="00470388" w:rsidRDefault="0051349C" w:rsidP="0051349C">
            <w:pPr>
              <w:rPr>
                <w:rFonts w:cs="Arial"/>
                <w:szCs w:val="20"/>
              </w:rPr>
            </w:pPr>
          </w:p>
        </w:tc>
        <w:tc>
          <w:tcPr>
            <w:tcW w:w="696" w:type="pct"/>
            <w:shd w:val="clear" w:color="auto" w:fill="auto"/>
            <w:vAlign w:val="center"/>
          </w:tcPr>
          <w:p w14:paraId="66C5F64C" w14:textId="1C5AEAD6" w:rsidR="0051349C" w:rsidRPr="00470388" w:rsidRDefault="0051349C" w:rsidP="0051349C">
            <w:pPr>
              <w:rPr>
                <w:rFonts w:cs="Arial"/>
                <w:szCs w:val="20"/>
              </w:rPr>
            </w:pPr>
          </w:p>
        </w:tc>
        <w:tc>
          <w:tcPr>
            <w:tcW w:w="697" w:type="pct"/>
            <w:shd w:val="clear" w:color="auto" w:fill="auto"/>
            <w:vAlign w:val="center"/>
          </w:tcPr>
          <w:p w14:paraId="66C5F64D" w14:textId="7D7C15BD" w:rsidR="0051349C" w:rsidRPr="00470388" w:rsidRDefault="0051349C" w:rsidP="0051349C">
            <w:pPr>
              <w:rPr>
                <w:rFonts w:cs="Arial"/>
                <w:szCs w:val="20"/>
              </w:rPr>
            </w:pPr>
          </w:p>
        </w:tc>
        <w:tc>
          <w:tcPr>
            <w:tcW w:w="837" w:type="pct"/>
            <w:shd w:val="clear" w:color="auto" w:fill="auto"/>
            <w:vAlign w:val="center"/>
          </w:tcPr>
          <w:p w14:paraId="66C5F64E" w14:textId="31CF6C57" w:rsidR="0051349C" w:rsidRPr="00470388" w:rsidRDefault="0051349C" w:rsidP="0051349C">
            <w:pPr>
              <w:rPr>
                <w:rFonts w:cs="Arial"/>
                <w:szCs w:val="20"/>
              </w:rPr>
            </w:pPr>
          </w:p>
        </w:tc>
        <w:tc>
          <w:tcPr>
            <w:tcW w:w="2227" w:type="pct"/>
            <w:shd w:val="clear" w:color="auto" w:fill="auto"/>
            <w:vAlign w:val="center"/>
          </w:tcPr>
          <w:p w14:paraId="66C5F64F" w14:textId="3252E95D" w:rsidR="0051349C" w:rsidRPr="00470388" w:rsidRDefault="0051349C" w:rsidP="0051349C">
            <w:pPr>
              <w:rPr>
                <w:rFonts w:cs="Arial"/>
                <w:szCs w:val="20"/>
              </w:rPr>
            </w:pPr>
          </w:p>
        </w:tc>
      </w:tr>
    </w:tbl>
    <w:p w14:paraId="66C5F693" w14:textId="77777777" w:rsidR="0051349C" w:rsidRPr="0051349C" w:rsidRDefault="0051349C" w:rsidP="00412F12">
      <w:pPr>
        <w:pStyle w:val="Heading1"/>
      </w:pPr>
    </w:p>
    <w:sectPr w:rsidR="0051349C" w:rsidRPr="0051349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02E0" w14:textId="77777777" w:rsidR="002267D7" w:rsidRDefault="002267D7" w:rsidP="00324744">
      <w:pPr>
        <w:spacing w:after="0" w:line="240" w:lineRule="auto"/>
      </w:pPr>
      <w:r>
        <w:separator/>
      </w:r>
    </w:p>
  </w:endnote>
  <w:endnote w:type="continuationSeparator" w:id="0">
    <w:p w14:paraId="6383D4C1" w14:textId="77777777" w:rsidR="002267D7" w:rsidRDefault="002267D7" w:rsidP="00324744">
      <w:pPr>
        <w:spacing w:after="0" w:line="240" w:lineRule="auto"/>
      </w:pPr>
      <w:r>
        <w:continuationSeparator/>
      </w:r>
    </w:p>
  </w:endnote>
  <w:endnote w:type="continuationNotice" w:id="1">
    <w:p w14:paraId="5258DC81" w14:textId="77777777" w:rsidR="002267D7" w:rsidRDefault="00226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2CE05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E4A3" w14:textId="77777777" w:rsidR="002267D7" w:rsidRDefault="002267D7" w:rsidP="00324744">
      <w:pPr>
        <w:spacing w:after="0" w:line="240" w:lineRule="auto"/>
      </w:pPr>
      <w:r>
        <w:separator/>
      </w:r>
    </w:p>
  </w:footnote>
  <w:footnote w:type="continuationSeparator" w:id="0">
    <w:p w14:paraId="356812E8" w14:textId="77777777" w:rsidR="002267D7" w:rsidRDefault="002267D7" w:rsidP="00324744">
      <w:pPr>
        <w:spacing w:after="0" w:line="240" w:lineRule="auto"/>
      </w:pPr>
      <w:r>
        <w:continuationSeparator/>
      </w:r>
    </w:p>
  </w:footnote>
  <w:footnote w:type="continuationNotice" w:id="1">
    <w:p w14:paraId="3AC44D9F" w14:textId="77777777" w:rsidR="002267D7" w:rsidRDefault="00226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327AC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36A"/>
    <w:multiLevelType w:val="hybridMultilevel"/>
    <w:tmpl w:val="06DE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8471C"/>
    <w:multiLevelType w:val="hybridMultilevel"/>
    <w:tmpl w:val="723A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56C75"/>
    <w:multiLevelType w:val="hybridMultilevel"/>
    <w:tmpl w:val="1760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6"/>
  </w:num>
  <w:num w:numId="5">
    <w:abstractNumId w:val="12"/>
  </w:num>
  <w:num w:numId="6">
    <w:abstractNumId w:val="11"/>
  </w:num>
  <w:num w:numId="7">
    <w:abstractNumId w:val="2"/>
  </w:num>
  <w:num w:numId="8">
    <w:abstractNumId w:val="5"/>
  </w:num>
  <w:num w:numId="9">
    <w:abstractNumId w:val="8"/>
  </w:num>
  <w:num w:numId="10">
    <w:abstractNumId w:val="4"/>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373FF"/>
    <w:rsid w:val="00043E6A"/>
    <w:rsid w:val="00046BA6"/>
    <w:rsid w:val="00050A89"/>
    <w:rsid w:val="000521F3"/>
    <w:rsid w:val="0006690B"/>
    <w:rsid w:val="0006693E"/>
    <w:rsid w:val="00066F35"/>
    <w:rsid w:val="000768BB"/>
    <w:rsid w:val="000776DA"/>
    <w:rsid w:val="00084C47"/>
    <w:rsid w:val="00093D75"/>
    <w:rsid w:val="000972A1"/>
    <w:rsid w:val="000A1AD1"/>
    <w:rsid w:val="000B4820"/>
    <w:rsid w:val="000C7318"/>
    <w:rsid w:val="000E3E26"/>
    <w:rsid w:val="000F589F"/>
    <w:rsid w:val="00107BC2"/>
    <w:rsid w:val="00112A91"/>
    <w:rsid w:val="00122449"/>
    <w:rsid w:val="00125B61"/>
    <w:rsid w:val="00132F81"/>
    <w:rsid w:val="001360C6"/>
    <w:rsid w:val="0014162E"/>
    <w:rsid w:val="00144E00"/>
    <w:rsid w:val="00147035"/>
    <w:rsid w:val="001509C0"/>
    <w:rsid w:val="00151C09"/>
    <w:rsid w:val="00156FD9"/>
    <w:rsid w:val="0017370A"/>
    <w:rsid w:val="001825C8"/>
    <w:rsid w:val="00195C86"/>
    <w:rsid w:val="001A0FF3"/>
    <w:rsid w:val="001A626D"/>
    <w:rsid w:val="001B2D13"/>
    <w:rsid w:val="001C1D1E"/>
    <w:rsid w:val="001C7C72"/>
    <w:rsid w:val="001D793D"/>
    <w:rsid w:val="002127DF"/>
    <w:rsid w:val="00212B1C"/>
    <w:rsid w:val="002201FE"/>
    <w:rsid w:val="002247C6"/>
    <w:rsid w:val="002267D7"/>
    <w:rsid w:val="00226D34"/>
    <w:rsid w:val="00232B34"/>
    <w:rsid w:val="002365D1"/>
    <w:rsid w:val="00253C79"/>
    <w:rsid w:val="00260BBF"/>
    <w:rsid w:val="00277F06"/>
    <w:rsid w:val="0029036C"/>
    <w:rsid w:val="00290A05"/>
    <w:rsid w:val="002A278D"/>
    <w:rsid w:val="002B3E04"/>
    <w:rsid w:val="002B3FC0"/>
    <w:rsid w:val="002C4696"/>
    <w:rsid w:val="002D053D"/>
    <w:rsid w:val="002D79F6"/>
    <w:rsid w:val="002F0323"/>
    <w:rsid w:val="002F448E"/>
    <w:rsid w:val="002F7F36"/>
    <w:rsid w:val="0030378A"/>
    <w:rsid w:val="00310A64"/>
    <w:rsid w:val="003201A4"/>
    <w:rsid w:val="00324744"/>
    <w:rsid w:val="003344D3"/>
    <w:rsid w:val="00337F65"/>
    <w:rsid w:val="003463C5"/>
    <w:rsid w:val="0035652F"/>
    <w:rsid w:val="00363E3A"/>
    <w:rsid w:val="00367BC0"/>
    <w:rsid w:val="00372360"/>
    <w:rsid w:val="00376C38"/>
    <w:rsid w:val="003774C3"/>
    <w:rsid w:val="00377B3E"/>
    <w:rsid w:val="003818D6"/>
    <w:rsid w:val="00386287"/>
    <w:rsid w:val="003A32EA"/>
    <w:rsid w:val="003A5CFC"/>
    <w:rsid w:val="003B4D44"/>
    <w:rsid w:val="003B7E16"/>
    <w:rsid w:val="003C293D"/>
    <w:rsid w:val="00403D4A"/>
    <w:rsid w:val="00407C41"/>
    <w:rsid w:val="00412F12"/>
    <w:rsid w:val="00426807"/>
    <w:rsid w:val="004313FE"/>
    <w:rsid w:val="004336C5"/>
    <w:rsid w:val="00444C4C"/>
    <w:rsid w:val="00453135"/>
    <w:rsid w:val="00464FAE"/>
    <w:rsid w:val="00470388"/>
    <w:rsid w:val="004715B6"/>
    <w:rsid w:val="004730B0"/>
    <w:rsid w:val="00473CF5"/>
    <w:rsid w:val="00477440"/>
    <w:rsid w:val="00485E77"/>
    <w:rsid w:val="00485F6F"/>
    <w:rsid w:val="00494523"/>
    <w:rsid w:val="004B4891"/>
    <w:rsid w:val="004F097C"/>
    <w:rsid w:val="004F2A47"/>
    <w:rsid w:val="004F3362"/>
    <w:rsid w:val="004F626A"/>
    <w:rsid w:val="0050049E"/>
    <w:rsid w:val="0050148F"/>
    <w:rsid w:val="005027CC"/>
    <w:rsid w:val="00504B04"/>
    <w:rsid w:val="00512309"/>
    <w:rsid w:val="00512551"/>
    <w:rsid w:val="005132C1"/>
    <w:rsid w:val="0051349C"/>
    <w:rsid w:val="00516D8E"/>
    <w:rsid w:val="00517F6F"/>
    <w:rsid w:val="00524A8B"/>
    <w:rsid w:val="00525A7D"/>
    <w:rsid w:val="005504A6"/>
    <w:rsid w:val="0055298E"/>
    <w:rsid w:val="00552F64"/>
    <w:rsid w:val="0055478D"/>
    <w:rsid w:val="00565F66"/>
    <w:rsid w:val="00567C13"/>
    <w:rsid w:val="0057075F"/>
    <w:rsid w:val="005746AF"/>
    <w:rsid w:val="00575310"/>
    <w:rsid w:val="00582C46"/>
    <w:rsid w:val="0058557B"/>
    <w:rsid w:val="005A1776"/>
    <w:rsid w:val="005A44DF"/>
    <w:rsid w:val="005A6B14"/>
    <w:rsid w:val="005A6CFA"/>
    <w:rsid w:val="005A6DF1"/>
    <w:rsid w:val="005B3F96"/>
    <w:rsid w:val="005B744C"/>
    <w:rsid w:val="005C15DD"/>
    <w:rsid w:val="005C4554"/>
    <w:rsid w:val="005D0AA4"/>
    <w:rsid w:val="005D4EDB"/>
    <w:rsid w:val="005E1608"/>
    <w:rsid w:val="005E4C74"/>
    <w:rsid w:val="00602977"/>
    <w:rsid w:val="00612BD2"/>
    <w:rsid w:val="00613BC5"/>
    <w:rsid w:val="0064277C"/>
    <w:rsid w:val="006471D5"/>
    <w:rsid w:val="006514E4"/>
    <w:rsid w:val="00667338"/>
    <w:rsid w:val="006718CF"/>
    <w:rsid w:val="00674DE5"/>
    <w:rsid w:val="0067534D"/>
    <w:rsid w:val="0068210E"/>
    <w:rsid w:val="006953DA"/>
    <w:rsid w:val="006A2B81"/>
    <w:rsid w:val="006A2C69"/>
    <w:rsid w:val="006A7E10"/>
    <w:rsid w:val="006B18D0"/>
    <w:rsid w:val="006B2C14"/>
    <w:rsid w:val="006B5363"/>
    <w:rsid w:val="006C5AB1"/>
    <w:rsid w:val="006C5DC1"/>
    <w:rsid w:val="006C66CA"/>
    <w:rsid w:val="006F3657"/>
    <w:rsid w:val="00706BF1"/>
    <w:rsid w:val="0071163F"/>
    <w:rsid w:val="007204AB"/>
    <w:rsid w:val="00722970"/>
    <w:rsid w:val="007229EF"/>
    <w:rsid w:val="007243D3"/>
    <w:rsid w:val="00727180"/>
    <w:rsid w:val="00733FF7"/>
    <w:rsid w:val="00734A65"/>
    <w:rsid w:val="00734DC4"/>
    <w:rsid w:val="00750B7B"/>
    <w:rsid w:val="0075531C"/>
    <w:rsid w:val="00766E60"/>
    <w:rsid w:val="007715F3"/>
    <w:rsid w:val="00771B44"/>
    <w:rsid w:val="007836E3"/>
    <w:rsid w:val="007855B1"/>
    <w:rsid w:val="00786E61"/>
    <w:rsid w:val="007A05AA"/>
    <w:rsid w:val="007A2798"/>
    <w:rsid w:val="007A2F99"/>
    <w:rsid w:val="007A56DB"/>
    <w:rsid w:val="007C56BB"/>
    <w:rsid w:val="007C5AB4"/>
    <w:rsid w:val="007D0D1F"/>
    <w:rsid w:val="007D4F26"/>
    <w:rsid w:val="007D796E"/>
    <w:rsid w:val="007F09E3"/>
    <w:rsid w:val="007F5643"/>
    <w:rsid w:val="0080277C"/>
    <w:rsid w:val="008064F3"/>
    <w:rsid w:val="00807258"/>
    <w:rsid w:val="008075EF"/>
    <w:rsid w:val="0081275F"/>
    <w:rsid w:val="0082322E"/>
    <w:rsid w:val="00833E9C"/>
    <w:rsid w:val="00843613"/>
    <w:rsid w:val="00853AEB"/>
    <w:rsid w:val="00853EE7"/>
    <w:rsid w:val="00864211"/>
    <w:rsid w:val="00870EC1"/>
    <w:rsid w:val="00874C46"/>
    <w:rsid w:val="00876BE6"/>
    <w:rsid w:val="00886E23"/>
    <w:rsid w:val="008932EE"/>
    <w:rsid w:val="00894BD9"/>
    <w:rsid w:val="00897E29"/>
    <w:rsid w:val="008B7C4E"/>
    <w:rsid w:val="008B7E39"/>
    <w:rsid w:val="008C078A"/>
    <w:rsid w:val="008C7942"/>
    <w:rsid w:val="008D2FCD"/>
    <w:rsid w:val="008E6888"/>
    <w:rsid w:val="008E70D0"/>
    <w:rsid w:val="008F05D1"/>
    <w:rsid w:val="008F2612"/>
    <w:rsid w:val="008F53E8"/>
    <w:rsid w:val="00905F03"/>
    <w:rsid w:val="00913F0A"/>
    <w:rsid w:val="009439D5"/>
    <w:rsid w:val="00945316"/>
    <w:rsid w:val="00946A52"/>
    <w:rsid w:val="0095319A"/>
    <w:rsid w:val="00977AD7"/>
    <w:rsid w:val="00977B79"/>
    <w:rsid w:val="0098705C"/>
    <w:rsid w:val="009B7B91"/>
    <w:rsid w:val="009C1729"/>
    <w:rsid w:val="009C3AAE"/>
    <w:rsid w:val="009D38A3"/>
    <w:rsid w:val="009D6EE7"/>
    <w:rsid w:val="009E3053"/>
    <w:rsid w:val="009E485B"/>
    <w:rsid w:val="009E49DE"/>
    <w:rsid w:val="009E6FF9"/>
    <w:rsid w:val="009F5B60"/>
    <w:rsid w:val="009F5D03"/>
    <w:rsid w:val="009F7831"/>
    <w:rsid w:val="00A2050B"/>
    <w:rsid w:val="00A30CDA"/>
    <w:rsid w:val="00A32370"/>
    <w:rsid w:val="00A3623B"/>
    <w:rsid w:val="00A41B8E"/>
    <w:rsid w:val="00A57CE8"/>
    <w:rsid w:val="00A700B7"/>
    <w:rsid w:val="00A72908"/>
    <w:rsid w:val="00A82A57"/>
    <w:rsid w:val="00A830EB"/>
    <w:rsid w:val="00A84CC6"/>
    <w:rsid w:val="00AB5B54"/>
    <w:rsid w:val="00AB63DE"/>
    <w:rsid w:val="00AC7EC6"/>
    <w:rsid w:val="00B05CA5"/>
    <w:rsid w:val="00B11FE6"/>
    <w:rsid w:val="00B23312"/>
    <w:rsid w:val="00B237DE"/>
    <w:rsid w:val="00B453CA"/>
    <w:rsid w:val="00B47489"/>
    <w:rsid w:val="00B50EDC"/>
    <w:rsid w:val="00B5319A"/>
    <w:rsid w:val="00B542B2"/>
    <w:rsid w:val="00B6118E"/>
    <w:rsid w:val="00B745A9"/>
    <w:rsid w:val="00B75013"/>
    <w:rsid w:val="00B82492"/>
    <w:rsid w:val="00BA0FED"/>
    <w:rsid w:val="00BB0255"/>
    <w:rsid w:val="00BB0C50"/>
    <w:rsid w:val="00BB47F5"/>
    <w:rsid w:val="00BB65EE"/>
    <w:rsid w:val="00BC00E9"/>
    <w:rsid w:val="00BC3CAC"/>
    <w:rsid w:val="00BC6C45"/>
    <w:rsid w:val="00BD0A45"/>
    <w:rsid w:val="00BD237F"/>
    <w:rsid w:val="00BD4701"/>
    <w:rsid w:val="00BD6281"/>
    <w:rsid w:val="00BE0BE9"/>
    <w:rsid w:val="00BE2EFD"/>
    <w:rsid w:val="00C01CAE"/>
    <w:rsid w:val="00C06409"/>
    <w:rsid w:val="00C07B83"/>
    <w:rsid w:val="00C14B32"/>
    <w:rsid w:val="00C22090"/>
    <w:rsid w:val="00C257D6"/>
    <w:rsid w:val="00C300AE"/>
    <w:rsid w:val="00C30FB9"/>
    <w:rsid w:val="00C34211"/>
    <w:rsid w:val="00C368A4"/>
    <w:rsid w:val="00C408DE"/>
    <w:rsid w:val="00C44CF7"/>
    <w:rsid w:val="00C4790B"/>
    <w:rsid w:val="00C51384"/>
    <w:rsid w:val="00C51745"/>
    <w:rsid w:val="00C63328"/>
    <w:rsid w:val="00C67E20"/>
    <w:rsid w:val="00C70976"/>
    <w:rsid w:val="00C769A1"/>
    <w:rsid w:val="00C87A73"/>
    <w:rsid w:val="00C923FC"/>
    <w:rsid w:val="00C941BD"/>
    <w:rsid w:val="00CC2E61"/>
    <w:rsid w:val="00CD1EC2"/>
    <w:rsid w:val="00CD22FC"/>
    <w:rsid w:val="00CE135D"/>
    <w:rsid w:val="00CF035F"/>
    <w:rsid w:val="00CF131E"/>
    <w:rsid w:val="00CF1408"/>
    <w:rsid w:val="00D05E11"/>
    <w:rsid w:val="00D06B7B"/>
    <w:rsid w:val="00D115B1"/>
    <w:rsid w:val="00D12DF0"/>
    <w:rsid w:val="00D13777"/>
    <w:rsid w:val="00D15204"/>
    <w:rsid w:val="00D16D33"/>
    <w:rsid w:val="00D2202F"/>
    <w:rsid w:val="00D33058"/>
    <w:rsid w:val="00D348F5"/>
    <w:rsid w:val="00D36766"/>
    <w:rsid w:val="00D36B2F"/>
    <w:rsid w:val="00D42773"/>
    <w:rsid w:val="00D64E65"/>
    <w:rsid w:val="00D66C7E"/>
    <w:rsid w:val="00D677C2"/>
    <w:rsid w:val="00D711AE"/>
    <w:rsid w:val="00D73EAA"/>
    <w:rsid w:val="00D83DC8"/>
    <w:rsid w:val="00D87414"/>
    <w:rsid w:val="00D877EF"/>
    <w:rsid w:val="00D93896"/>
    <w:rsid w:val="00D96E9D"/>
    <w:rsid w:val="00DA1EE8"/>
    <w:rsid w:val="00DA6D80"/>
    <w:rsid w:val="00DB3AC2"/>
    <w:rsid w:val="00DD323D"/>
    <w:rsid w:val="00DD4173"/>
    <w:rsid w:val="00DE4CEA"/>
    <w:rsid w:val="00E04E8E"/>
    <w:rsid w:val="00E22765"/>
    <w:rsid w:val="00E22E54"/>
    <w:rsid w:val="00E304FD"/>
    <w:rsid w:val="00E32DB9"/>
    <w:rsid w:val="00E365C3"/>
    <w:rsid w:val="00E36616"/>
    <w:rsid w:val="00E366A7"/>
    <w:rsid w:val="00E42787"/>
    <w:rsid w:val="00E4292E"/>
    <w:rsid w:val="00E472C6"/>
    <w:rsid w:val="00E565F8"/>
    <w:rsid w:val="00E83155"/>
    <w:rsid w:val="00E960BE"/>
    <w:rsid w:val="00E97641"/>
    <w:rsid w:val="00EA511E"/>
    <w:rsid w:val="00EA56F6"/>
    <w:rsid w:val="00EC622A"/>
    <w:rsid w:val="00EC649B"/>
    <w:rsid w:val="00EC75E7"/>
    <w:rsid w:val="00ED342B"/>
    <w:rsid w:val="00ED41AC"/>
    <w:rsid w:val="00ED6D3A"/>
    <w:rsid w:val="00EF2B03"/>
    <w:rsid w:val="00EF4C12"/>
    <w:rsid w:val="00EF7B70"/>
    <w:rsid w:val="00F02291"/>
    <w:rsid w:val="00F04A62"/>
    <w:rsid w:val="00F12D81"/>
    <w:rsid w:val="00F146A4"/>
    <w:rsid w:val="00F26010"/>
    <w:rsid w:val="00F30111"/>
    <w:rsid w:val="00F41375"/>
    <w:rsid w:val="00F478AE"/>
    <w:rsid w:val="00F5564D"/>
    <w:rsid w:val="00F56BC9"/>
    <w:rsid w:val="00F63724"/>
    <w:rsid w:val="00F72FAC"/>
    <w:rsid w:val="00F83D67"/>
    <w:rsid w:val="00F90ECA"/>
    <w:rsid w:val="00F9391E"/>
    <w:rsid w:val="00F95876"/>
    <w:rsid w:val="00FA0009"/>
    <w:rsid w:val="00FA3F4F"/>
    <w:rsid w:val="00FB04DB"/>
    <w:rsid w:val="00FB1FA8"/>
    <w:rsid w:val="00FB4F8F"/>
    <w:rsid w:val="00FC182B"/>
    <w:rsid w:val="00FF79AE"/>
    <w:rsid w:val="04A24C86"/>
    <w:rsid w:val="0731DFDA"/>
    <w:rsid w:val="13248D75"/>
    <w:rsid w:val="134DA3B1"/>
    <w:rsid w:val="138C17A8"/>
    <w:rsid w:val="15BE1B23"/>
    <w:rsid w:val="1C024C6A"/>
    <w:rsid w:val="21984D1F"/>
    <w:rsid w:val="28903D4B"/>
    <w:rsid w:val="35EEA6C6"/>
    <w:rsid w:val="3D9B6E9F"/>
    <w:rsid w:val="43805D9E"/>
    <w:rsid w:val="489E37D0"/>
    <w:rsid w:val="4BC500CA"/>
    <w:rsid w:val="66958F9A"/>
    <w:rsid w:val="6982D0D0"/>
    <w:rsid w:val="69F18382"/>
    <w:rsid w:val="6F2E2979"/>
    <w:rsid w:val="6FD1DFF5"/>
    <w:rsid w:val="76412179"/>
    <w:rsid w:val="7FCED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t-unc.co.uk/igt159-amendments-to-the-must-read-proces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ie.rogers@xoser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rlagh.chapman@centrica.com" TargetMode="External"/><Relationship Id="rId5" Type="http://schemas.openxmlformats.org/officeDocument/2006/relationships/numbering" Target="numbering.xml"/><Relationship Id="rId15" Type="http://schemas.openxmlformats.org/officeDocument/2006/relationships/hyperlink" Target="https://www.igt-unc.co.uk/wp-content/uploads/2022/07/ROM-Request-IGT-Modification-159-V1.0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t-unc.co.uk/igt159-amendments-to-the-must-read-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ce3f2443-60c5-41b8-8cf8-145a037c8298"/>
    <ds:schemaRef ds:uri="60b31f1e-c7e1-4e65-8724-e896d31e214b"/>
    <ds:schemaRef ds:uri="http://purl.org/dc/dcmitype/"/>
    <ds:schemaRef ds:uri="http://purl.org/dc/elements/1.1/"/>
    <ds:schemaRef ds:uri="c78a4dae-5fc0-4ed3-ad80-da51122ab114"/>
    <ds:schemaRef ds:uri="5844fa40-a696-4ac9-bd38-c0330d295109"/>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4FFA305A-04A3-4C5B-BC73-D9758A84D48D}"/>
</file>

<file path=customXml/itemProps4.xml><?xml version="1.0" encoding="utf-8"?>
<ds:datastoreItem xmlns:ds="http://schemas.openxmlformats.org/officeDocument/2006/customXml" ds:itemID="{DEAD47CC-F863-451F-ADAE-9AEEA9BD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3</cp:revision>
  <cp:lastPrinted>2019-02-07T14:31:00Z</cp:lastPrinted>
  <dcterms:created xsi:type="dcterms:W3CDTF">2022-12-20T09:15:00Z</dcterms:created>
  <dcterms:modified xsi:type="dcterms:W3CDTF">2022-12-22T16:15:00Z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