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7E0CA" w14:textId="4F939ECE" w:rsidR="00D41A86" w:rsidRDefault="00D41A86" w:rsidP="00D41A86">
      <w:pPr>
        <w:pStyle w:val="Title"/>
      </w:pPr>
      <w:r>
        <w:t>Change Pack</w:t>
      </w:r>
      <w:r w:rsidR="00D70BA2">
        <w:t xml:space="preserve"> for Representation </w:t>
      </w:r>
    </w:p>
    <w:p w14:paraId="6C57727C" w14:textId="77777777" w:rsidR="005900D6" w:rsidRDefault="005900D6" w:rsidP="005900D6">
      <w:pPr>
        <w:pStyle w:val="Heading1"/>
      </w:pPr>
      <w:r>
        <w:t>Communication Detail</w:t>
      </w:r>
    </w:p>
    <w:tbl>
      <w:tblPr>
        <w:tblStyle w:val="TableGrid"/>
        <w:tblW w:w="5018" w:type="pct"/>
        <w:tblInd w:w="-34" w:type="dxa"/>
        <w:tblLayout w:type="fixed"/>
        <w:tblLook w:val="04A0" w:firstRow="1" w:lastRow="0" w:firstColumn="1" w:lastColumn="0" w:noHBand="0" w:noVBand="1"/>
      </w:tblPr>
      <w:tblGrid>
        <w:gridCol w:w="2567"/>
        <w:gridCol w:w="7927"/>
      </w:tblGrid>
      <w:tr w:rsidR="005900D6" w:rsidRPr="00BC3CAC" w14:paraId="0047C3ED" w14:textId="77777777" w:rsidTr="6A7EBE99">
        <w:trPr>
          <w:trHeight w:val="403"/>
        </w:trPr>
        <w:tc>
          <w:tcPr>
            <w:tcW w:w="1223" w:type="pct"/>
            <w:shd w:val="clear" w:color="auto" w:fill="B2ECFB" w:themeFill="accent5" w:themeFillTint="66"/>
            <w:vAlign w:val="center"/>
          </w:tcPr>
          <w:p w14:paraId="71CFF9C7" w14:textId="77777777" w:rsidR="005900D6" w:rsidRPr="00470388" w:rsidRDefault="005900D6" w:rsidP="00090E99">
            <w:pPr>
              <w:jc w:val="right"/>
              <w:rPr>
                <w:rFonts w:cs="Arial"/>
                <w:szCs w:val="20"/>
              </w:rPr>
            </w:pPr>
            <w:r w:rsidRPr="00A948A8">
              <w:t>Comm Reference:</w:t>
            </w:r>
          </w:p>
        </w:tc>
        <w:tc>
          <w:tcPr>
            <w:tcW w:w="3777" w:type="pct"/>
            <w:vAlign w:val="center"/>
          </w:tcPr>
          <w:p w14:paraId="52AE3583" w14:textId="411B1933" w:rsidR="005900D6" w:rsidRPr="00BC3CAC" w:rsidRDefault="1AC19A7E" w:rsidP="6A7EBE99">
            <w:pPr>
              <w:rPr>
                <w:rFonts w:eastAsia="Arial" w:cs="Arial"/>
              </w:rPr>
            </w:pPr>
            <w:r w:rsidRPr="6A7EBE99">
              <w:rPr>
                <w:rFonts w:ascii="Tahoma" w:eastAsia="Tahoma" w:hAnsi="Tahoma" w:cs="Tahoma"/>
                <w:color w:val="000000" w:themeColor="text1"/>
                <w:sz w:val="24"/>
                <w:szCs w:val="24"/>
              </w:rPr>
              <w:t>3110 - VO - PO</w:t>
            </w:r>
          </w:p>
        </w:tc>
      </w:tr>
      <w:tr w:rsidR="005900D6" w:rsidRPr="00BC3CAC" w14:paraId="23433C6A" w14:textId="77777777" w:rsidTr="6A7EBE99">
        <w:trPr>
          <w:trHeight w:val="403"/>
        </w:trPr>
        <w:tc>
          <w:tcPr>
            <w:tcW w:w="1223" w:type="pct"/>
            <w:shd w:val="clear" w:color="auto" w:fill="B2ECFB" w:themeFill="accent5" w:themeFillTint="66"/>
            <w:vAlign w:val="center"/>
          </w:tcPr>
          <w:p w14:paraId="5C340CB3" w14:textId="77777777" w:rsidR="005900D6" w:rsidRPr="00470388" w:rsidRDefault="005900D6" w:rsidP="00090E99">
            <w:pPr>
              <w:jc w:val="right"/>
              <w:rPr>
                <w:rFonts w:cs="Arial"/>
                <w:szCs w:val="20"/>
              </w:rPr>
            </w:pPr>
            <w:r w:rsidRPr="00A948A8">
              <w:t>Comm Title:</w:t>
            </w:r>
          </w:p>
        </w:tc>
        <w:tc>
          <w:tcPr>
            <w:tcW w:w="3777" w:type="pct"/>
            <w:vAlign w:val="center"/>
          </w:tcPr>
          <w:p w14:paraId="53D8124F" w14:textId="2E767CDE" w:rsidR="005900D6" w:rsidRPr="00BC3CAC" w:rsidRDefault="00E94C77" w:rsidP="00090E99">
            <w:pPr>
              <w:rPr>
                <w:rFonts w:cs="Arial"/>
                <w:szCs w:val="20"/>
              </w:rPr>
            </w:pPr>
            <w:r>
              <w:rPr>
                <w:rFonts w:cs="Arial"/>
                <w:szCs w:val="20"/>
              </w:rPr>
              <w:t xml:space="preserve">Amendments to </w:t>
            </w:r>
            <w:r w:rsidR="00725F39">
              <w:rPr>
                <w:rFonts w:cs="Arial"/>
                <w:szCs w:val="20"/>
              </w:rPr>
              <w:t xml:space="preserve">the CDSP </w:t>
            </w:r>
            <w:r w:rsidR="007312D5">
              <w:rPr>
                <w:rFonts w:cs="Arial"/>
                <w:szCs w:val="20"/>
              </w:rPr>
              <w:t>Service Document</w:t>
            </w:r>
            <w:r w:rsidR="00C5604B">
              <w:rPr>
                <w:rFonts w:cs="Arial"/>
                <w:szCs w:val="20"/>
              </w:rPr>
              <w:t xml:space="preserve"> </w:t>
            </w:r>
            <w:r w:rsidR="0046338A">
              <w:rPr>
                <w:rFonts w:cs="Arial"/>
                <w:szCs w:val="20"/>
              </w:rPr>
              <w:t>Budget and Charging Methodology v5</w:t>
            </w:r>
            <w:r w:rsidR="005402EC">
              <w:rPr>
                <w:rFonts w:cs="Arial"/>
                <w:szCs w:val="20"/>
              </w:rPr>
              <w:t xml:space="preserve"> and CDSP Service Document – CDSP Service Description. </w:t>
            </w:r>
          </w:p>
        </w:tc>
      </w:tr>
      <w:tr w:rsidR="005900D6" w:rsidRPr="00BC3CAC" w14:paraId="166B055E" w14:textId="77777777" w:rsidTr="6A7EBE99">
        <w:trPr>
          <w:trHeight w:val="403"/>
        </w:trPr>
        <w:tc>
          <w:tcPr>
            <w:tcW w:w="1223" w:type="pct"/>
            <w:shd w:val="clear" w:color="auto" w:fill="B2ECFB" w:themeFill="accent5" w:themeFillTint="66"/>
            <w:vAlign w:val="center"/>
          </w:tcPr>
          <w:p w14:paraId="65716E92" w14:textId="77777777" w:rsidR="005900D6" w:rsidRPr="00470388" w:rsidRDefault="005900D6" w:rsidP="00090E99">
            <w:pPr>
              <w:jc w:val="right"/>
              <w:rPr>
                <w:rFonts w:cs="Arial"/>
                <w:szCs w:val="20"/>
              </w:rPr>
            </w:pPr>
            <w:r w:rsidRPr="00A948A8">
              <w:t>Comm Date:</w:t>
            </w:r>
          </w:p>
        </w:tc>
        <w:sdt>
          <w:sdtPr>
            <w:rPr>
              <w:rFonts w:cs="Arial"/>
            </w:rPr>
            <w:id w:val="-1238475608"/>
            <w:date w:fullDate="2022-11-14T00:00:00Z">
              <w:dateFormat w:val="dd/MM/yyyy"/>
              <w:lid w:val="en-GB"/>
              <w:storeMappedDataAs w:val="dateTime"/>
              <w:calendar w:val="gregorian"/>
            </w:date>
          </w:sdtPr>
          <w:sdtEndPr/>
          <w:sdtContent>
            <w:tc>
              <w:tcPr>
                <w:tcW w:w="3777" w:type="pct"/>
                <w:vAlign w:val="center"/>
              </w:tcPr>
              <w:p w14:paraId="4BABBC7E" w14:textId="2A531B98" w:rsidR="005900D6" w:rsidRPr="00BC3CAC" w:rsidRDefault="004C44E8" w:rsidP="00090E99">
                <w:pPr>
                  <w:rPr>
                    <w:rFonts w:cs="Arial"/>
                    <w:szCs w:val="20"/>
                  </w:rPr>
                </w:pPr>
                <w:r>
                  <w:rPr>
                    <w:rFonts w:cs="Arial"/>
                  </w:rPr>
                  <w:t>14/11/2022</w:t>
                </w:r>
              </w:p>
            </w:tc>
          </w:sdtContent>
        </w:sdt>
      </w:tr>
    </w:tbl>
    <w:p w14:paraId="3E8F929B" w14:textId="24F82079" w:rsidR="005900D6" w:rsidRDefault="005900D6" w:rsidP="005900D6">
      <w:pPr>
        <w:spacing w:after="0"/>
        <w:rPr>
          <w:b/>
          <w:bCs/>
          <w:color w:val="3E5AA8"/>
          <w:sz w:val="28"/>
          <w:szCs w:val="28"/>
        </w:rPr>
      </w:pPr>
    </w:p>
    <w:p w14:paraId="237EE589" w14:textId="77777777" w:rsidR="005900D6" w:rsidRDefault="005900D6" w:rsidP="005900D6">
      <w:pPr>
        <w:spacing w:after="0"/>
        <w:rPr>
          <w:rFonts w:eastAsiaTheme="majorEastAsia" w:cstheme="majorBidi"/>
          <w:b/>
          <w:bCs/>
          <w:color w:val="3E5AA8"/>
          <w:sz w:val="28"/>
          <w:szCs w:val="28"/>
        </w:rPr>
      </w:pPr>
      <w:r w:rsidRPr="00310A64">
        <w:rPr>
          <w:rFonts w:eastAsiaTheme="majorEastAsia" w:cstheme="majorBid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567"/>
        <w:gridCol w:w="7927"/>
      </w:tblGrid>
      <w:tr w:rsidR="005900D6" w:rsidRPr="00BC3CAC" w14:paraId="2B8A97BE" w14:textId="77777777" w:rsidTr="00090E99">
        <w:trPr>
          <w:trHeight w:val="403"/>
        </w:trPr>
        <w:tc>
          <w:tcPr>
            <w:tcW w:w="1223" w:type="pct"/>
            <w:shd w:val="clear" w:color="auto" w:fill="B2ECFB" w:themeFill="accent5" w:themeFillTint="66"/>
            <w:vAlign w:val="center"/>
          </w:tcPr>
          <w:p w14:paraId="563881E6" w14:textId="77777777" w:rsidR="005900D6" w:rsidRPr="00470388" w:rsidRDefault="005900D6" w:rsidP="00090E99">
            <w:pPr>
              <w:jc w:val="right"/>
              <w:rPr>
                <w:rFonts w:cs="Arial"/>
                <w:szCs w:val="20"/>
              </w:rPr>
            </w:pPr>
            <w:r w:rsidRPr="00470388">
              <w:rPr>
                <w:rFonts w:cs="Arial"/>
                <w:szCs w:val="20"/>
              </w:rPr>
              <w:t>Action Required:</w:t>
            </w:r>
          </w:p>
        </w:tc>
        <w:tc>
          <w:tcPr>
            <w:tcW w:w="3777" w:type="pct"/>
            <w:vAlign w:val="center"/>
          </w:tcPr>
          <w:p w14:paraId="50DC392F" w14:textId="60815D0A" w:rsidR="005900D6" w:rsidRPr="00BC3CAC" w:rsidRDefault="00941832" w:rsidP="00090E99">
            <w:pPr>
              <w:rPr>
                <w:rFonts w:cs="Arial"/>
                <w:szCs w:val="20"/>
              </w:rPr>
            </w:pPr>
            <w:r>
              <w:rPr>
                <w:rFonts w:cs="Arial"/>
                <w:color w:val="808080" w:themeColor="background1" w:themeShade="80"/>
              </w:rPr>
              <w:t>For Representation</w:t>
            </w:r>
          </w:p>
        </w:tc>
      </w:tr>
      <w:tr w:rsidR="005900D6" w:rsidRPr="00BC3CAC" w14:paraId="6C59F74A" w14:textId="77777777" w:rsidTr="00090E99">
        <w:trPr>
          <w:trHeight w:val="403"/>
        </w:trPr>
        <w:tc>
          <w:tcPr>
            <w:tcW w:w="1223" w:type="pct"/>
            <w:shd w:val="clear" w:color="auto" w:fill="B2ECFB" w:themeFill="accent5" w:themeFillTint="66"/>
            <w:vAlign w:val="center"/>
          </w:tcPr>
          <w:p w14:paraId="7EEC1B6D" w14:textId="77777777" w:rsidR="005900D6" w:rsidRPr="00470388" w:rsidRDefault="005900D6" w:rsidP="00090E99">
            <w:pPr>
              <w:jc w:val="right"/>
              <w:rPr>
                <w:rFonts w:cs="Arial"/>
                <w:szCs w:val="20"/>
              </w:rPr>
            </w:pPr>
            <w:r w:rsidRPr="00470388">
              <w:rPr>
                <w:rFonts w:cs="Arial"/>
                <w:szCs w:val="20"/>
              </w:rPr>
              <w:t>Close Out Date:</w:t>
            </w:r>
          </w:p>
        </w:tc>
        <w:sdt>
          <w:sdtPr>
            <w:rPr>
              <w:rFonts w:cs="Arial"/>
            </w:rPr>
            <w:id w:val="2100211890"/>
            <w:date w:fullDate="2022-11-28T00:00:00Z">
              <w:dateFormat w:val="dd/MM/yyyy"/>
              <w:lid w:val="en-GB"/>
              <w:storeMappedDataAs w:val="dateTime"/>
              <w:calendar w:val="gregorian"/>
            </w:date>
          </w:sdtPr>
          <w:sdtEndPr/>
          <w:sdtContent>
            <w:tc>
              <w:tcPr>
                <w:tcW w:w="3777" w:type="pct"/>
                <w:vAlign w:val="center"/>
              </w:tcPr>
              <w:p w14:paraId="42E528C5" w14:textId="77E2B17C" w:rsidR="005900D6" w:rsidRPr="00BC3CAC" w:rsidRDefault="004C44E8" w:rsidP="00090E99">
                <w:pPr>
                  <w:rPr>
                    <w:rFonts w:cs="Arial"/>
                    <w:szCs w:val="20"/>
                  </w:rPr>
                </w:pPr>
                <w:r>
                  <w:rPr>
                    <w:rFonts w:cs="Arial"/>
                  </w:rPr>
                  <w:t>28/11/2022</w:t>
                </w:r>
              </w:p>
            </w:tc>
          </w:sdtContent>
        </w:sdt>
      </w:tr>
    </w:tbl>
    <w:p w14:paraId="5270B709" w14:textId="77777777" w:rsidR="005900D6" w:rsidRDefault="005900D6" w:rsidP="005900D6">
      <w:pPr>
        <w:pStyle w:val="Heading1"/>
      </w:pPr>
      <w:r>
        <w:t>Change Detail</w:t>
      </w:r>
    </w:p>
    <w:tbl>
      <w:tblPr>
        <w:tblStyle w:val="TableGrid"/>
        <w:tblW w:w="5018" w:type="pct"/>
        <w:tblInd w:w="-34" w:type="dxa"/>
        <w:tblLayout w:type="fixed"/>
        <w:tblLook w:val="04A0" w:firstRow="1" w:lastRow="0" w:firstColumn="1" w:lastColumn="0" w:noHBand="0" w:noVBand="1"/>
      </w:tblPr>
      <w:tblGrid>
        <w:gridCol w:w="2567"/>
        <w:gridCol w:w="7927"/>
      </w:tblGrid>
      <w:tr w:rsidR="005900D6" w:rsidRPr="00BC3CAC" w14:paraId="7C94409C" w14:textId="77777777" w:rsidTr="7EBB019C">
        <w:trPr>
          <w:trHeight w:val="403"/>
        </w:trPr>
        <w:tc>
          <w:tcPr>
            <w:tcW w:w="1223" w:type="pct"/>
            <w:shd w:val="clear" w:color="auto" w:fill="B2ECFB" w:themeFill="accent5" w:themeFillTint="66"/>
            <w:vAlign w:val="center"/>
          </w:tcPr>
          <w:p w14:paraId="492AB680" w14:textId="77777777" w:rsidR="005900D6" w:rsidRPr="00470388" w:rsidRDefault="005900D6" w:rsidP="00090E99">
            <w:pPr>
              <w:jc w:val="right"/>
              <w:rPr>
                <w:rFonts w:cs="Arial"/>
                <w:szCs w:val="20"/>
              </w:rPr>
            </w:pPr>
            <w:r w:rsidRPr="00470388">
              <w:rPr>
                <w:rFonts w:cs="Arial"/>
                <w:szCs w:val="20"/>
              </w:rPr>
              <w:t xml:space="preserve">Xoserve Reference Number: </w:t>
            </w:r>
          </w:p>
        </w:tc>
        <w:tc>
          <w:tcPr>
            <w:tcW w:w="3777" w:type="pct"/>
            <w:vAlign w:val="center"/>
          </w:tcPr>
          <w:p w14:paraId="06A82B5D" w14:textId="3726B2CC" w:rsidR="005900D6" w:rsidRPr="00BC3CAC" w:rsidRDefault="2BF657A8" w:rsidP="366A096B">
            <w:pPr>
              <w:rPr>
                <w:rFonts w:cs="Arial"/>
              </w:rPr>
            </w:pPr>
            <w:r w:rsidRPr="366A096B">
              <w:rPr>
                <w:rFonts w:cs="Arial"/>
              </w:rPr>
              <w:t>N/A</w:t>
            </w:r>
          </w:p>
        </w:tc>
      </w:tr>
      <w:tr w:rsidR="005900D6" w:rsidRPr="00BC3CAC" w14:paraId="1180FA73" w14:textId="77777777" w:rsidTr="7EBB019C">
        <w:trPr>
          <w:trHeight w:val="403"/>
        </w:trPr>
        <w:tc>
          <w:tcPr>
            <w:tcW w:w="1223" w:type="pct"/>
            <w:shd w:val="clear" w:color="auto" w:fill="B2ECFB" w:themeFill="accent5" w:themeFillTint="66"/>
            <w:vAlign w:val="center"/>
          </w:tcPr>
          <w:p w14:paraId="5E7F98DB" w14:textId="00C3AE01" w:rsidR="005900D6" w:rsidRPr="00470388" w:rsidRDefault="00BC511F" w:rsidP="00090E99">
            <w:pPr>
              <w:jc w:val="right"/>
              <w:rPr>
                <w:rFonts w:cs="Arial"/>
                <w:szCs w:val="20"/>
              </w:rPr>
            </w:pPr>
            <w:r>
              <w:rPr>
                <w:rFonts w:cs="Arial"/>
                <w:szCs w:val="20"/>
              </w:rPr>
              <w:t xml:space="preserve">* </w:t>
            </w:r>
            <w:r w:rsidR="005900D6" w:rsidRPr="00470388">
              <w:rPr>
                <w:rFonts w:cs="Arial"/>
                <w:szCs w:val="20"/>
              </w:rPr>
              <w:t>ChMC Constituency Impacted:</w:t>
            </w:r>
          </w:p>
        </w:tc>
        <w:tc>
          <w:tcPr>
            <w:tcW w:w="3777" w:type="pct"/>
            <w:vAlign w:val="center"/>
          </w:tcPr>
          <w:p w14:paraId="6017F0E2" w14:textId="35B6B01B" w:rsidR="005900D6" w:rsidRPr="00BC3CAC" w:rsidRDefault="00341365" w:rsidP="00090E99">
            <w:pPr>
              <w:rPr>
                <w:rFonts w:cs="Arial"/>
                <w:szCs w:val="20"/>
              </w:rPr>
            </w:pPr>
            <w:r>
              <w:rPr>
                <w:rFonts w:cs="Arial"/>
                <w:szCs w:val="20"/>
              </w:rPr>
              <w:t>All</w:t>
            </w:r>
            <w:r w:rsidR="00552C68">
              <w:rPr>
                <w:rFonts w:cs="Arial"/>
                <w:szCs w:val="20"/>
              </w:rPr>
              <w:t xml:space="preserve"> DSC Parties</w:t>
            </w:r>
          </w:p>
        </w:tc>
      </w:tr>
      <w:tr w:rsidR="005900D6" w:rsidRPr="00BC3CAC" w14:paraId="092A6D65" w14:textId="77777777" w:rsidTr="7EBB019C">
        <w:trPr>
          <w:trHeight w:val="403"/>
        </w:trPr>
        <w:tc>
          <w:tcPr>
            <w:tcW w:w="1223" w:type="pct"/>
            <w:shd w:val="clear" w:color="auto" w:fill="B2ECFB" w:themeFill="accent5" w:themeFillTint="66"/>
            <w:vAlign w:val="center"/>
          </w:tcPr>
          <w:p w14:paraId="1C14DA48" w14:textId="77777777" w:rsidR="005900D6" w:rsidRPr="00470388" w:rsidRDefault="005900D6" w:rsidP="00090E99">
            <w:pPr>
              <w:jc w:val="right"/>
              <w:rPr>
                <w:rFonts w:cs="Arial"/>
                <w:szCs w:val="20"/>
              </w:rPr>
            </w:pPr>
            <w:r w:rsidRPr="00470388">
              <w:rPr>
                <w:rFonts w:cs="Arial"/>
                <w:szCs w:val="20"/>
              </w:rPr>
              <w:t xml:space="preserve">Change Owner: </w:t>
            </w:r>
          </w:p>
        </w:tc>
        <w:tc>
          <w:tcPr>
            <w:tcW w:w="3777" w:type="pct"/>
            <w:vAlign w:val="center"/>
          </w:tcPr>
          <w:p w14:paraId="6706C117" w14:textId="65DC349D" w:rsidR="005900D6" w:rsidRPr="00BC3CAC" w:rsidRDefault="00195837" w:rsidP="00090E99">
            <w:pPr>
              <w:rPr>
                <w:rFonts w:cs="Arial"/>
                <w:szCs w:val="20"/>
              </w:rPr>
            </w:pPr>
            <w:r>
              <w:rPr>
                <w:rFonts w:cs="Arial"/>
                <w:szCs w:val="20"/>
              </w:rPr>
              <w:t>Angela Clarke</w:t>
            </w:r>
          </w:p>
        </w:tc>
      </w:tr>
      <w:tr w:rsidR="005900D6" w:rsidRPr="00BC3CAC" w14:paraId="6B17E4EE" w14:textId="77777777" w:rsidTr="7EBB019C">
        <w:trPr>
          <w:trHeight w:val="403"/>
        </w:trPr>
        <w:tc>
          <w:tcPr>
            <w:tcW w:w="1223" w:type="pct"/>
            <w:shd w:val="clear" w:color="auto" w:fill="B2ECFB" w:themeFill="accent5" w:themeFillTint="66"/>
            <w:vAlign w:val="center"/>
          </w:tcPr>
          <w:p w14:paraId="3BB36D98" w14:textId="77777777" w:rsidR="005900D6" w:rsidRPr="00470388" w:rsidRDefault="005900D6" w:rsidP="00090E99">
            <w:pPr>
              <w:jc w:val="right"/>
              <w:rPr>
                <w:rFonts w:cs="Arial"/>
                <w:szCs w:val="20"/>
              </w:rPr>
            </w:pPr>
            <w:r w:rsidRPr="00470388">
              <w:rPr>
                <w:rFonts w:cs="Arial"/>
                <w:szCs w:val="20"/>
              </w:rPr>
              <w:t>Background and Context:</w:t>
            </w:r>
          </w:p>
        </w:tc>
        <w:tc>
          <w:tcPr>
            <w:tcW w:w="3777" w:type="pct"/>
            <w:vAlign w:val="center"/>
          </w:tcPr>
          <w:p w14:paraId="5E554C13" w14:textId="4FBD2809" w:rsidR="005402EC" w:rsidRDefault="00E00D1E" w:rsidP="00A146AF">
            <w:pPr>
              <w:rPr>
                <w:rFonts w:cs="Arial"/>
              </w:rPr>
            </w:pPr>
            <w:r>
              <w:rPr>
                <w:rFonts w:cs="Arial"/>
              </w:rPr>
              <w:t xml:space="preserve">We are seeking views </w:t>
            </w:r>
            <w:r w:rsidR="00CE17C6">
              <w:rPr>
                <w:rFonts w:cs="Arial"/>
              </w:rPr>
              <w:t>on proposals</w:t>
            </w:r>
            <w:r w:rsidR="00A146AF">
              <w:rPr>
                <w:rFonts w:cs="Arial"/>
              </w:rPr>
              <w:t xml:space="preserve"> to amend</w:t>
            </w:r>
            <w:r w:rsidR="00FB2578">
              <w:rPr>
                <w:rFonts w:cs="Arial"/>
              </w:rPr>
              <w:t xml:space="preserve"> the following CDSP</w:t>
            </w:r>
            <w:r w:rsidR="00B10C8E">
              <w:rPr>
                <w:rFonts w:cs="Arial"/>
              </w:rPr>
              <w:t xml:space="preserve"> Documents</w:t>
            </w:r>
            <w:r w:rsidR="005402EC">
              <w:rPr>
                <w:rFonts w:cs="Arial"/>
              </w:rPr>
              <w:t xml:space="preserve">: </w:t>
            </w:r>
          </w:p>
          <w:p w14:paraId="034F15D6" w14:textId="77777777" w:rsidR="005402EC" w:rsidRDefault="005402EC" w:rsidP="00A146AF">
            <w:pPr>
              <w:rPr>
                <w:rFonts w:cs="Arial"/>
              </w:rPr>
            </w:pPr>
          </w:p>
          <w:p w14:paraId="17D28396" w14:textId="251F17A9" w:rsidR="005402EC" w:rsidRDefault="005402EC" w:rsidP="005402EC">
            <w:pPr>
              <w:pStyle w:val="ListParagraph"/>
              <w:numPr>
                <w:ilvl w:val="0"/>
                <w:numId w:val="2"/>
              </w:numPr>
              <w:rPr>
                <w:rFonts w:cs="Arial"/>
              </w:rPr>
            </w:pPr>
            <w:r>
              <w:rPr>
                <w:rFonts w:cs="Arial"/>
              </w:rPr>
              <w:t xml:space="preserve">V5.0 of the CDSP Service Description to introduce the concept of ‘Mandatory Specific Services’ to the definition of ‘Specific Services’ to provide for a mechanism to charge certain Customers or certain Customers of a Customers Class for services that are mandated to be </w:t>
            </w:r>
            <w:r w:rsidR="002077AF">
              <w:rPr>
                <w:rFonts w:cs="Arial"/>
              </w:rPr>
              <w:t>taken and paid for by that Customer under UNC</w:t>
            </w:r>
            <w:r>
              <w:rPr>
                <w:rFonts w:cs="Arial"/>
              </w:rPr>
              <w:t xml:space="preserve">; and </w:t>
            </w:r>
          </w:p>
          <w:p w14:paraId="28A6876F" w14:textId="77777777" w:rsidR="005402EC" w:rsidRPr="005402EC" w:rsidRDefault="005402EC" w:rsidP="005402EC">
            <w:pPr>
              <w:pStyle w:val="ListParagraph"/>
              <w:rPr>
                <w:rFonts w:cs="Arial"/>
              </w:rPr>
            </w:pPr>
          </w:p>
          <w:p w14:paraId="4554D0C3" w14:textId="77777777" w:rsidR="005402EC" w:rsidRDefault="00A146AF" w:rsidP="005402EC">
            <w:pPr>
              <w:pStyle w:val="ListParagraph"/>
              <w:numPr>
                <w:ilvl w:val="0"/>
                <w:numId w:val="2"/>
              </w:numPr>
              <w:rPr>
                <w:rFonts w:cs="Arial"/>
              </w:rPr>
            </w:pPr>
            <w:r w:rsidRPr="005402EC">
              <w:rPr>
                <w:rFonts w:cs="Arial"/>
              </w:rPr>
              <w:t xml:space="preserve"> </w:t>
            </w:r>
            <w:r w:rsidR="005402EC">
              <w:rPr>
                <w:rFonts w:cs="Arial"/>
              </w:rPr>
              <w:t>V</w:t>
            </w:r>
            <w:r w:rsidRPr="005402EC">
              <w:rPr>
                <w:rFonts w:cs="Arial"/>
              </w:rPr>
              <w:t xml:space="preserve">5 of the </w:t>
            </w:r>
            <w:r w:rsidR="005402EC">
              <w:rPr>
                <w:rFonts w:cs="Arial"/>
              </w:rPr>
              <w:t xml:space="preserve">CDSP </w:t>
            </w:r>
            <w:r w:rsidRPr="005402EC">
              <w:rPr>
                <w:rFonts w:cs="Arial"/>
              </w:rPr>
              <w:t>Budget &amp; Charging Methodology</w:t>
            </w:r>
            <w:r w:rsidR="0076385C" w:rsidRPr="005402EC">
              <w:rPr>
                <w:rFonts w:cs="Arial"/>
              </w:rPr>
              <w:t xml:space="preserve"> to</w:t>
            </w:r>
            <w:r w:rsidR="005402EC">
              <w:rPr>
                <w:rFonts w:cs="Arial"/>
              </w:rPr>
              <w:t>:</w:t>
            </w:r>
          </w:p>
          <w:p w14:paraId="6A2DC09D" w14:textId="7D0509C5" w:rsidR="005402EC" w:rsidRPr="005402EC" w:rsidRDefault="005402EC" w:rsidP="005402EC">
            <w:pPr>
              <w:rPr>
                <w:rFonts w:cs="Arial"/>
              </w:rPr>
            </w:pPr>
            <w:r w:rsidRPr="005402EC">
              <w:rPr>
                <w:rFonts w:cs="Arial"/>
              </w:rPr>
              <w:t xml:space="preserve"> </w:t>
            </w:r>
          </w:p>
          <w:p w14:paraId="4C200599" w14:textId="11CD2482" w:rsidR="005402EC" w:rsidRDefault="0076385C" w:rsidP="005402EC">
            <w:pPr>
              <w:pStyle w:val="ListParagraph"/>
              <w:numPr>
                <w:ilvl w:val="0"/>
                <w:numId w:val="3"/>
              </w:numPr>
              <w:rPr>
                <w:rFonts w:cs="Arial"/>
              </w:rPr>
            </w:pPr>
            <w:r w:rsidRPr="005402EC">
              <w:rPr>
                <w:rFonts w:cs="Arial"/>
              </w:rPr>
              <w:t xml:space="preserve">update it with </w:t>
            </w:r>
            <w:r w:rsidR="0073629A" w:rsidRPr="005402EC">
              <w:rPr>
                <w:rFonts w:cs="Arial"/>
              </w:rPr>
              <w:t>two</w:t>
            </w:r>
            <w:r w:rsidR="004448A1" w:rsidRPr="005402EC">
              <w:rPr>
                <w:rFonts w:cs="Arial"/>
              </w:rPr>
              <w:t xml:space="preserve"> </w:t>
            </w:r>
            <w:r w:rsidR="002D139C" w:rsidRPr="005402EC">
              <w:rPr>
                <w:rFonts w:cs="Arial"/>
              </w:rPr>
              <w:t xml:space="preserve">additional </w:t>
            </w:r>
            <w:r w:rsidR="0073629A" w:rsidRPr="005402EC">
              <w:rPr>
                <w:rFonts w:cs="Arial"/>
              </w:rPr>
              <w:t xml:space="preserve">Service </w:t>
            </w:r>
            <w:r w:rsidR="002D139C" w:rsidRPr="005402EC">
              <w:rPr>
                <w:rFonts w:cs="Arial"/>
              </w:rPr>
              <w:t>Areas</w:t>
            </w:r>
            <w:r w:rsidR="00715C6F" w:rsidRPr="005402EC">
              <w:rPr>
                <w:rFonts w:cs="Arial"/>
              </w:rPr>
              <w:t xml:space="preserve"> (</w:t>
            </w:r>
            <w:r w:rsidR="00751950" w:rsidRPr="005402EC">
              <w:rPr>
                <w:rFonts w:cs="Arial"/>
              </w:rPr>
              <w:t>detailed below)</w:t>
            </w:r>
            <w:r w:rsidR="00D83A82" w:rsidRPr="005402EC">
              <w:rPr>
                <w:rFonts w:cs="Arial"/>
              </w:rPr>
              <w:t xml:space="preserve"> </w:t>
            </w:r>
            <w:r w:rsidR="00631872" w:rsidRPr="005402EC">
              <w:rPr>
                <w:rFonts w:cs="Arial"/>
              </w:rPr>
              <w:t>to become effective from 1</w:t>
            </w:r>
            <w:r w:rsidR="00631872" w:rsidRPr="005402EC">
              <w:rPr>
                <w:rFonts w:cs="Arial"/>
                <w:vertAlign w:val="superscript"/>
              </w:rPr>
              <w:t>st</w:t>
            </w:r>
            <w:r w:rsidR="00631872" w:rsidRPr="005402EC">
              <w:rPr>
                <w:rFonts w:cs="Arial"/>
              </w:rPr>
              <w:t xml:space="preserve"> April 2023</w:t>
            </w:r>
            <w:r w:rsidR="005402EC" w:rsidRPr="005402EC">
              <w:rPr>
                <w:rFonts w:cs="Arial"/>
              </w:rPr>
              <w:t>;</w:t>
            </w:r>
            <w:r w:rsidR="005402EC">
              <w:rPr>
                <w:rFonts w:cs="Arial"/>
              </w:rPr>
              <w:t xml:space="preserve"> and </w:t>
            </w:r>
          </w:p>
          <w:p w14:paraId="732C9E98" w14:textId="77777777" w:rsidR="005402EC" w:rsidRDefault="005402EC" w:rsidP="005402EC">
            <w:pPr>
              <w:pStyle w:val="ListParagraph"/>
              <w:ind w:left="1080"/>
              <w:rPr>
                <w:rFonts w:cs="Arial"/>
              </w:rPr>
            </w:pPr>
          </w:p>
          <w:p w14:paraId="610FF2FB" w14:textId="4E2AC6F5" w:rsidR="00DE1EE3" w:rsidRDefault="005402EC" w:rsidP="005402EC">
            <w:pPr>
              <w:pStyle w:val="ListParagraph"/>
              <w:rPr>
                <w:rFonts w:cs="Arial"/>
              </w:rPr>
            </w:pPr>
            <w:r w:rsidRPr="005402EC">
              <w:rPr>
                <w:rFonts w:cs="Arial"/>
              </w:rPr>
              <w:t>b) include ‘Mandatory Specific Services’ in any reference to ‘Specific Services’ to align with the proposed amendments made to CDSP Service Descriptio</w:t>
            </w:r>
            <w:r>
              <w:rPr>
                <w:rFonts w:cs="Arial"/>
              </w:rPr>
              <w:t xml:space="preserve">n V5.0. </w:t>
            </w:r>
          </w:p>
          <w:p w14:paraId="4E8D684B" w14:textId="31EBCA33" w:rsidR="008D1686" w:rsidRDefault="008D1686" w:rsidP="00A146AF">
            <w:pPr>
              <w:rPr>
                <w:rFonts w:cs="Arial"/>
              </w:rPr>
            </w:pPr>
          </w:p>
          <w:p w14:paraId="69C69E0B" w14:textId="03A9ED68" w:rsidR="0078416A" w:rsidRDefault="0078416A" w:rsidP="00A146AF">
            <w:pPr>
              <w:rPr>
                <w:rFonts w:cs="Arial"/>
              </w:rPr>
            </w:pPr>
          </w:p>
          <w:tbl>
            <w:tblPr>
              <w:tblStyle w:val="TableGrid"/>
              <w:tblW w:w="0" w:type="auto"/>
              <w:tblLayout w:type="fixed"/>
              <w:tblLook w:val="04A0" w:firstRow="1" w:lastRow="0" w:firstColumn="1" w:lastColumn="0" w:noHBand="0" w:noVBand="1"/>
            </w:tblPr>
            <w:tblGrid>
              <w:gridCol w:w="464"/>
              <w:gridCol w:w="2126"/>
              <w:gridCol w:w="851"/>
              <w:gridCol w:w="1275"/>
              <w:gridCol w:w="1276"/>
              <w:gridCol w:w="992"/>
              <w:gridCol w:w="717"/>
            </w:tblGrid>
            <w:tr w:rsidR="009608C5" w14:paraId="5C7E78A6" w14:textId="77777777" w:rsidTr="009608C5">
              <w:tc>
                <w:tcPr>
                  <w:tcW w:w="464" w:type="dxa"/>
                </w:tcPr>
                <w:p w14:paraId="40195BC0" w14:textId="0FA94F3E" w:rsidR="008D1686" w:rsidRPr="00552C68" w:rsidRDefault="008D1686" w:rsidP="00A146AF">
                  <w:pPr>
                    <w:rPr>
                      <w:rFonts w:cs="Arial"/>
                      <w:b/>
                      <w:bCs/>
                      <w:sz w:val="16"/>
                      <w:szCs w:val="16"/>
                    </w:rPr>
                  </w:pPr>
                  <w:r w:rsidRPr="00552C68">
                    <w:rPr>
                      <w:rFonts w:cs="Arial"/>
                      <w:b/>
                      <w:bCs/>
                      <w:sz w:val="16"/>
                      <w:szCs w:val="16"/>
                    </w:rPr>
                    <w:t>No</w:t>
                  </w:r>
                </w:p>
              </w:tc>
              <w:tc>
                <w:tcPr>
                  <w:tcW w:w="2126" w:type="dxa"/>
                </w:tcPr>
                <w:p w14:paraId="641BBEB4" w14:textId="46078187" w:rsidR="008D1686" w:rsidRPr="00552C68" w:rsidRDefault="006B2CF0" w:rsidP="00A146AF">
                  <w:pPr>
                    <w:rPr>
                      <w:rFonts w:cs="Arial"/>
                      <w:b/>
                      <w:bCs/>
                      <w:sz w:val="16"/>
                      <w:szCs w:val="16"/>
                    </w:rPr>
                  </w:pPr>
                  <w:r w:rsidRPr="00552C68">
                    <w:rPr>
                      <w:rFonts w:cs="Arial"/>
                      <w:b/>
                      <w:bCs/>
                      <w:sz w:val="16"/>
                      <w:szCs w:val="16"/>
                    </w:rPr>
                    <w:t>Service Area</w:t>
                  </w:r>
                </w:p>
              </w:tc>
              <w:tc>
                <w:tcPr>
                  <w:tcW w:w="851" w:type="dxa"/>
                </w:tcPr>
                <w:p w14:paraId="27E19916" w14:textId="3C782218" w:rsidR="008D1686" w:rsidRPr="00552C68" w:rsidRDefault="004B2AE0" w:rsidP="00A146AF">
                  <w:pPr>
                    <w:rPr>
                      <w:rFonts w:cs="Arial"/>
                      <w:b/>
                      <w:bCs/>
                      <w:sz w:val="16"/>
                      <w:szCs w:val="16"/>
                    </w:rPr>
                  </w:pPr>
                  <w:r w:rsidRPr="00552C68">
                    <w:rPr>
                      <w:rFonts w:cs="Arial"/>
                      <w:b/>
                      <w:bCs/>
                      <w:sz w:val="16"/>
                      <w:szCs w:val="16"/>
                    </w:rPr>
                    <w:t>Shipper Users</w:t>
                  </w:r>
                </w:p>
              </w:tc>
              <w:tc>
                <w:tcPr>
                  <w:tcW w:w="1275" w:type="dxa"/>
                </w:tcPr>
                <w:p w14:paraId="14BAADA6" w14:textId="3F2BA957" w:rsidR="008D1686" w:rsidRPr="00552C68" w:rsidRDefault="00B029EF" w:rsidP="00A146AF">
                  <w:pPr>
                    <w:rPr>
                      <w:rFonts w:cs="Arial"/>
                      <w:b/>
                      <w:bCs/>
                      <w:sz w:val="16"/>
                      <w:szCs w:val="16"/>
                    </w:rPr>
                  </w:pPr>
                  <w:r w:rsidRPr="00552C68">
                    <w:rPr>
                      <w:rFonts w:cs="Arial"/>
                      <w:b/>
                      <w:bCs/>
                      <w:sz w:val="16"/>
                      <w:szCs w:val="16"/>
                    </w:rPr>
                    <w:t xml:space="preserve">National </w:t>
                  </w:r>
                  <w:r w:rsidR="009608C5" w:rsidRPr="00552C68">
                    <w:rPr>
                      <w:rFonts w:cs="Arial"/>
                      <w:b/>
                      <w:bCs/>
                      <w:sz w:val="16"/>
                      <w:szCs w:val="16"/>
                    </w:rPr>
                    <w:t>Grid</w:t>
                  </w:r>
                  <w:r w:rsidRPr="00552C68">
                    <w:rPr>
                      <w:rFonts w:cs="Arial"/>
                      <w:b/>
                      <w:bCs/>
                      <w:sz w:val="16"/>
                      <w:szCs w:val="16"/>
                    </w:rPr>
                    <w:t xml:space="preserve"> NTS</w:t>
                  </w:r>
                </w:p>
              </w:tc>
              <w:tc>
                <w:tcPr>
                  <w:tcW w:w="1276" w:type="dxa"/>
                </w:tcPr>
                <w:p w14:paraId="72BC6E5E" w14:textId="77777777" w:rsidR="00FB4BB1" w:rsidRPr="00552C68" w:rsidRDefault="00FB4BB1" w:rsidP="00FB4BB1">
                  <w:pPr>
                    <w:rPr>
                      <w:rFonts w:ascii="Calibri" w:hAnsi="Calibri" w:cs="Calibri"/>
                      <w:b/>
                      <w:bCs/>
                      <w:color w:val="000000"/>
                      <w:sz w:val="16"/>
                      <w:szCs w:val="16"/>
                    </w:rPr>
                  </w:pPr>
                  <w:r w:rsidRPr="00552C68">
                    <w:rPr>
                      <w:rFonts w:ascii="Calibri" w:hAnsi="Calibri" w:cs="Calibri"/>
                      <w:b/>
                      <w:bCs/>
                      <w:color w:val="000000"/>
                      <w:sz w:val="16"/>
                      <w:szCs w:val="16"/>
                    </w:rPr>
                    <w:t xml:space="preserve">DN </w:t>
                  </w:r>
                  <w:r w:rsidRPr="00552C68">
                    <w:rPr>
                      <w:rFonts w:asciiTheme="majorHAnsi" w:hAnsiTheme="majorHAnsi" w:cstheme="majorHAnsi"/>
                      <w:b/>
                      <w:bCs/>
                      <w:color w:val="000000"/>
                      <w:sz w:val="16"/>
                      <w:szCs w:val="16"/>
                    </w:rPr>
                    <w:t>Operators</w:t>
                  </w:r>
                  <w:r w:rsidRPr="00552C68">
                    <w:rPr>
                      <w:rFonts w:ascii="Calibri" w:hAnsi="Calibri" w:cs="Calibri"/>
                      <w:b/>
                      <w:bCs/>
                      <w:color w:val="000000"/>
                      <w:sz w:val="16"/>
                      <w:szCs w:val="16"/>
                    </w:rPr>
                    <w:t xml:space="preserve"> and Independent GT's</w:t>
                  </w:r>
                </w:p>
                <w:p w14:paraId="58A465D0" w14:textId="77777777" w:rsidR="008D1686" w:rsidRPr="00552C68" w:rsidRDefault="008D1686" w:rsidP="00A146AF">
                  <w:pPr>
                    <w:rPr>
                      <w:rFonts w:cs="Arial"/>
                      <w:b/>
                      <w:bCs/>
                      <w:sz w:val="16"/>
                      <w:szCs w:val="16"/>
                    </w:rPr>
                  </w:pPr>
                </w:p>
              </w:tc>
              <w:tc>
                <w:tcPr>
                  <w:tcW w:w="992" w:type="dxa"/>
                </w:tcPr>
                <w:p w14:paraId="35E2B25B" w14:textId="610BC319" w:rsidR="008D1686" w:rsidRPr="00552C68" w:rsidRDefault="002E471B" w:rsidP="00A146AF">
                  <w:pPr>
                    <w:rPr>
                      <w:rFonts w:cs="Arial"/>
                      <w:b/>
                      <w:bCs/>
                      <w:sz w:val="16"/>
                      <w:szCs w:val="16"/>
                    </w:rPr>
                  </w:pPr>
                  <w:r w:rsidRPr="00552C68">
                    <w:rPr>
                      <w:rFonts w:cs="Arial"/>
                      <w:b/>
                      <w:bCs/>
                      <w:sz w:val="16"/>
                      <w:szCs w:val="16"/>
                    </w:rPr>
                    <w:t>DN Operators</w:t>
                  </w:r>
                </w:p>
              </w:tc>
              <w:tc>
                <w:tcPr>
                  <w:tcW w:w="717" w:type="dxa"/>
                </w:tcPr>
                <w:p w14:paraId="54E12613" w14:textId="0C83F299" w:rsidR="008D1686" w:rsidRPr="00552C68" w:rsidRDefault="00B2576F" w:rsidP="00A146AF">
                  <w:pPr>
                    <w:rPr>
                      <w:rFonts w:cs="Arial"/>
                      <w:b/>
                      <w:bCs/>
                      <w:sz w:val="16"/>
                      <w:szCs w:val="16"/>
                    </w:rPr>
                  </w:pPr>
                  <w:r w:rsidRPr="00552C68">
                    <w:rPr>
                      <w:rFonts w:cs="Arial"/>
                      <w:b/>
                      <w:bCs/>
                      <w:sz w:val="16"/>
                      <w:szCs w:val="16"/>
                    </w:rPr>
                    <w:t>IGT’s</w:t>
                  </w:r>
                </w:p>
              </w:tc>
            </w:tr>
            <w:tr w:rsidR="009608C5" w14:paraId="230F42AB" w14:textId="77777777" w:rsidTr="00064147">
              <w:trPr>
                <w:trHeight w:val="276"/>
              </w:trPr>
              <w:tc>
                <w:tcPr>
                  <w:tcW w:w="464" w:type="dxa"/>
                </w:tcPr>
                <w:p w14:paraId="7AE758A9" w14:textId="4A4543BA" w:rsidR="008D1686" w:rsidRPr="002E471B" w:rsidRDefault="008D1686" w:rsidP="00A146AF">
                  <w:pPr>
                    <w:rPr>
                      <w:rFonts w:cs="Arial"/>
                      <w:sz w:val="16"/>
                      <w:szCs w:val="16"/>
                    </w:rPr>
                  </w:pPr>
                  <w:r w:rsidRPr="002E471B">
                    <w:rPr>
                      <w:rFonts w:cs="Arial"/>
                      <w:sz w:val="16"/>
                      <w:szCs w:val="16"/>
                    </w:rPr>
                    <w:t>16</w:t>
                  </w:r>
                </w:p>
              </w:tc>
              <w:tc>
                <w:tcPr>
                  <w:tcW w:w="2126" w:type="dxa"/>
                </w:tcPr>
                <w:p w14:paraId="20CFCB52" w14:textId="4E7630E2" w:rsidR="008D1686" w:rsidRPr="002E471B" w:rsidRDefault="006B2CF0" w:rsidP="00A146AF">
                  <w:pPr>
                    <w:rPr>
                      <w:rFonts w:cs="Arial"/>
                      <w:sz w:val="16"/>
                      <w:szCs w:val="16"/>
                    </w:rPr>
                  </w:pPr>
                  <w:r w:rsidRPr="002E471B">
                    <w:rPr>
                      <w:rFonts w:cs="Arial"/>
                      <w:sz w:val="16"/>
                      <w:szCs w:val="16"/>
                    </w:rPr>
                    <w:t>Central Switching Services</w:t>
                  </w:r>
                  <w:r w:rsidR="00413988">
                    <w:rPr>
                      <w:rFonts w:cs="Arial"/>
                      <w:sz w:val="16"/>
                      <w:szCs w:val="16"/>
                    </w:rPr>
                    <w:t xml:space="preserve"> </w:t>
                  </w:r>
                  <w:r w:rsidR="002335F3">
                    <w:rPr>
                      <w:rFonts w:cs="Arial"/>
                      <w:sz w:val="16"/>
                      <w:szCs w:val="16"/>
                    </w:rPr>
                    <w:t xml:space="preserve">Consequential </w:t>
                  </w:r>
                </w:p>
              </w:tc>
              <w:tc>
                <w:tcPr>
                  <w:tcW w:w="851" w:type="dxa"/>
                </w:tcPr>
                <w:p w14:paraId="18413BDD" w14:textId="4C606BD7" w:rsidR="008D1686" w:rsidRPr="002E471B" w:rsidRDefault="000D6642" w:rsidP="00A146AF">
                  <w:pPr>
                    <w:rPr>
                      <w:rFonts w:cs="Arial"/>
                      <w:sz w:val="16"/>
                      <w:szCs w:val="16"/>
                    </w:rPr>
                  </w:pPr>
                  <w:r>
                    <w:rPr>
                      <w:rFonts w:cs="Arial"/>
                      <w:sz w:val="16"/>
                      <w:szCs w:val="16"/>
                    </w:rPr>
                    <w:t>100%</w:t>
                  </w:r>
                </w:p>
              </w:tc>
              <w:tc>
                <w:tcPr>
                  <w:tcW w:w="1275" w:type="dxa"/>
                </w:tcPr>
                <w:p w14:paraId="19A2597D" w14:textId="77777777" w:rsidR="008D1686" w:rsidRPr="002E471B" w:rsidRDefault="008D1686" w:rsidP="00A146AF">
                  <w:pPr>
                    <w:rPr>
                      <w:rFonts w:cs="Arial"/>
                      <w:sz w:val="16"/>
                      <w:szCs w:val="16"/>
                    </w:rPr>
                  </w:pPr>
                </w:p>
              </w:tc>
              <w:tc>
                <w:tcPr>
                  <w:tcW w:w="1276" w:type="dxa"/>
                </w:tcPr>
                <w:p w14:paraId="044FDFD7" w14:textId="77777777" w:rsidR="008D1686" w:rsidRPr="002E471B" w:rsidRDefault="008D1686" w:rsidP="00A146AF">
                  <w:pPr>
                    <w:rPr>
                      <w:rFonts w:cs="Arial"/>
                      <w:sz w:val="16"/>
                      <w:szCs w:val="16"/>
                    </w:rPr>
                  </w:pPr>
                </w:p>
              </w:tc>
              <w:tc>
                <w:tcPr>
                  <w:tcW w:w="992" w:type="dxa"/>
                </w:tcPr>
                <w:p w14:paraId="074ADCE7" w14:textId="77777777" w:rsidR="008D1686" w:rsidRPr="002E471B" w:rsidRDefault="008D1686" w:rsidP="00A146AF">
                  <w:pPr>
                    <w:rPr>
                      <w:rFonts w:cs="Arial"/>
                      <w:sz w:val="16"/>
                      <w:szCs w:val="16"/>
                    </w:rPr>
                  </w:pPr>
                </w:p>
              </w:tc>
              <w:tc>
                <w:tcPr>
                  <w:tcW w:w="717" w:type="dxa"/>
                </w:tcPr>
                <w:p w14:paraId="5E093A52" w14:textId="77777777" w:rsidR="008D1686" w:rsidRPr="002E471B" w:rsidRDefault="008D1686" w:rsidP="00A146AF">
                  <w:pPr>
                    <w:rPr>
                      <w:rFonts w:cs="Arial"/>
                      <w:sz w:val="16"/>
                      <w:szCs w:val="16"/>
                    </w:rPr>
                  </w:pPr>
                </w:p>
              </w:tc>
            </w:tr>
            <w:tr w:rsidR="009608C5" w14:paraId="09E3CB3D" w14:textId="77777777" w:rsidTr="009608C5">
              <w:tc>
                <w:tcPr>
                  <w:tcW w:w="464" w:type="dxa"/>
                </w:tcPr>
                <w:p w14:paraId="1B7D5CA9" w14:textId="76B1A13B" w:rsidR="006B2CF0" w:rsidRPr="002E471B" w:rsidRDefault="006B2CF0" w:rsidP="006B2CF0">
                  <w:pPr>
                    <w:rPr>
                      <w:rFonts w:cs="Arial"/>
                      <w:sz w:val="16"/>
                      <w:szCs w:val="16"/>
                    </w:rPr>
                  </w:pPr>
                  <w:r w:rsidRPr="002E471B">
                    <w:rPr>
                      <w:rFonts w:cs="Arial"/>
                      <w:sz w:val="16"/>
                      <w:szCs w:val="16"/>
                    </w:rPr>
                    <w:t>17</w:t>
                  </w:r>
                </w:p>
              </w:tc>
              <w:tc>
                <w:tcPr>
                  <w:tcW w:w="2126" w:type="dxa"/>
                </w:tcPr>
                <w:p w14:paraId="7633AD7B" w14:textId="29C3113F" w:rsidR="006B2CF0" w:rsidRPr="002E471B" w:rsidRDefault="006B2CF0" w:rsidP="006B2CF0">
                  <w:pPr>
                    <w:rPr>
                      <w:rFonts w:cs="Arial"/>
                      <w:sz w:val="16"/>
                      <w:szCs w:val="16"/>
                    </w:rPr>
                  </w:pPr>
                  <w:r w:rsidRPr="002E471B">
                    <w:rPr>
                      <w:rFonts w:cs="Arial"/>
                      <w:sz w:val="16"/>
                      <w:szCs w:val="16"/>
                    </w:rPr>
                    <w:t xml:space="preserve">Distribution Network </w:t>
                  </w:r>
                  <w:r w:rsidR="004A4E95">
                    <w:rPr>
                      <w:rFonts w:cs="Arial"/>
                      <w:sz w:val="16"/>
                      <w:szCs w:val="16"/>
                    </w:rPr>
                    <w:t>F</w:t>
                  </w:r>
                  <w:r w:rsidRPr="002E471B">
                    <w:rPr>
                      <w:rFonts w:cs="Arial"/>
                      <w:sz w:val="16"/>
                      <w:szCs w:val="16"/>
                    </w:rPr>
                    <w:t xml:space="preserve">unded </w:t>
                  </w:r>
                  <w:r w:rsidR="004A4E95">
                    <w:rPr>
                      <w:rFonts w:cs="Arial"/>
                      <w:sz w:val="16"/>
                      <w:szCs w:val="16"/>
                    </w:rPr>
                    <w:t>Service A</w:t>
                  </w:r>
                  <w:r w:rsidRPr="002E471B">
                    <w:rPr>
                      <w:rFonts w:cs="Arial"/>
                      <w:sz w:val="16"/>
                      <w:szCs w:val="16"/>
                    </w:rPr>
                    <w:t xml:space="preserve">ctivities </w:t>
                  </w:r>
                </w:p>
              </w:tc>
              <w:tc>
                <w:tcPr>
                  <w:tcW w:w="851" w:type="dxa"/>
                </w:tcPr>
                <w:p w14:paraId="33587E43" w14:textId="407C85B9" w:rsidR="006B2CF0" w:rsidRPr="002E471B" w:rsidRDefault="006B2CF0" w:rsidP="006B2CF0">
                  <w:pPr>
                    <w:rPr>
                      <w:rFonts w:cs="Arial"/>
                      <w:sz w:val="16"/>
                      <w:szCs w:val="16"/>
                    </w:rPr>
                  </w:pPr>
                </w:p>
              </w:tc>
              <w:tc>
                <w:tcPr>
                  <w:tcW w:w="1275" w:type="dxa"/>
                </w:tcPr>
                <w:p w14:paraId="64F09306" w14:textId="77777777" w:rsidR="006B2CF0" w:rsidRPr="002E471B" w:rsidRDefault="006B2CF0" w:rsidP="006B2CF0">
                  <w:pPr>
                    <w:rPr>
                      <w:rFonts w:cs="Arial"/>
                      <w:sz w:val="16"/>
                      <w:szCs w:val="16"/>
                    </w:rPr>
                  </w:pPr>
                </w:p>
              </w:tc>
              <w:tc>
                <w:tcPr>
                  <w:tcW w:w="1276" w:type="dxa"/>
                </w:tcPr>
                <w:p w14:paraId="7C454057" w14:textId="77777777" w:rsidR="006B2CF0" w:rsidRPr="002E471B" w:rsidRDefault="006B2CF0" w:rsidP="006B2CF0">
                  <w:pPr>
                    <w:rPr>
                      <w:rFonts w:cs="Arial"/>
                      <w:sz w:val="16"/>
                      <w:szCs w:val="16"/>
                    </w:rPr>
                  </w:pPr>
                </w:p>
              </w:tc>
              <w:tc>
                <w:tcPr>
                  <w:tcW w:w="992" w:type="dxa"/>
                </w:tcPr>
                <w:p w14:paraId="07C250C8" w14:textId="469010F2" w:rsidR="006B2CF0" w:rsidRPr="004F7498" w:rsidRDefault="004F7498" w:rsidP="006B2CF0">
                  <w:pPr>
                    <w:rPr>
                      <w:rFonts w:cs="Arial"/>
                      <w:color w:val="FF0000"/>
                      <w:sz w:val="16"/>
                      <w:szCs w:val="16"/>
                    </w:rPr>
                  </w:pPr>
                  <w:r w:rsidRPr="004A4E95">
                    <w:rPr>
                      <w:rFonts w:cs="Arial"/>
                      <w:sz w:val="16"/>
                      <w:szCs w:val="16"/>
                    </w:rPr>
                    <w:t>100%</w:t>
                  </w:r>
                </w:p>
              </w:tc>
              <w:tc>
                <w:tcPr>
                  <w:tcW w:w="717" w:type="dxa"/>
                </w:tcPr>
                <w:p w14:paraId="44A1AFD8" w14:textId="77777777" w:rsidR="006B2CF0" w:rsidRPr="002E471B" w:rsidRDefault="006B2CF0" w:rsidP="006B2CF0">
                  <w:pPr>
                    <w:rPr>
                      <w:rFonts w:cs="Arial"/>
                      <w:sz w:val="16"/>
                      <w:szCs w:val="16"/>
                    </w:rPr>
                  </w:pPr>
                </w:p>
              </w:tc>
            </w:tr>
          </w:tbl>
          <w:p w14:paraId="2905675B" w14:textId="77777777" w:rsidR="0078416A" w:rsidRDefault="0078416A" w:rsidP="00A146AF">
            <w:pPr>
              <w:rPr>
                <w:rFonts w:cs="Arial"/>
              </w:rPr>
            </w:pPr>
          </w:p>
          <w:p w14:paraId="032AB5A2" w14:textId="4D02D9CA" w:rsidR="00DE1EE3" w:rsidRDefault="00DE1EE3" w:rsidP="00A146AF">
            <w:pPr>
              <w:rPr>
                <w:rFonts w:cs="Arial"/>
              </w:rPr>
            </w:pPr>
          </w:p>
          <w:p w14:paraId="0169F7F9" w14:textId="3FEE3E51" w:rsidR="002C34FA" w:rsidRDefault="002C34FA" w:rsidP="00A146AF">
            <w:pPr>
              <w:rPr>
                <w:rFonts w:cs="Arial"/>
              </w:rPr>
            </w:pPr>
          </w:p>
          <w:p w14:paraId="31D97CE6" w14:textId="7F99445D" w:rsidR="002C34FA" w:rsidRDefault="002C34FA" w:rsidP="00A146AF">
            <w:pPr>
              <w:rPr>
                <w:rFonts w:cs="Arial"/>
              </w:rPr>
            </w:pPr>
          </w:p>
          <w:p w14:paraId="35E0A88F" w14:textId="77777777" w:rsidR="002C34FA" w:rsidRDefault="002C34FA" w:rsidP="00A146AF">
            <w:pPr>
              <w:rPr>
                <w:rFonts w:cs="Arial"/>
              </w:rPr>
            </w:pPr>
          </w:p>
          <w:p w14:paraId="0A6D2302" w14:textId="0CB06694" w:rsidR="00346832" w:rsidRPr="00346832" w:rsidRDefault="00346832" w:rsidP="00A146AF">
            <w:pPr>
              <w:rPr>
                <w:rFonts w:cs="Arial"/>
                <w:b/>
                <w:bCs/>
                <w:sz w:val="24"/>
                <w:szCs w:val="24"/>
              </w:rPr>
            </w:pPr>
            <w:r w:rsidRPr="00346832">
              <w:rPr>
                <w:rFonts w:cs="Arial"/>
                <w:b/>
                <w:bCs/>
                <w:sz w:val="24"/>
                <w:szCs w:val="24"/>
              </w:rPr>
              <w:lastRenderedPageBreak/>
              <w:t xml:space="preserve">Proposed New Service Areas </w:t>
            </w:r>
          </w:p>
          <w:p w14:paraId="665BFF59" w14:textId="77777777" w:rsidR="00346832" w:rsidRDefault="00346832" w:rsidP="00A146AF">
            <w:pPr>
              <w:rPr>
                <w:rFonts w:cs="Arial"/>
              </w:rPr>
            </w:pPr>
          </w:p>
          <w:p w14:paraId="01B0EF82" w14:textId="2B314F6D" w:rsidR="00DE1EE3" w:rsidRPr="00EB7F70" w:rsidRDefault="0027495B" w:rsidP="00A146AF">
            <w:pPr>
              <w:rPr>
                <w:rFonts w:cs="Arial"/>
                <w:u w:val="single"/>
              </w:rPr>
            </w:pPr>
            <w:r w:rsidRPr="00EB7F70">
              <w:rPr>
                <w:rFonts w:cs="Arial"/>
                <w:u w:val="single"/>
              </w:rPr>
              <w:t xml:space="preserve">Service Area 16 – Central Switching Services </w:t>
            </w:r>
            <w:r w:rsidR="002335F3">
              <w:rPr>
                <w:rFonts w:cs="Arial"/>
                <w:u w:val="single"/>
              </w:rPr>
              <w:t xml:space="preserve">Consequential </w:t>
            </w:r>
          </w:p>
          <w:p w14:paraId="149CE799" w14:textId="0EEA1C46" w:rsidR="00391CC9" w:rsidRDefault="00391CC9" w:rsidP="00A146AF">
            <w:pPr>
              <w:rPr>
                <w:rFonts w:cs="Arial"/>
                <w:b/>
                <w:bCs/>
              </w:rPr>
            </w:pPr>
          </w:p>
          <w:p w14:paraId="464B5BC8" w14:textId="31593F76" w:rsidR="009725EB" w:rsidRDefault="009725EB" w:rsidP="00A146AF">
            <w:r>
              <w:t>In June</w:t>
            </w:r>
            <w:r w:rsidR="00751950">
              <w:t xml:space="preserve"> 2022 </w:t>
            </w:r>
            <w:r>
              <w:t xml:space="preserve"> </w:t>
            </w:r>
            <w:r w:rsidR="008A0A2A">
              <w:t>C</w:t>
            </w:r>
            <w:r>
              <w:t xml:space="preserve">oMC approved the introduction </w:t>
            </w:r>
            <w:r w:rsidR="0034126A">
              <w:t xml:space="preserve">of </w:t>
            </w:r>
            <w:r w:rsidR="00DE3C2A">
              <w:t xml:space="preserve">27 </w:t>
            </w:r>
            <w:r>
              <w:t>new service lines to supp</w:t>
            </w:r>
            <w:r w:rsidR="004C0A2A">
              <w:t xml:space="preserve">ort the </w:t>
            </w:r>
            <w:r>
              <w:t>UNC Faster Switching Significant Code Review</w:t>
            </w:r>
            <w:r w:rsidR="0011172A">
              <w:t xml:space="preserve"> (</w:t>
            </w:r>
            <w:hyperlink r:id="rId10" w:history="1">
              <w:r w:rsidR="0011172A" w:rsidRPr="00AC01B4">
                <w:rPr>
                  <w:rStyle w:val="Hyperlink"/>
                </w:rPr>
                <w:t>XRN 5505</w:t>
              </w:r>
            </w:hyperlink>
            <w:r w:rsidR="004F04C3">
              <w:t>)</w:t>
            </w:r>
            <w:r w:rsidR="00AF112B">
              <w:t xml:space="preserve"> and </w:t>
            </w:r>
            <w:r w:rsidR="008A0A2A">
              <w:t xml:space="preserve">to outline the touchpoints </w:t>
            </w:r>
            <w:r w:rsidR="00AF112B">
              <w:t>with C</w:t>
            </w:r>
            <w:r w:rsidR="004A4E95">
              <w:t xml:space="preserve">entral </w:t>
            </w:r>
            <w:r w:rsidR="00AF112B">
              <w:t>S</w:t>
            </w:r>
            <w:r w:rsidR="004A4E95">
              <w:t>witching Service (CSS)</w:t>
            </w:r>
            <w:r w:rsidR="00AF112B">
              <w:t xml:space="preserve">. </w:t>
            </w:r>
          </w:p>
          <w:p w14:paraId="628A486B" w14:textId="74DCAF32" w:rsidR="002C2B1F" w:rsidRDefault="002C2B1F" w:rsidP="00A146AF"/>
          <w:p w14:paraId="6BC75B78" w14:textId="31FCEFF9" w:rsidR="002C2B1F" w:rsidRDefault="002C2B1F" w:rsidP="00A146AF">
            <w:r>
              <w:t>The lines were</w:t>
            </w:r>
            <w:r w:rsidR="007C00EB">
              <w:t xml:space="preserve"> originally </w:t>
            </w:r>
            <w:r>
              <w:t xml:space="preserve">allocated </w:t>
            </w:r>
            <w:r w:rsidR="00073B2E">
              <w:t xml:space="preserve">to Service Area </w:t>
            </w:r>
            <w:r w:rsidR="0061350F">
              <w:t xml:space="preserve">1 – Manage </w:t>
            </w:r>
            <w:r w:rsidR="004A4E95">
              <w:t>S</w:t>
            </w:r>
            <w:r w:rsidR="0061350F">
              <w:t xml:space="preserve">hippers Transfers which is </w:t>
            </w:r>
            <w:r w:rsidR="000B084D">
              <w:t>100% Shipper Funded</w:t>
            </w:r>
            <w:r w:rsidR="00B04170">
              <w:t xml:space="preserve"> and </w:t>
            </w:r>
            <w:r w:rsidR="007C00EB">
              <w:t xml:space="preserve">the proposal is to </w:t>
            </w:r>
            <w:r w:rsidR="00BC69DA">
              <w:t>transfer</w:t>
            </w:r>
            <w:r w:rsidR="007C00EB">
              <w:t xml:space="preserve"> </w:t>
            </w:r>
            <w:r w:rsidR="004A4E95">
              <w:t xml:space="preserve">relevant Service Lines </w:t>
            </w:r>
            <w:r w:rsidR="007C00EB">
              <w:t xml:space="preserve">that relate to CSS into its own discrete Service </w:t>
            </w:r>
            <w:r w:rsidR="00B53E7B">
              <w:t>A</w:t>
            </w:r>
            <w:r w:rsidR="007C00EB">
              <w:t>rea</w:t>
            </w:r>
            <w:r w:rsidR="004A4E95">
              <w:t>,</w:t>
            </w:r>
            <w:r w:rsidR="007C00EB">
              <w:t xml:space="preserve"> so they are easier to locate</w:t>
            </w:r>
            <w:r w:rsidR="00654734">
              <w:t xml:space="preserve"> and are ring fenced from the other </w:t>
            </w:r>
            <w:r w:rsidR="004A4E95">
              <w:t>S</w:t>
            </w:r>
            <w:r w:rsidR="00B53E7B">
              <w:t xml:space="preserve">ervice </w:t>
            </w:r>
            <w:r w:rsidR="004A4E95">
              <w:t>Li</w:t>
            </w:r>
            <w:r w:rsidR="00B53E7B">
              <w:t xml:space="preserve">nes </w:t>
            </w:r>
            <w:r w:rsidR="004A4E95">
              <w:t xml:space="preserve">that are delivered by the CDSP </w:t>
            </w:r>
            <w:r w:rsidR="00255B3D">
              <w:t>for ease of reference</w:t>
            </w:r>
            <w:r w:rsidR="0007049E">
              <w:t>. The</w:t>
            </w:r>
            <w:r w:rsidR="004A4E95">
              <w:t xml:space="preserve"> related Service Lines w</w:t>
            </w:r>
            <w:r w:rsidR="0007049E">
              <w:t xml:space="preserve">ill continue to be measured in the same way and </w:t>
            </w:r>
            <w:r w:rsidR="00563B7C">
              <w:t xml:space="preserve">will </w:t>
            </w:r>
            <w:r w:rsidR="00BD2DCE">
              <w:t xml:space="preserve">still </w:t>
            </w:r>
            <w:r w:rsidR="00BC69DA">
              <w:t xml:space="preserve">remain </w:t>
            </w:r>
            <w:r w:rsidR="004A4E95">
              <w:t xml:space="preserve">funded as per the current funding arrangement, with this </w:t>
            </w:r>
            <w:r w:rsidR="00BC69DA">
              <w:t xml:space="preserve">being </w:t>
            </w:r>
            <w:r w:rsidR="00563B7C">
              <w:t>100% Shipper Funded</w:t>
            </w:r>
            <w:r w:rsidR="00346832">
              <w:t xml:space="preserve"> </w:t>
            </w:r>
          </w:p>
          <w:p w14:paraId="6AA926C8" w14:textId="7641BA7E" w:rsidR="00230656" w:rsidRDefault="00230656" w:rsidP="00A146AF">
            <w:pPr>
              <w:rPr>
                <w:rFonts w:cs="Arial"/>
                <w:b/>
                <w:bCs/>
              </w:rPr>
            </w:pPr>
          </w:p>
          <w:p w14:paraId="218B5716" w14:textId="77777777" w:rsidR="00C2795A" w:rsidRDefault="00C2795A" w:rsidP="00A146AF">
            <w:pPr>
              <w:rPr>
                <w:rFonts w:cs="Arial"/>
                <w:u w:val="single"/>
              </w:rPr>
            </w:pPr>
          </w:p>
          <w:p w14:paraId="529C6CEF" w14:textId="2E5FD1FC" w:rsidR="00230656" w:rsidRDefault="00EB7F70" w:rsidP="00A146AF">
            <w:pPr>
              <w:rPr>
                <w:rFonts w:cs="Arial"/>
                <w:u w:val="single"/>
              </w:rPr>
            </w:pPr>
            <w:r w:rsidRPr="00C2795A">
              <w:rPr>
                <w:rFonts w:cs="Arial"/>
                <w:u w:val="single"/>
              </w:rPr>
              <w:t>Service Area 17</w:t>
            </w:r>
            <w:r w:rsidRPr="00C2795A">
              <w:rPr>
                <w:rFonts w:cs="Arial"/>
                <w:b/>
                <w:bCs/>
                <w:u w:val="single"/>
              </w:rPr>
              <w:t xml:space="preserve"> - </w:t>
            </w:r>
            <w:r w:rsidR="00322652" w:rsidRPr="00C2795A">
              <w:rPr>
                <w:rFonts w:cs="Arial"/>
                <w:u w:val="single"/>
              </w:rPr>
              <w:t xml:space="preserve">Distribution Network </w:t>
            </w:r>
            <w:r w:rsidR="004A4E95">
              <w:rPr>
                <w:rFonts w:cs="Arial"/>
                <w:u w:val="single"/>
              </w:rPr>
              <w:t>Funded Service A</w:t>
            </w:r>
            <w:r w:rsidR="00322652" w:rsidRPr="00C2795A">
              <w:rPr>
                <w:rFonts w:cs="Arial"/>
                <w:u w:val="single"/>
              </w:rPr>
              <w:t>ctivities</w:t>
            </w:r>
          </w:p>
          <w:p w14:paraId="6F92D1F1" w14:textId="7EAEE14C" w:rsidR="00C2795A" w:rsidRDefault="00C2795A" w:rsidP="00A146AF">
            <w:pPr>
              <w:rPr>
                <w:rFonts w:cs="Arial"/>
              </w:rPr>
            </w:pPr>
          </w:p>
          <w:p w14:paraId="6203C9D5" w14:textId="2C237DEA" w:rsidR="00BD2DCE" w:rsidRDefault="00CE5DF0" w:rsidP="00BD2DCE">
            <w:pPr>
              <w:rPr>
                <w:rFonts w:cs="Arial"/>
              </w:rPr>
            </w:pPr>
            <w:r>
              <w:rPr>
                <w:rFonts w:cs="Arial"/>
              </w:rPr>
              <w:t xml:space="preserve">The Budget and Charging Methodology doesn’t currently have a Service Area that is 100% </w:t>
            </w:r>
            <w:r w:rsidR="00834023">
              <w:rPr>
                <w:rFonts w:cs="Arial"/>
              </w:rPr>
              <w:t xml:space="preserve">Distribution Network funded and this </w:t>
            </w:r>
            <w:r w:rsidR="002C76CF">
              <w:rPr>
                <w:rFonts w:cs="Arial"/>
              </w:rPr>
              <w:t xml:space="preserve">has been highlighted by the </w:t>
            </w:r>
            <w:r w:rsidR="00BD2DCE">
              <w:rPr>
                <w:rFonts w:cs="Arial"/>
              </w:rPr>
              <w:t>need to introduce a number of new service lines to the DSC SDT</w:t>
            </w:r>
            <w:r w:rsidR="004A4E95">
              <w:rPr>
                <w:rFonts w:cs="Arial"/>
              </w:rPr>
              <w:t xml:space="preserve">, most notably to </w:t>
            </w:r>
            <w:r w:rsidR="00BD2DCE">
              <w:rPr>
                <w:rFonts w:cs="Arial"/>
              </w:rPr>
              <w:t xml:space="preserve">support the </w:t>
            </w:r>
            <w:r w:rsidR="004A4E95">
              <w:rPr>
                <w:rFonts w:cs="Arial"/>
              </w:rPr>
              <w:t xml:space="preserve">ongoing service delivery of the </w:t>
            </w:r>
            <w:r w:rsidR="00BD2DCE">
              <w:rPr>
                <w:rFonts w:cs="Arial"/>
              </w:rPr>
              <w:t>F</w:t>
            </w:r>
            <w:r w:rsidR="004A4E95">
              <w:rPr>
                <w:rFonts w:cs="Arial"/>
              </w:rPr>
              <w:t>low Weighted Average Calorific Value (FWACV) Service – which was successfully implemented on 1</w:t>
            </w:r>
            <w:r w:rsidR="004A4E95" w:rsidRPr="004A4E95">
              <w:rPr>
                <w:rFonts w:cs="Arial"/>
                <w:vertAlign w:val="superscript"/>
              </w:rPr>
              <w:t>st</w:t>
            </w:r>
            <w:r w:rsidR="004A4E95">
              <w:rPr>
                <w:rFonts w:cs="Arial"/>
              </w:rPr>
              <w:t xml:space="preserve"> September 2022. </w:t>
            </w:r>
          </w:p>
          <w:p w14:paraId="180B3341" w14:textId="21EF5D7B" w:rsidR="00BF7D0F" w:rsidRDefault="00BF7D0F" w:rsidP="00BD2DCE">
            <w:pPr>
              <w:rPr>
                <w:rFonts w:cs="Arial"/>
              </w:rPr>
            </w:pPr>
          </w:p>
          <w:p w14:paraId="76E202AF" w14:textId="544ED893" w:rsidR="00BF7D0F" w:rsidRDefault="00ED1F04" w:rsidP="00BD2DCE">
            <w:pPr>
              <w:rPr>
                <w:rFonts w:cs="Arial"/>
              </w:rPr>
            </w:pPr>
            <w:r>
              <w:rPr>
                <w:rFonts w:cs="Arial"/>
              </w:rPr>
              <w:t xml:space="preserve">The requirement to introduce a </w:t>
            </w:r>
            <w:r w:rsidR="007937FA">
              <w:rPr>
                <w:rFonts w:cs="Arial"/>
              </w:rPr>
              <w:t>new 100%</w:t>
            </w:r>
            <w:r w:rsidR="00A55A01">
              <w:rPr>
                <w:rFonts w:cs="Arial"/>
              </w:rPr>
              <w:t xml:space="preserve"> funded </w:t>
            </w:r>
            <w:r w:rsidR="007937FA">
              <w:rPr>
                <w:rFonts w:cs="Arial"/>
              </w:rPr>
              <w:t xml:space="preserve">Distribution Network Service Area </w:t>
            </w:r>
            <w:r w:rsidR="004A4E95">
              <w:rPr>
                <w:rFonts w:cs="Arial"/>
              </w:rPr>
              <w:t>has</w:t>
            </w:r>
            <w:r w:rsidR="00BF7D0F">
              <w:rPr>
                <w:rFonts w:cs="Arial"/>
              </w:rPr>
              <w:t xml:space="preserve"> been discussed at DN Constituency meetings </w:t>
            </w:r>
            <w:r w:rsidR="00824F8B">
              <w:rPr>
                <w:rFonts w:cs="Arial"/>
              </w:rPr>
              <w:t xml:space="preserve">and once </w:t>
            </w:r>
            <w:r w:rsidR="004A4E95">
              <w:rPr>
                <w:rFonts w:cs="Arial"/>
              </w:rPr>
              <w:t xml:space="preserve">this has been </w:t>
            </w:r>
            <w:r w:rsidR="00824F8B">
              <w:rPr>
                <w:rFonts w:cs="Arial"/>
              </w:rPr>
              <w:t>agreed</w:t>
            </w:r>
            <w:r w:rsidR="004A4E95">
              <w:rPr>
                <w:rFonts w:cs="Arial"/>
              </w:rPr>
              <w:t>,</w:t>
            </w:r>
            <w:r w:rsidR="00824F8B">
              <w:rPr>
                <w:rFonts w:cs="Arial"/>
              </w:rPr>
              <w:t xml:space="preserve"> </w:t>
            </w:r>
            <w:r w:rsidR="002B52D7">
              <w:rPr>
                <w:rFonts w:cs="Arial"/>
              </w:rPr>
              <w:t xml:space="preserve">the new </w:t>
            </w:r>
            <w:r w:rsidR="004A4E95">
              <w:rPr>
                <w:rFonts w:cs="Arial"/>
              </w:rPr>
              <w:t>S</w:t>
            </w:r>
            <w:r w:rsidR="002B52D7">
              <w:rPr>
                <w:rFonts w:cs="Arial"/>
              </w:rPr>
              <w:t xml:space="preserve">ervice </w:t>
            </w:r>
            <w:r w:rsidR="004A4E95">
              <w:rPr>
                <w:rFonts w:cs="Arial"/>
              </w:rPr>
              <w:t>L</w:t>
            </w:r>
            <w:r w:rsidR="002B52D7">
              <w:rPr>
                <w:rFonts w:cs="Arial"/>
              </w:rPr>
              <w:t xml:space="preserve">ines </w:t>
            </w:r>
            <w:r w:rsidR="004A4E95">
              <w:rPr>
                <w:rFonts w:cs="Arial"/>
              </w:rPr>
              <w:t>necessary to cover the F</w:t>
            </w:r>
            <w:r w:rsidR="00631872">
              <w:rPr>
                <w:rFonts w:cs="Arial"/>
              </w:rPr>
              <w:t xml:space="preserve">WACV </w:t>
            </w:r>
            <w:r w:rsidR="004A4E95">
              <w:rPr>
                <w:rFonts w:cs="Arial"/>
              </w:rPr>
              <w:t>S</w:t>
            </w:r>
            <w:r w:rsidR="00631872">
              <w:rPr>
                <w:rFonts w:cs="Arial"/>
              </w:rPr>
              <w:t>ervice will be taken to ChMC for information before final approval been sought at CoMC</w:t>
            </w:r>
            <w:r w:rsidR="004A4E95">
              <w:rPr>
                <w:rFonts w:cs="Arial"/>
              </w:rPr>
              <w:t>.</w:t>
            </w:r>
          </w:p>
          <w:p w14:paraId="5B262B60" w14:textId="625AE7A0" w:rsidR="00F744CC" w:rsidRDefault="00F744CC" w:rsidP="00BD2DCE">
            <w:pPr>
              <w:rPr>
                <w:rFonts w:cs="Arial"/>
              </w:rPr>
            </w:pPr>
          </w:p>
          <w:p w14:paraId="5474D897" w14:textId="0C9207A6" w:rsidR="00F744CC" w:rsidRPr="00CE5DF0" w:rsidRDefault="00F744CC" w:rsidP="00BD2DCE">
            <w:pPr>
              <w:rPr>
                <w:rFonts w:cs="Arial"/>
              </w:rPr>
            </w:pPr>
            <w:r>
              <w:rPr>
                <w:rFonts w:cs="Arial"/>
              </w:rPr>
              <w:t>Once in place</w:t>
            </w:r>
            <w:r w:rsidR="004A4E95">
              <w:rPr>
                <w:rFonts w:cs="Arial"/>
              </w:rPr>
              <w:t>,</w:t>
            </w:r>
            <w:r>
              <w:rPr>
                <w:rFonts w:cs="Arial"/>
              </w:rPr>
              <w:t xml:space="preserve"> the Service Area </w:t>
            </w:r>
            <w:r w:rsidR="004A4E95">
              <w:rPr>
                <w:rFonts w:cs="Arial"/>
              </w:rPr>
              <w:t xml:space="preserve">has the potential to enable new Services that are equally of 100% DN funding, to be </w:t>
            </w:r>
            <w:r w:rsidR="005402EC">
              <w:rPr>
                <w:rFonts w:cs="Arial"/>
              </w:rPr>
              <w:t>al</w:t>
            </w:r>
            <w:r w:rsidR="004A4E95">
              <w:rPr>
                <w:rFonts w:cs="Arial"/>
              </w:rPr>
              <w:t xml:space="preserve">located – this will be assessed on a change-by-change base, following agreement with the DN </w:t>
            </w:r>
            <w:r w:rsidR="005402EC">
              <w:rPr>
                <w:rFonts w:cs="Arial"/>
              </w:rPr>
              <w:t>Customers.</w:t>
            </w:r>
            <w:r w:rsidR="004A4E95">
              <w:rPr>
                <w:rFonts w:cs="Arial"/>
              </w:rPr>
              <w:t xml:space="preserve"> </w:t>
            </w:r>
          </w:p>
          <w:p w14:paraId="1FF92C50" w14:textId="3525C651" w:rsidR="00230656" w:rsidRDefault="00230656" w:rsidP="00A146AF">
            <w:pPr>
              <w:rPr>
                <w:rFonts w:cs="Arial"/>
                <w:b/>
                <w:bCs/>
              </w:rPr>
            </w:pPr>
          </w:p>
          <w:p w14:paraId="02D5ECBA" w14:textId="63E73B43" w:rsidR="00E645B4" w:rsidRDefault="00E645B4" w:rsidP="00A146AF">
            <w:pPr>
              <w:rPr>
                <w:rFonts w:cs="Arial"/>
                <w:b/>
                <w:bCs/>
              </w:rPr>
            </w:pPr>
          </w:p>
          <w:p w14:paraId="38D9732D" w14:textId="56BAFAAA" w:rsidR="00E645B4" w:rsidRDefault="00706FA4" w:rsidP="00A146AF">
            <w:pPr>
              <w:rPr>
                <w:rFonts w:cs="Arial"/>
              </w:rPr>
            </w:pPr>
            <w:r w:rsidRPr="00EB780A">
              <w:rPr>
                <w:rFonts w:cs="Arial"/>
              </w:rPr>
              <w:t xml:space="preserve">If approval is given to </w:t>
            </w:r>
            <w:r w:rsidR="002340B8" w:rsidRPr="00EB780A">
              <w:rPr>
                <w:rFonts w:cs="Arial"/>
              </w:rPr>
              <w:t xml:space="preserve">update the Budget and Charging </w:t>
            </w:r>
            <w:r w:rsidR="00ED4A4C" w:rsidRPr="00EB780A">
              <w:rPr>
                <w:rFonts w:cs="Arial"/>
              </w:rPr>
              <w:t>Methodology v5</w:t>
            </w:r>
            <w:r w:rsidR="002340B8" w:rsidRPr="00EB780A">
              <w:rPr>
                <w:rFonts w:cs="Arial"/>
              </w:rPr>
              <w:t xml:space="preserve"> </w:t>
            </w:r>
            <w:r w:rsidR="00ED4A4C" w:rsidRPr="00EB780A">
              <w:rPr>
                <w:rFonts w:cs="Arial"/>
              </w:rPr>
              <w:t xml:space="preserve">the </w:t>
            </w:r>
            <w:r w:rsidR="001B77A1" w:rsidRPr="00EB780A">
              <w:rPr>
                <w:rFonts w:cs="Arial"/>
              </w:rPr>
              <w:t>service Lines associated with the newly created Service Areas will be added to the latest version of the DSC Service Description Table</w:t>
            </w:r>
            <w:r w:rsidR="00DD2D5A" w:rsidRPr="00EB780A">
              <w:rPr>
                <w:rFonts w:cs="Arial"/>
              </w:rPr>
              <w:t xml:space="preserve">. In </w:t>
            </w:r>
            <w:r w:rsidR="008A10FF" w:rsidRPr="00EB780A">
              <w:rPr>
                <w:rFonts w:cs="Arial"/>
              </w:rPr>
              <w:t>addition,</w:t>
            </w:r>
            <w:r w:rsidR="00DD2D5A" w:rsidRPr="00EB780A">
              <w:rPr>
                <w:rFonts w:cs="Arial"/>
              </w:rPr>
              <w:t xml:space="preserve"> the CDSP Service Document </w:t>
            </w:r>
            <w:r w:rsidR="00A17D96">
              <w:rPr>
                <w:rFonts w:cs="Arial"/>
              </w:rPr>
              <w:t xml:space="preserve">CDSP Service </w:t>
            </w:r>
            <w:r w:rsidR="008A10FF">
              <w:rPr>
                <w:rFonts w:cs="Arial"/>
              </w:rPr>
              <w:t>Description v5 will be amended to reflect the addition of the two new Service Areas</w:t>
            </w:r>
          </w:p>
          <w:p w14:paraId="5E2F2B97" w14:textId="66D5DD20" w:rsidR="00CE17C6" w:rsidRDefault="00CE17C6" w:rsidP="00A146AF">
            <w:pPr>
              <w:rPr>
                <w:rFonts w:cs="Arial"/>
              </w:rPr>
            </w:pPr>
          </w:p>
          <w:p w14:paraId="2A929798" w14:textId="6930C5A5" w:rsidR="002C34FA" w:rsidRPr="002C34FA" w:rsidRDefault="001C1EC7" w:rsidP="001A327C">
            <w:pPr>
              <w:rPr>
                <w:rFonts w:cs="Arial"/>
              </w:rPr>
            </w:pPr>
            <w:r>
              <w:rPr>
                <w:rFonts w:cs="Arial"/>
              </w:rPr>
              <w:t xml:space="preserve">The next stage of the process is to </w:t>
            </w:r>
            <w:r w:rsidR="001A5B01">
              <w:rPr>
                <w:rFonts w:cs="Arial"/>
              </w:rPr>
              <w:t>review the feedback from this consultation with a view to creating</w:t>
            </w:r>
            <w:r w:rsidR="00685B02">
              <w:rPr>
                <w:rFonts w:cs="Arial"/>
              </w:rPr>
              <w:t xml:space="preserve"> </w:t>
            </w:r>
            <w:proofErr w:type="gramStart"/>
            <w:r w:rsidR="00685B02">
              <w:rPr>
                <w:rFonts w:cs="Arial"/>
              </w:rPr>
              <w:t>a</w:t>
            </w:r>
            <w:r w:rsidR="001A5B01">
              <w:rPr>
                <w:rFonts w:cs="Arial"/>
              </w:rPr>
              <w:t xml:space="preserve">  Change</w:t>
            </w:r>
            <w:proofErr w:type="gramEnd"/>
            <w:r w:rsidR="001A5B01">
              <w:rPr>
                <w:rFonts w:cs="Arial"/>
              </w:rPr>
              <w:t xml:space="preserve"> Proposal to seek approval for </w:t>
            </w:r>
            <w:r w:rsidR="00C8634B">
              <w:rPr>
                <w:rFonts w:cs="Arial"/>
              </w:rPr>
              <w:t xml:space="preserve">the proposed amendments </w:t>
            </w:r>
            <w:r w:rsidR="00D32BB8">
              <w:rPr>
                <w:rFonts w:cs="Arial"/>
              </w:rPr>
              <w:t xml:space="preserve"> which will be presented at </w:t>
            </w:r>
            <w:r w:rsidR="00C8634B">
              <w:rPr>
                <w:rFonts w:cs="Arial"/>
              </w:rPr>
              <w:t>the CoMC on December</w:t>
            </w:r>
            <w:r w:rsidR="00D32BB8">
              <w:rPr>
                <w:rFonts w:cs="Arial"/>
              </w:rPr>
              <w:t xml:space="preserve"> 14</w:t>
            </w:r>
            <w:r w:rsidR="00D32BB8" w:rsidRPr="00D32BB8">
              <w:rPr>
                <w:rFonts w:cs="Arial"/>
                <w:vertAlign w:val="superscript"/>
              </w:rPr>
              <w:t>th</w:t>
            </w:r>
            <w:r w:rsidR="00D32BB8">
              <w:rPr>
                <w:rFonts w:cs="Arial"/>
              </w:rPr>
              <w:t xml:space="preserve"> 2022</w:t>
            </w:r>
          </w:p>
          <w:p w14:paraId="0C9789DF" w14:textId="77777777" w:rsidR="002C34FA" w:rsidRDefault="002C34FA" w:rsidP="001A327C">
            <w:pPr>
              <w:rPr>
                <w:rFonts w:cs="Arial"/>
                <w:b/>
                <w:bCs/>
              </w:rPr>
            </w:pPr>
          </w:p>
          <w:p w14:paraId="08C64EEB" w14:textId="3C746E60" w:rsidR="001A327C" w:rsidRDefault="00504660" w:rsidP="001A327C">
            <w:pPr>
              <w:rPr>
                <w:rFonts w:cs="Arial"/>
                <w:b/>
                <w:bCs/>
              </w:rPr>
            </w:pPr>
            <w:hyperlink r:id="rId11" w:history="1">
              <w:r w:rsidR="001A327C" w:rsidRPr="00EA6728">
                <w:rPr>
                  <w:rStyle w:val="Hyperlink"/>
                  <w:rFonts w:cs="Arial"/>
                  <w:b/>
                  <w:bCs/>
                </w:rPr>
                <w:t xml:space="preserve">BUDGET AND CHARGING METHODOLOGY </w:t>
              </w:r>
              <w:r w:rsidR="00BF4809" w:rsidRPr="00EA6728">
                <w:rPr>
                  <w:rStyle w:val="Hyperlink"/>
                  <w:rFonts w:cs="Arial"/>
                  <w:b/>
                  <w:bCs/>
                </w:rPr>
                <w:t>5.1</w:t>
              </w:r>
            </w:hyperlink>
          </w:p>
          <w:p w14:paraId="4E077DAE" w14:textId="03A3D46F" w:rsidR="00BF4809" w:rsidRDefault="00BF4809" w:rsidP="001A327C"/>
          <w:p w14:paraId="172744A9" w14:textId="5881C12A" w:rsidR="001A327C" w:rsidRDefault="001A327C" w:rsidP="001A327C">
            <w:pPr>
              <w:rPr>
                <w:rFonts w:cs="Arial"/>
                <w:b/>
                <w:bCs/>
              </w:rPr>
            </w:pPr>
          </w:p>
          <w:p w14:paraId="1EA91D27" w14:textId="7E97CD58" w:rsidR="005900D6" w:rsidRDefault="00504660" w:rsidP="00090E99">
            <w:hyperlink r:id="rId12" w:history="1">
              <w:r w:rsidR="000E5C0E" w:rsidRPr="00CB2B8C">
                <w:rPr>
                  <w:rStyle w:val="Hyperlink"/>
                  <w:rFonts w:cs="Arial"/>
                  <w:b/>
                  <w:bCs/>
                </w:rPr>
                <w:t xml:space="preserve">CDSP SERVICE DOCUMENT SERVICE DESCRIPTION </w:t>
              </w:r>
              <w:r w:rsidR="006D23B4" w:rsidRPr="00CB2B8C">
                <w:rPr>
                  <w:rStyle w:val="Hyperlink"/>
                  <w:rFonts w:cs="Arial"/>
                  <w:b/>
                  <w:bCs/>
                </w:rPr>
                <w:t>5.</w:t>
              </w:r>
              <w:r w:rsidR="00B672DC" w:rsidRPr="00CB2B8C">
                <w:rPr>
                  <w:rStyle w:val="Hyperlink"/>
                  <w:rFonts w:cs="Arial"/>
                  <w:b/>
                  <w:bCs/>
                </w:rPr>
                <w:t>2</w:t>
              </w:r>
            </w:hyperlink>
          </w:p>
          <w:p w14:paraId="434FDD1F" w14:textId="77777777" w:rsidR="005900D6" w:rsidRDefault="005900D6" w:rsidP="00090E99">
            <w:pPr>
              <w:rPr>
                <w:szCs w:val="20"/>
              </w:rPr>
            </w:pPr>
          </w:p>
          <w:p w14:paraId="6D803902" w14:textId="58D01F5B" w:rsidR="005900D6" w:rsidRPr="00BC3CAC" w:rsidRDefault="005900D6" w:rsidP="00090E99">
            <w:pPr>
              <w:rPr>
                <w:szCs w:val="20"/>
              </w:rPr>
            </w:pPr>
          </w:p>
        </w:tc>
      </w:tr>
    </w:tbl>
    <w:p w14:paraId="5E0290EE" w14:textId="77777777" w:rsidR="005900D6" w:rsidRDefault="005900D6" w:rsidP="005900D6">
      <w:pPr>
        <w:spacing w:after="0"/>
        <w:rPr>
          <w:b/>
          <w:bCs/>
          <w:color w:val="3E5AA8"/>
          <w:sz w:val="28"/>
          <w:szCs w:val="28"/>
        </w:rPr>
      </w:pPr>
    </w:p>
    <w:p w14:paraId="29A6FB0C" w14:textId="5B213FBB" w:rsidR="00300FF2" w:rsidRDefault="00300FF2"/>
    <w:p w14:paraId="6B08E90D" w14:textId="77777777" w:rsidR="00D70BA2" w:rsidRDefault="00D70BA2" w:rsidP="00C2564E"/>
    <w:p w14:paraId="1C9F7012" w14:textId="6A4B0D7A" w:rsidR="00300FF2" w:rsidRPr="00156FD9" w:rsidRDefault="00300FF2" w:rsidP="00300FF2">
      <w:pPr>
        <w:pStyle w:val="Title"/>
      </w:pPr>
      <w:r>
        <w:t>Industry Response Review</w:t>
      </w:r>
    </w:p>
    <w:p w14:paraId="638C3B7E" w14:textId="084FA673" w:rsidR="008C7AEE" w:rsidRDefault="008C7AEE" w:rsidP="008C7AEE">
      <w:r>
        <w:rPr>
          <w:noProof/>
        </w:rPr>
        <w:fldChar w:fldCharType="begin"/>
      </w:r>
      <w:r>
        <w:rPr>
          <w:noProof/>
        </w:rPr>
        <w:instrText xml:space="preserve"> MERGEFIELD  RangeStart:HDS  \* MERGEFORMAT </w:instrText>
      </w:r>
      <w:r w:rsidR="00504660">
        <w:rPr>
          <w:noProof/>
        </w:rPr>
        <w:fldChar w:fldCharType="separate"/>
      </w:r>
      <w:r>
        <w:rPr>
          <w:noProof/>
        </w:rPr>
        <w:fldChar w:fldCharType="end"/>
      </w:r>
      <w:r>
        <w:br/>
      </w:r>
      <w:r w:rsidRPr="00DC3098">
        <w:rPr>
          <w:rStyle w:val="Heading1Char"/>
        </w:rPr>
        <w:t>Change Representation</w:t>
      </w:r>
      <w:r w:rsidRPr="00310A64">
        <w:t xml:space="preserve"> </w:t>
      </w:r>
    </w:p>
    <w:p w14:paraId="15D34849" w14:textId="77777777" w:rsidR="008C7AEE" w:rsidRPr="006B18D0" w:rsidRDefault="008C7AEE" w:rsidP="008C7AEE">
      <w:r>
        <w:t>(T</w:t>
      </w:r>
      <w:r w:rsidRPr="006B18D0">
        <w:t>o be completed by User and returned for response)</w:t>
      </w:r>
    </w:p>
    <w:tbl>
      <w:tblPr>
        <w:tblStyle w:val="TableGrid"/>
        <w:tblW w:w="5018" w:type="pct"/>
        <w:tblInd w:w="-34" w:type="dxa"/>
        <w:tblLayout w:type="fixed"/>
        <w:tblLook w:val="04A0" w:firstRow="1" w:lastRow="0" w:firstColumn="1" w:lastColumn="0" w:noHBand="0" w:noVBand="1"/>
      </w:tblPr>
      <w:tblGrid>
        <w:gridCol w:w="2566"/>
        <w:gridCol w:w="1925"/>
        <w:gridCol w:w="1123"/>
        <w:gridCol w:w="4880"/>
      </w:tblGrid>
      <w:tr w:rsidR="008C7AEE" w:rsidRPr="00BC3CAC" w14:paraId="02CC6A00" w14:textId="77777777" w:rsidTr="00592D2B">
        <w:trPr>
          <w:trHeight w:val="403"/>
        </w:trPr>
        <w:tc>
          <w:tcPr>
            <w:tcW w:w="1223" w:type="pct"/>
            <w:vMerge w:val="restart"/>
            <w:shd w:val="clear" w:color="auto" w:fill="B2ECFB" w:themeFill="accent5" w:themeFillTint="66"/>
            <w:vAlign w:val="center"/>
          </w:tcPr>
          <w:p w14:paraId="6588E77E" w14:textId="77777777" w:rsidR="008C7AEE" w:rsidRPr="00093D75" w:rsidRDefault="008C7AEE" w:rsidP="00592D2B">
            <w:pPr>
              <w:jc w:val="right"/>
              <w:rPr>
                <w:rFonts w:cs="Arial"/>
              </w:rPr>
            </w:pPr>
            <w:r w:rsidRPr="00093D75">
              <w:rPr>
                <w:rFonts w:cs="Arial"/>
              </w:rPr>
              <w:t>User Contact</w:t>
            </w:r>
            <w:r>
              <w:rPr>
                <w:rFonts w:cs="Arial"/>
              </w:rPr>
              <w:t xml:space="preserve"> Details:</w:t>
            </w:r>
          </w:p>
        </w:tc>
        <w:tc>
          <w:tcPr>
            <w:tcW w:w="917" w:type="pct"/>
            <w:shd w:val="clear" w:color="auto" w:fill="B2ECFB" w:themeFill="accent5" w:themeFillTint="66"/>
            <w:vAlign w:val="center"/>
          </w:tcPr>
          <w:p w14:paraId="5025B7D8" w14:textId="77777777" w:rsidR="008C7AEE" w:rsidRDefault="008C7AEE" w:rsidP="00592D2B">
            <w:pPr>
              <w:jc w:val="right"/>
              <w:rPr>
                <w:rFonts w:cs="Arial"/>
              </w:rPr>
            </w:pPr>
            <w:r>
              <w:rPr>
                <w:rFonts w:cs="Arial"/>
              </w:rPr>
              <w:t>Organisation:</w:t>
            </w:r>
          </w:p>
        </w:tc>
        <w:tc>
          <w:tcPr>
            <w:tcW w:w="2860" w:type="pct"/>
            <w:gridSpan w:val="2"/>
            <w:vAlign w:val="center"/>
          </w:tcPr>
          <w:p w14:paraId="520AC8F6" w14:textId="17B79AFB" w:rsidR="008C7AEE" w:rsidRPr="00BC3CAC" w:rsidRDefault="008C7AEE" w:rsidP="00592D2B">
            <w:pPr>
              <w:rPr>
                <w:rFonts w:cs="Arial"/>
              </w:rPr>
            </w:pPr>
            <w:r>
              <w:rPr>
                <w:rFonts w:cs="Arial"/>
              </w:rPr>
              <w:fldChar w:fldCharType="begin"/>
            </w:r>
            <w:r>
              <w:rPr>
                <w:rFonts w:cs="Arial"/>
              </w:rPr>
              <w:instrText xml:space="preserve"> MERGEFIELD  h1_organisation  \* MERGEFORMAT </w:instrText>
            </w:r>
            <w:r>
              <w:rPr>
                <w:rFonts w:cs="Arial"/>
              </w:rPr>
              <w:fldChar w:fldCharType="separate"/>
            </w:r>
            <w:r w:rsidR="005B7E17">
              <w:t xml:space="preserve"> </w:t>
            </w:r>
            <w:r w:rsidR="005B7E17" w:rsidRPr="005B7E17">
              <w:rPr>
                <w:rFonts w:cs="Arial"/>
              </w:rPr>
              <w:t>Wale</w:t>
            </w:r>
            <w:r w:rsidR="005B7E17" w:rsidRPr="005B7E17">
              <w:rPr>
                <w:rFonts w:cs="Arial"/>
                <w:noProof/>
              </w:rPr>
              <w:t>s &amp; West Utilities</w:t>
            </w:r>
            <w:r>
              <w:rPr>
                <w:rFonts w:cs="Arial"/>
              </w:rPr>
              <w:fldChar w:fldCharType="end"/>
            </w:r>
          </w:p>
        </w:tc>
      </w:tr>
      <w:tr w:rsidR="008C7AEE" w:rsidRPr="00BC3CAC" w14:paraId="5A87F966" w14:textId="77777777" w:rsidTr="00592D2B">
        <w:trPr>
          <w:trHeight w:val="403"/>
        </w:trPr>
        <w:tc>
          <w:tcPr>
            <w:tcW w:w="1223" w:type="pct"/>
            <w:vMerge/>
            <w:shd w:val="clear" w:color="auto" w:fill="B2ECFB" w:themeFill="accent5" w:themeFillTint="66"/>
            <w:vAlign w:val="center"/>
          </w:tcPr>
          <w:p w14:paraId="770B334D" w14:textId="77777777" w:rsidR="008C7AEE" w:rsidRPr="00093D75" w:rsidRDefault="008C7AEE" w:rsidP="00592D2B">
            <w:pPr>
              <w:jc w:val="right"/>
              <w:rPr>
                <w:rFonts w:cs="Arial"/>
              </w:rPr>
            </w:pPr>
          </w:p>
        </w:tc>
        <w:tc>
          <w:tcPr>
            <w:tcW w:w="917" w:type="pct"/>
            <w:shd w:val="clear" w:color="auto" w:fill="B2ECFB" w:themeFill="accent5" w:themeFillTint="66"/>
            <w:vAlign w:val="center"/>
          </w:tcPr>
          <w:p w14:paraId="03BBFEC0" w14:textId="77777777" w:rsidR="008C7AEE" w:rsidRDefault="008C7AEE" w:rsidP="00592D2B">
            <w:pPr>
              <w:jc w:val="right"/>
              <w:rPr>
                <w:rFonts w:cs="Arial"/>
              </w:rPr>
            </w:pPr>
            <w:r>
              <w:rPr>
                <w:rFonts w:cs="Arial"/>
              </w:rPr>
              <w:t>Name:</w:t>
            </w:r>
          </w:p>
        </w:tc>
        <w:tc>
          <w:tcPr>
            <w:tcW w:w="2860" w:type="pct"/>
            <w:gridSpan w:val="2"/>
            <w:vAlign w:val="center"/>
          </w:tcPr>
          <w:p w14:paraId="5E28B3D6" w14:textId="04DF36A5" w:rsidR="008C7AEE" w:rsidRPr="00BC3CAC" w:rsidRDefault="001D0AD1" w:rsidP="00592D2B">
            <w:pPr>
              <w:rPr>
                <w:rFonts w:cs="Arial"/>
              </w:rPr>
            </w:pPr>
            <w:r w:rsidRPr="001D0AD1">
              <w:rPr>
                <w:rFonts w:cs="Arial"/>
              </w:rPr>
              <w:t>Tom Stuart</w:t>
            </w:r>
            <w:r w:rsidR="008C7AEE">
              <w:rPr>
                <w:rFonts w:cs="Arial"/>
              </w:rPr>
              <w:fldChar w:fldCharType="begin"/>
            </w:r>
            <w:r w:rsidR="008C7AEE">
              <w:rPr>
                <w:rFonts w:cs="Arial"/>
              </w:rPr>
              <w:instrText xml:space="preserve"> MERGEFIELD  h1_name  \* MERGEFORMAT </w:instrText>
            </w:r>
            <w:r w:rsidR="00504660">
              <w:rPr>
                <w:rFonts w:cs="Arial"/>
              </w:rPr>
              <w:fldChar w:fldCharType="separate"/>
            </w:r>
            <w:r w:rsidR="008C7AEE">
              <w:rPr>
                <w:rFonts w:cs="Arial"/>
              </w:rPr>
              <w:fldChar w:fldCharType="end"/>
            </w:r>
          </w:p>
        </w:tc>
      </w:tr>
      <w:tr w:rsidR="008C7AEE" w:rsidRPr="00BC3CAC" w14:paraId="2C37DBEC" w14:textId="77777777" w:rsidTr="00592D2B">
        <w:trPr>
          <w:trHeight w:val="403"/>
        </w:trPr>
        <w:tc>
          <w:tcPr>
            <w:tcW w:w="1223" w:type="pct"/>
            <w:vMerge/>
            <w:shd w:val="clear" w:color="auto" w:fill="B2ECFB" w:themeFill="accent5" w:themeFillTint="66"/>
            <w:vAlign w:val="center"/>
          </w:tcPr>
          <w:p w14:paraId="2D77A409" w14:textId="77777777" w:rsidR="008C7AEE" w:rsidRPr="00093D75" w:rsidRDefault="008C7AEE" w:rsidP="00592D2B">
            <w:pPr>
              <w:jc w:val="right"/>
              <w:rPr>
                <w:rFonts w:cs="Arial"/>
              </w:rPr>
            </w:pPr>
          </w:p>
        </w:tc>
        <w:tc>
          <w:tcPr>
            <w:tcW w:w="917" w:type="pct"/>
            <w:shd w:val="clear" w:color="auto" w:fill="B2ECFB" w:themeFill="accent5" w:themeFillTint="66"/>
            <w:vAlign w:val="center"/>
          </w:tcPr>
          <w:p w14:paraId="61DCA8E9" w14:textId="77777777" w:rsidR="008C7AEE" w:rsidRDefault="008C7AEE" w:rsidP="00592D2B">
            <w:pPr>
              <w:jc w:val="right"/>
              <w:rPr>
                <w:rFonts w:cs="Arial"/>
              </w:rPr>
            </w:pPr>
            <w:r>
              <w:rPr>
                <w:rFonts w:cs="Arial"/>
              </w:rPr>
              <w:t>Email:</w:t>
            </w:r>
          </w:p>
        </w:tc>
        <w:tc>
          <w:tcPr>
            <w:tcW w:w="2860" w:type="pct"/>
            <w:gridSpan w:val="2"/>
            <w:vAlign w:val="center"/>
          </w:tcPr>
          <w:p w14:paraId="6948E2F6" w14:textId="2EBECB9C" w:rsidR="008C7AEE" w:rsidRPr="00BC3CAC" w:rsidRDefault="008C7AEE" w:rsidP="00592D2B">
            <w:pPr>
              <w:rPr>
                <w:rFonts w:cs="Arial"/>
              </w:rPr>
            </w:pPr>
            <w:r>
              <w:rPr>
                <w:rFonts w:cs="Arial"/>
              </w:rPr>
              <w:fldChar w:fldCharType="begin"/>
            </w:r>
            <w:r>
              <w:rPr>
                <w:rFonts w:cs="Arial"/>
              </w:rPr>
              <w:instrText xml:space="preserve"> MERGEFIELD  h1_email  \* MERGEFORMAT </w:instrText>
            </w:r>
            <w:r>
              <w:rPr>
                <w:rFonts w:cs="Arial"/>
              </w:rPr>
              <w:fldChar w:fldCharType="separate"/>
            </w:r>
            <w:r w:rsidR="001D0AD1">
              <w:t xml:space="preserve"> </w:t>
            </w:r>
            <w:r w:rsidR="001D0AD1" w:rsidRPr="001D0AD1">
              <w:rPr>
                <w:rFonts w:cs="Arial"/>
              </w:rPr>
              <w:t xml:space="preserve">tom.stuart@wwutilities.co.uk </w:t>
            </w:r>
            <w:r>
              <w:rPr>
                <w:rFonts w:cs="Arial"/>
              </w:rPr>
              <w:fldChar w:fldCharType="end"/>
            </w:r>
          </w:p>
        </w:tc>
      </w:tr>
      <w:tr w:rsidR="008C7AEE" w:rsidRPr="00BC3CAC" w14:paraId="1C0ABBD0" w14:textId="77777777" w:rsidTr="00592D2B">
        <w:trPr>
          <w:trHeight w:val="403"/>
        </w:trPr>
        <w:tc>
          <w:tcPr>
            <w:tcW w:w="1223" w:type="pct"/>
            <w:vMerge/>
            <w:shd w:val="clear" w:color="auto" w:fill="B2ECFB" w:themeFill="accent5" w:themeFillTint="66"/>
            <w:vAlign w:val="center"/>
          </w:tcPr>
          <w:p w14:paraId="75FCBD6E" w14:textId="77777777" w:rsidR="008C7AEE" w:rsidRPr="00093D75" w:rsidRDefault="008C7AEE" w:rsidP="00592D2B">
            <w:pPr>
              <w:jc w:val="right"/>
              <w:rPr>
                <w:rFonts w:cs="Arial"/>
              </w:rPr>
            </w:pPr>
          </w:p>
        </w:tc>
        <w:tc>
          <w:tcPr>
            <w:tcW w:w="917" w:type="pct"/>
            <w:shd w:val="clear" w:color="auto" w:fill="B2ECFB" w:themeFill="accent5" w:themeFillTint="66"/>
            <w:vAlign w:val="center"/>
          </w:tcPr>
          <w:p w14:paraId="7BFC16D9" w14:textId="77777777" w:rsidR="008C7AEE" w:rsidRDefault="008C7AEE" w:rsidP="00592D2B">
            <w:pPr>
              <w:jc w:val="right"/>
              <w:rPr>
                <w:rFonts w:cs="Arial"/>
              </w:rPr>
            </w:pPr>
            <w:r>
              <w:rPr>
                <w:rFonts w:cs="Arial"/>
              </w:rPr>
              <w:t>Telephone:</w:t>
            </w:r>
          </w:p>
        </w:tc>
        <w:tc>
          <w:tcPr>
            <w:tcW w:w="2860" w:type="pct"/>
            <w:gridSpan w:val="2"/>
            <w:vAlign w:val="center"/>
          </w:tcPr>
          <w:p w14:paraId="110586A2" w14:textId="4A9CD180" w:rsidR="008C7AEE" w:rsidRPr="00BC3CAC" w:rsidRDefault="00667228" w:rsidP="00592D2B">
            <w:pPr>
              <w:rPr>
                <w:rFonts w:cs="Arial"/>
              </w:rPr>
            </w:pPr>
            <w:r w:rsidRPr="00667228">
              <w:rPr>
                <w:rFonts w:cs="Arial"/>
              </w:rPr>
              <w:t>07964937739</w:t>
            </w:r>
          </w:p>
        </w:tc>
      </w:tr>
      <w:tr w:rsidR="008C7AEE" w:rsidRPr="00BC3CAC" w14:paraId="3CA199F6" w14:textId="77777777" w:rsidTr="00592D2B">
        <w:trPr>
          <w:trHeight w:val="403"/>
        </w:trPr>
        <w:tc>
          <w:tcPr>
            <w:tcW w:w="1223" w:type="pct"/>
            <w:shd w:val="clear" w:color="auto" w:fill="B2ECFB" w:themeFill="accent5" w:themeFillTint="66"/>
            <w:vAlign w:val="center"/>
          </w:tcPr>
          <w:p w14:paraId="62D3CE90" w14:textId="77777777" w:rsidR="008C7AEE" w:rsidRPr="00093D75" w:rsidRDefault="008C7AEE" w:rsidP="00592D2B">
            <w:pPr>
              <w:jc w:val="right"/>
              <w:rPr>
                <w:rFonts w:cs="Arial"/>
              </w:rPr>
            </w:pPr>
            <w:r w:rsidRPr="00093D75">
              <w:rPr>
                <w:rFonts w:cs="Arial"/>
              </w:rPr>
              <w:t>Representation Status</w:t>
            </w:r>
            <w:r>
              <w:rPr>
                <w:rFonts w:cs="Arial"/>
              </w:rPr>
              <w:t>:</w:t>
            </w:r>
          </w:p>
        </w:tc>
        <w:tc>
          <w:tcPr>
            <w:tcW w:w="3777" w:type="pct"/>
            <w:gridSpan w:val="3"/>
            <w:vAlign w:val="center"/>
          </w:tcPr>
          <w:p w14:paraId="72A84666" w14:textId="62481C0D" w:rsidR="008C7AEE" w:rsidRPr="00BC3CAC" w:rsidRDefault="00667228" w:rsidP="00592D2B">
            <w:pPr>
              <w:rPr>
                <w:rFonts w:cs="Arial"/>
              </w:rPr>
            </w:pPr>
            <w:r w:rsidRPr="00667228">
              <w:rPr>
                <w:rFonts w:cs="Arial"/>
              </w:rPr>
              <w:t>Defer</w:t>
            </w:r>
          </w:p>
        </w:tc>
      </w:tr>
      <w:tr w:rsidR="008C7AEE" w:rsidRPr="00BC3CAC" w14:paraId="7658E09B" w14:textId="77777777" w:rsidTr="00592D2B">
        <w:trPr>
          <w:trHeight w:val="403"/>
        </w:trPr>
        <w:tc>
          <w:tcPr>
            <w:tcW w:w="1223" w:type="pct"/>
            <w:shd w:val="clear" w:color="auto" w:fill="B2ECFB" w:themeFill="accent5" w:themeFillTint="66"/>
            <w:vAlign w:val="center"/>
          </w:tcPr>
          <w:p w14:paraId="1E9C4338" w14:textId="77777777" w:rsidR="008C7AEE" w:rsidRPr="00093D75" w:rsidRDefault="008C7AEE" w:rsidP="00592D2B">
            <w:pPr>
              <w:jc w:val="right"/>
              <w:rPr>
                <w:rFonts w:cs="Arial"/>
              </w:rPr>
            </w:pPr>
            <w:r w:rsidRPr="00093D75">
              <w:rPr>
                <w:rFonts w:cs="Arial"/>
              </w:rPr>
              <w:t>Representation Publication</w:t>
            </w:r>
            <w:r>
              <w:rPr>
                <w:rFonts w:cs="Arial"/>
              </w:rPr>
              <w:t>:</w:t>
            </w:r>
          </w:p>
        </w:tc>
        <w:tc>
          <w:tcPr>
            <w:tcW w:w="3777" w:type="pct"/>
            <w:gridSpan w:val="3"/>
            <w:vAlign w:val="center"/>
          </w:tcPr>
          <w:p w14:paraId="6BCB6E71" w14:textId="0679A344" w:rsidR="008C7AEE" w:rsidRPr="00BC3CAC" w:rsidRDefault="005979A7" w:rsidP="00592D2B">
            <w:pPr>
              <w:rPr>
                <w:rFonts w:cs="Arial"/>
                <w:szCs w:val="20"/>
              </w:rPr>
            </w:pPr>
            <w:r>
              <w:rPr>
                <w:rFonts w:cs="Arial"/>
                <w:szCs w:val="20"/>
              </w:rPr>
              <w:t>Publish</w:t>
            </w:r>
          </w:p>
        </w:tc>
      </w:tr>
      <w:tr w:rsidR="008C7AEE" w:rsidRPr="00BC3CAC" w14:paraId="3B655B0F" w14:textId="77777777" w:rsidTr="00592D2B">
        <w:trPr>
          <w:trHeight w:val="403"/>
        </w:trPr>
        <w:tc>
          <w:tcPr>
            <w:tcW w:w="1223" w:type="pct"/>
            <w:shd w:val="clear" w:color="auto" w:fill="B2ECFB" w:themeFill="accent5" w:themeFillTint="66"/>
            <w:vAlign w:val="center"/>
          </w:tcPr>
          <w:p w14:paraId="4AAD8861" w14:textId="77777777" w:rsidR="008C7AEE" w:rsidRPr="00093D75" w:rsidRDefault="008C7AEE" w:rsidP="00592D2B">
            <w:pPr>
              <w:jc w:val="right"/>
              <w:rPr>
                <w:rFonts w:cs="Arial"/>
              </w:rPr>
            </w:pPr>
            <w:r w:rsidRPr="00093D75">
              <w:rPr>
                <w:rFonts w:cs="Arial"/>
              </w:rPr>
              <w:t>Representation</w:t>
            </w:r>
            <w:r>
              <w:rPr>
                <w:rFonts w:cs="Arial"/>
              </w:rPr>
              <w:t xml:space="preserve"> Comments:</w:t>
            </w:r>
          </w:p>
        </w:tc>
        <w:tc>
          <w:tcPr>
            <w:tcW w:w="3777" w:type="pct"/>
            <w:gridSpan w:val="3"/>
            <w:vAlign w:val="center"/>
          </w:tcPr>
          <w:p w14:paraId="08DB02CC" w14:textId="77777777" w:rsidR="00667228" w:rsidRPr="00667228" w:rsidRDefault="00667228" w:rsidP="00667228">
            <w:pPr>
              <w:rPr>
                <w:rFonts w:cs="Arial"/>
              </w:rPr>
            </w:pPr>
            <w:r w:rsidRPr="00667228">
              <w:rPr>
                <w:rFonts w:cs="Arial"/>
              </w:rPr>
              <w:t xml:space="preserve">Comment 1 </w:t>
            </w:r>
          </w:p>
          <w:p w14:paraId="5506F924" w14:textId="77777777" w:rsidR="00667228" w:rsidRPr="00667228" w:rsidRDefault="00667228" w:rsidP="00667228">
            <w:pPr>
              <w:rPr>
                <w:rFonts w:cs="Arial"/>
              </w:rPr>
            </w:pPr>
            <w:r w:rsidRPr="00667228">
              <w:rPr>
                <w:rFonts w:cs="Arial"/>
              </w:rPr>
              <w:t>If these services are mandated by the UNC and are provided to all Shippers or GDNs as seems to be case with the services described, then why are they not Direct Services – Code Services.</w:t>
            </w:r>
          </w:p>
          <w:p w14:paraId="0790BA4A" w14:textId="77777777" w:rsidR="00667228" w:rsidRPr="00667228" w:rsidRDefault="00667228" w:rsidP="00667228">
            <w:pPr>
              <w:rPr>
                <w:rFonts w:cs="Arial"/>
              </w:rPr>
            </w:pPr>
          </w:p>
          <w:p w14:paraId="5647650D" w14:textId="77777777" w:rsidR="00667228" w:rsidRPr="00667228" w:rsidRDefault="00667228" w:rsidP="00667228">
            <w:pPr>
              <w:rPr>
                <w:rFonts w:cs="Arial"/>
              </w:rPr>
            </w:pPr>
            <w:r w:rsidRPr="00667228">
              <w:rPr>
                <w:rFonts w:cs="Arial"/>
              </w:rPr>
              <w:t>If they are not Code Services, and we would argue that the FWACV service is not a Code Service as it is provided to fulfil the obligations on GTs of the Gas (calculation of) Thermal Energy Regulations, then they are Direct Services – non-Code Services.</w:t>
            </w:r>
          </w:p>
          <w:p w14:paraId="0BFC7818" w14:textId="77777777" w:rsidR="00667228" w:rsidRPr="00667228" w:rsidRDefault="00667228" w:rsidP="00667228">
            <w:pPr>
              <w:rPr>
                <w:rFonts w:cs="Arial"/>
              </w:rPr>
            </w:pPr>
          </w:p>
          <w:p w14:paraId="6F97F86C" w14:textId="77777777" w:rsidR="00667228" w:rsidRPr="00667228" w:rsidRDefault="00667228" w:rsidP="00667228">
            <w:pPr>
              <w:rPr>
                <w:rFonts w:cs="Arial"/>
              </w:rPr>
            </w:pPr>
            <w:r w:rsidRPr="00667228">
              <w:rPr>
                <w:rFonts w:cs="Arial"/>
              </w:rPr>
              <w:t>If a new Service Area that provides for 100% DN funding is required, then this can be created within the existing categories of Services.  If a new Shipper Service Area is required for CSS Services, then this can be likewise accommodated within the existing categories of Services.</w:t>
            </w:r>
          </w:p>
          <w:p w14:paraId="342240EB" w14:textId="77777777" w:rsidR="00667228" w:rsidRPr="00667228" w:rsidRDefault="00667228" w:rsidP="00667228">
            <w:pPr>
              <w:rPr>
                <w:rFonts w:cs="Arial"/>
              </w:rPr>
            </w:pPr>
          </w:p>
          <w:p w14:paraId="2121509D" w14:textId="77777777" w:rsidR="00667228" w:rsidRPr="00667228" w:rsidRDefault="00667228" w:rsidP="00667228">
            <w:pPr>
              <w:rPr>
                <w:rFonts w:cs="Arial"/>
              </w:rPr>
            </w:pPr>
            <w:r w:rsidRPr="00667228">
              <w:rPr>
                <w:rFonts w:cs="Arial"/>
              </w:rPr>
              <w:t>We think that this change should be deferred until the above points are resolved.</w:t>
            </w:r>
          </w:p>
          <w:p w14:paraId="161E5754" w14:textId="77777777" w:rsidR="00667228" w:rsidRPr="00667228" w:rsidRDefault="00667228" w:rsidP="00667228">
            <w:pPr>
              <w:rPr>
                <w:rFonts w:cs="Arial"/>
              </w:rPr>
            </w:pPr>
          </w:p>
          <w:p w14:paraId="2508DF26" w14:textId="77777777" w:rsidR="00667228" w:rsidRPr="00667228" w:rsidRDefault="00667228" w:rsidP="00667228">
            <w:pPr>
              <w:rPr>
                <w:rFonts w:cs="Arial"/>
              </w:rPr>
            </w:pPr>
            <w:r w:rsidRPr="00667228">
              <w:rPr>
                <w:rFonts w:cs="Arial"/>
              </w:rPr>
              <w:t>Comment 2</w:t>
            </w:r>
          </w:p>
          <w:p w14:paraId="60658008" w14:textId="77777777" w:rsidR="00667228" w:rsidRPr="00667228" w:rsidRDefault="00667228" w:rsidP="00667228">
            <w:pPr>
              <w:rPr>
                <w:rFonts w:cs="Arial"/>
              </w:rPr>
            </w:pPr>
            <w:r w:rsidRPr="00667228">
              <w:rPr>
                <w:rFonts w:cs="Arial"/>
              </w:rPr>
              <w:t>The concept of Mandatory Specific Services could be used for the new service line introduced by UNC modification 0710 under which the CDSP will provide Class 1 read services to Shippers with a Class 1 Supply Point, but that justification is not part of this change proposal.</w:t>
            </w:r>
          </w:p>
          <w:p w14:paraId="30ED9AD5" w14:textId="77777777" w:rsidR="00667228" w:rsidRPr="00667228" w:rsidRDefault="00667228" w:rsidP="00667228">
            <w:pPr>
              <w:rPr>
                <w:rFonts w:cs="Arial"/>
              </w:rPr>
            </w:pPr>
          </w:p>
          <w:p w14:paraId="2659B4BF" w14:textId="77777777" w:rsidR="00667228" w:rsidRPr="00667228" w:rsidRDefault="00667228" w:rsidP="00667228">
            <w:pPr>
              <w:rPr>
                <w:rFonts w:cs="Arial"/>
              </w:rPr>
            </w:pPr>
            <w:r w:rsidRPr="00667228">
              <w:rPr>
                <w:rFonts w:cs="Arial"/>
              </w:rPr>
              <w:t xml:space="preserve">Regarding the legal text we suggest that, if implemented, proposed new clause should have “by a </w:t>
            </w:r>
            <w:proofErr w:type="gramStart"/>
            <w:r w:rsidRPr="00667228">
              <w:rPr>
                <w:rFonts w:cs="Arial"/>
              </w:rPr>
              <w:t>Customer</w:t>
            </w:r>
            <w:proofErr w:type="gramEnd"/>
            <w:r w:rsidRPr="00667228">
              <w:rPr>
                <w:rFonts w:cs="Arial"/>
              </w:rPr>
              <w:t>” added as shown below for clarity.</w:t>
            </w:r>
          </w:p>
          <w:p w14:paraId="5A77D548" w14:textId="77777777" w:rsidR="00667228" w:rsidRPr="00667228" w:rsidRDefault="00667228" w:rsidP="00667228">
            <w:pPr>
              <w:rPr>
                <w:rFonts w:cs="Arial"/>
              </w:rPr>
            </w:pPr>
          </w:p>
          <w:p w14:paraId="7E55C4A1" w14:textId="423E1973" w:rsidR="008C7AEE" w:rsidRPr="00BC3CAC" w:rsidRDefault="00667228" w:rsidP="00667228">
            <w:pPr>
              <w:rPr>
                <w:rFonts w:cs="Arial"/>
              </w:rPr>
            </w:pPr>
            <w:r w:rsidRPr="00667228">
              <w:rPr>
                <w:rFonts w:cs="Arial"/>
              </w:rPr>
              <w:t xml:space="preserve">2.3.2 Mandatory Specific Services are a subcategory of Specific Services and are those that are not ordered by a </w:t>
            </w:r>
            <w:proofErr w:type="gramStart"/>
            <w:r w:rsidRPr="00667228">
              <w:rPr>
                <w:rFonts w:cs="Arial"/>
              </w:rPr>
              <w:t>Customer</w:t>
            </w:r>
            <w:proofErr w:type="gramEnd"/>
            <w:r w:rsidRPr="00667228">
              <w:rPr>
                <w:rFonts w:cs="Arial"/>
              </w:rPr>
              <w:t xml:space="preserve"> but are provided as mandated by UNC to Mandatory Specific Service Recipients.</w:t>
            </w:r>
          </w:p>
        </w:tc>
      </w:tr>
      <w:tr w:rsidR="008C7AEE" w:rsidRPr="00BC3CAC" w14:paraId="1D292C92" w14:textId="77777777" w:rsidTr="00592D2B">
        <w:trPr>
          <w:trHeight w:val="403"/>
        </w:trPr>
        <w:tc>
          <w:tcPr>
            <w:tcW w:w="1223" w:type="pct"/>
            <w:shd w:val="clear" w:color="auto" w:fill="B2ECFB" w:themeFill="accent5" w:themeFillTint="66"/>
            <w:vAlign w:val="center"/>
          </w:tcPr>
          <w:p w14:paraId="3A6330FB" w14:textId="77777777" w:rsidR="008C7AEE" w:rsidRPr="00093D75" w:rsidRDefault="008C7AEE" w:rsidP="00592D2B">
            <w:pPr>
              <w:jc w:val="right"/>
              <w:rPr>
                <w:rFonts w:cs="Arial"/>
              </w:rPr>
            </w:pPr>
            <w:r>
              <w:rPr>
                <w:rFonts w:cs="Arial"/>
              </w:rPr>
              <w:t xml:space="preserve">Confirm </w:t>
            </w:r>
            <w:r w:rsidRPr="00093D75">
              <w:rPr>
                <w:rFonts w:cs="Arial"/>
              </w:rPr>
              <w:t>Target Release Date</w:t>
            </w:r>
            <w:r>
              <w:rPr>
                <w:rFonts w:cs="Arial"/>
              </w:rPr>
              <w:t>?</w:t>
            </w:r>
          </w:p>
        </w:tc>
        <w:tc>
          <w:tcPr>
            <w:tcW w:w="1452" w:type="pct"/>
            <w:gridSpan w:val="2"/>
            <w:vAlign w:val="center"/>
          </w:tcPr>
          <w:p w14:paraId="0A5AE18E" w14:textId="318C8B59" w:rsidR="008C7AEE" w:rsidRDefault="00B57A5E" w:rsidP="00592D2B">
            <w:pPr>
              <w:rPr>
                <w:rFonts w:cs="Arial"/>
              </w:rPr>
            </w:pPr>
            <w:r w:rsidRPr="00B57A5E">
              <w:rPr>
                <w:rFonts w:cs="Arial"/>
              </w:rPr>
              <w:t>N/A</w:t>
            </w:r>
            <w:r w:rsidR="008C7AEE">
              <w:rPr>
                <w:rFonts w:cs="Arial"/>
              </w:rPr>
              <w:fldChar w:fldCharType="begin"/>
            </w:r>
            <w:r w:rsidR="008C7AEE">
              <w:rPr>
                <w:rFonts w:cs="Arial"/>
              </w:rPr>
              <w:instrText xml:space="preserve"> MERGEFIELD  h1_targetDate  \* MERGEFORMAT </w:instrText>
            </w:r>
            <w:r w:rsidR="00504660">
              <w:rPr>
                <w:rFonts w:cs="Arial"/>
              </w:rPr>
              <w:fldChar w:fldCharType="separate"/>
            </w:r>
            <w:r w:rsidR="008C7AEE">
              <w:rPr>
                <w:rFonts w:cs="Arial"/>
              </w:rPr>
              <w:fldChar w:fldCharType="end"/>
            </w:r>
          </w:p>
        </w:tc>
        <w:tc>
          <w:tcPr>
            <w:tcW w:w="2325" w:type="pct"/>
            <w:vAlign w:val="center"/>
          </w:tcPr>
          <w:p w14:paraId="5B8BCC4A" w14:textId="426A2814" w:rsidR="008C7AEE" w:rsidRDefault="008C7AEE" w:rsidP="00592D2B">
            <w:pPr>
              <w:rPr>
                <w:rFonts w:cs="Arial"/>
              </w:rPr>
            </w:pPr>
          </w:p>
        </w:tc>
      </w:tr>
    </w:tbl>
    <w:p w14:paraId="4F9F8FEA" w14:textId="77777777" w:rsidR="008C7AEE" w:rsidRDefault="008C7AEE" w:rsidP="008C7AEE"/>
    <w:p w14:paraId="3760EAA9" w14:textId="77777777" w:rsidR="008C7AEE" w:rsidRDefault="008C7AEE" w:rsidP="008C7AEE">
      <w:pPr>
        <w:pStyle w:val="Heading1"/>
      </w:pPr>
      <w:r w:rsidRPr="002C5A6F">
        <w:lastRenderedPageBreak/>
        <w:t>Xoserve’ s Response</w:t>
      </w:r>
      <w:r w:rsidRPr="00876BE6">
        <w:t xml:space="preserve"> </w:t>
      </w:r>
    </w:p>
    <w:tbl>
      <w:tblPr>
        <w:tblStyle w:val="TableGrid"/>
        <w:tblW w:w="5018" w:type="pct"/>
        <w:tblInd w:w="-34" w:type="dxa"/>
        <w:tblLayout w:type="fixed"/>
        <w:tblLook w:val="04A0" w:firstRow="1" w:lastRow="0" w:firstColumn="1" w:lastColumn="0" w:noHBand="0" w:noVBand="1"/>
      </w:tblPr>
      <w:tblGrid>
        <w:gridCol w:w="2567"/>
        <w:gridCol w:w="7927"/>
      </w:tblGrid>
      <w:tr w:rsidR="008C7AEE" w:rsidRPr="00BC3CAC" w14:paraId="5237AB83" w14:textId="77777777" w:rsidTr="00592D2B">
        <w:trPr>
          <w:trHeight w:val="663"/>
        </w:trPr>
        <w:tc>
          <w:tcPr>
            <w:tcW w:w="1223" w:type="pct"/>
            <w:shd w:val="clear" w:color="auto" w:fill="B2ECFB" w:themeFill="accent5" w:themeFillTint="66"/>
            <w:vAlign w:val="center"/>
          </w:tcPr>
          <w:p w14:paraId="1C172964" w14:textId="77777777" w:rsidR="008C7AEE" w:rsidRPr="00470388" w:rsidRDefault="008C7AEE" w:rsidP="00592D2B">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31576D97" w14:textId="77777777" w:rsidR="00C53245" w:rsidRPr="00C53245" w:rsidRDefault="00C53245" w:rsidP="00C53245">
            <w:pPr>
              <w:rPr>
                <w:rFonts w:cs="Arial"/>
                <w:szCs w:val="20"/>
              </w:rPr>
            </w:pPr>
            <w:r w:rsidRPr="00C53245">
              <w:rPr>
                <w:rFonts w:cs="Arial"/>
                <w:szCs w:val="20"/>
              </w:rPr>
              <w:t xml:space="preserve">Response to Comment 1- </w:t>
            </w:r>
          </w:p>
          <w:p w14:paraId="0213FD38" w14:textId="77777777" w:rsidR="00C53245" w:rsidRPr="00C53245" w:rsidRDefault="00C53245" w:rsidP="00C53245">
            <w:pPr>
              <w:rPr>
                <w:rFonts w:cs="Arial"/>
                <w:szCs w:val="20"/>
              </w:rPr>
            </w:pPr>
            <w:r w:rsidRPr="00C53245">
              <w:rPr>
                <w:rFonts w:cs="Arial"/>
                <w:szCs w:val="20"/>
              </w:rPr>
              <w:t xml:space="preserve">Many thanks for your representation. With regards to the comments made regarding the appropriateness of FWACV being reflected as a Direct Code Service to our Distribution Network customers, we understand that Mod0793S amended section F of the Offtake Arrangements Document. </w:t>
            </w:r>
          </w:p>
          <w:p w14:paraId="53E60C22" w14:textId="77777777" w:rsidR="00C53245" w:rsidRPr="00C53245" w:rsidRDefault="00C53245" w:rsidP="00C53245">
            <w:pPr>
              <w:rPr>
                <w:rFonts w:cs="Arial"/>
                <w:szCs w:val="20"/>
              </w:rPr>
            </w:pPr>
          </w:p>
          <w:p w14:paraId="3B6C5670" w14:textId="77777777" w:rsidR="00C53245" w:rsidRPr="00C53245" w:rsidRDefault="00C53245" w:rsidP="00C53245">
            <w:pPr>
              <w:rPr>
                <w:rFonts w:cs="Arial"/>
                <w:szCs w:val="20"/>
              </w:rPr>
            </w:pPr>
            <w:r w:rsidRPr="00C53245">
              <w:rPr>
                <w:rFonts w:cs="Arial"/>
                <w:szCs w:val="20"/>
              </w:rPr>
              <w:t>These updates reflect that the obligation to calculate and publish Calorific Values is one the DNOs are now responsible for, with the CDSP having a new CDSP Function to ensure we support the DNOs to perform this activity. With that in mind, whilst the responsibility of calculating CVs may originate in the Thermal Energy Regulations, it would be logical to reflect the new FWACV service as a Direct Code Service being provided by the CDSP to Distribution Network customers, due to changes that have been made, and CDSP Function that has been added, to the UNC – primarily in OAD, Section F.</w:t>
            </w:r>
          </w:p>
          <w:p w14:paraId="463CC840" w14:textId="77777777" w:rsidR="00C53245" w:rsidRPr="00C53245" w:rsidRDefault="00C53245" w:rsidP="00C53245">
            <w:pPr>
              <w:rPr>
                <w:rFonts w:cs="Arial"/>
                <w:szCs w:val="20"/>
              </w:rPr>
            </w:pPr>
          </w:p>
          <w:p w14:paraId="24DB169E" w14:textId="77777777" w:rsidR="00C53245" w:rsidRPr="00C53245" w:rsidRDefault="00C53245" w:rsidP="00C53245">
            <w:pPr>
              <w:rPr>
                <w:rFonts w:cs="Arial"/>
                <w:szCs w:val="20"/>
              </w:rPr>
            </w:pPr>
            <w:r w:rsidRPr="00C53245">
              <w:rPr>
                <w:rFonts w:cs="Arial"/>
                <w:szCs w:val="20"/>
              </w:rPr>
              <w:t xml:space="preserve">Response to Comment 2 - </w:t>
            </w:r>
          </w:p>
          <w:p w14:paraId="03FF7D4D" w14:textId="77777777" w:rsidR="00C53245" w:rsidRPr="00C53245" w:rsidRDefault="00C53245" w:rsidP="00C53245">
            <w:pPr>
              <w:rPr>
                <w:rFonts w:cs="Arial"/>
                <w:szCs w:val="20"/>
              </w:rPr>
            </w:pPr>
            <w:r w:rsidRPr="00C53245">
              <w:rPr>
                <w:rFonts w:cs="Arial"/>
                <w:szCs w:val="20"/>
              </w:rPr>
              <w:t xml:space="preserve">These services are mandated under UNC but only to certain customers. As mentioned in your comment, this is intended to be used for the Class 1 read service (to be introduced as a CDSP service under Modification 0710). Using this example, if we were to charge these services (Class 1 following Modification 0710 implementation) as a Direct Service – Code Services then the charges would be socialised across all of the customers that the Service  Area relates to – for example if we added this service to Service Area 1 then 100% Shippers would fund the service when in reality the service is only used by c. 20% of Shippers.  </w:t>
            </w:r>
          </w:p>
          <w:p w14:paraId="7B76948A" w14:textId="77777777" w:rsidR="00C53245" w:rsidRPr="00C53245" w:rsidRDefault="00C53245" w:rsidP="00C53245">
            <w:pPr>
              <w:rPr>
                <w:rFonts w:cs="Arial"/>
                <w:szCs w:val="20"/>
              </w:rPr>
            </w:pPr>
            <w:r w:rsidRPr="00C53245">
              <w:rPr>
                <w:rFonts w:cs="Arial"/>
                <w:szCs w:val="20"/>
              </w:rPr>
              <w:t xml:space="preserve">As these are services that are only taken by a small number of customers at any one time it seems appropriate to charge for these services under Service Area 22 where the customers using the service will receive the charge (which aligns with the current Class 1 read service charging approach).  </w:t>
            </w:r>
          </w:p>
          <w:p w14:paraId="0F2D5A5D" w14:textId="77777777" w:rsidR="00C53245" w:rsidRPr="00C53245" w:rsidRDefault="00C53245" w:rsidP="00C53245">
            <w:pPr>
              <w:rPr>
                <w:rFonts w:cs="Arial"/>
                <w:szCs w:val="20"/>
              </w:rPr>
            </w:pPr>
            <w:r w:rsidRPr="00C53245">
              <w:rPr>
                <w:rFonts w:cs="Arial"/>
                <w:szCs w:val="20"/>
              </w:rPr>
              <w:t xml:space="preserve">Service Area 22 relates to Specific Services which must be ordered by the customer in order to trigger the service to be delivered and the charges to be invoiced. </w:t>
            </w:r>
          </w:p>
          <w:p w14:paraId="59F0485F" w14:textId="77777777" w:rsidR="00C53245" w:rsidRPr="00C53245" w:rsidRDefault="00C53245" w:rsidP="00C53245">
            <w:pPr>
              <w:rPr>
                <w:rFonts w:cs="Arial"/>
                <w:szCs w:val="20"/>
              </w:rPr>
            </w:pPr>
            <w:r w:rsidRPr="00C53245">
              <w:rPr>
                <w:rFonts w:cs="Arial"/>
                <w:szCs w:val="20"/>
              </w:rPr>
              <w:t xml:space="preserve">As these are services that are mandated to be delivered under UNC the service will be provided regardless of whether a Specific Service is ordered, thus creating a risk that the service is provided but no invoice triggered to collect the charges. </w:t>
            </w:r>
          </w:p>
          <w:p w14:paraId="72155341" w14:textId="77777777" w:rsidR="00C53245" w:rsidRPr="00C53245" w:rsidRDefault="00C53245" w:rsidP="00C53245">
            <w:pPr>
              <w:rPr>
                <w:rFonts w:cs="Arial"/>
                <w:szCs w:val="20"/>
              </w:rPr>
            </w:pPr>
            <w:r w:rsidRPr="00C53245">
              <w:rPr>
                <w:rFonts w:cs="Arial"/>
                <w:szCs w:val="20"/>
              </w:rPr>
              <w:t xml:space="preserve">By introducing Mandatory Specific Services as a subset of Specific Services we can still charge the customer taking the service but we remove the need for the service to be ordered as a specific service and thus reduce the risk of not being able to invoice. </w:t>
            </w:r>
          </w:p>
          <w:p w14:paraId="3727D049" w14:textId="77777777" w:rsidR="00C53245" w:rsidRPr="00C53245" w:rsidRDefault="00C53245" w:rsidP="00C53245">
            <w:pPr>
              <w:rPr>
                <w:rFonts w:cs="Arial"/>
                <w:szCs w:val="20"/>
              </w:rPr>
            </w:pPr>
            <w:r w:rsidRPr="00C53245">
              <w:rPr>
                <w:rFonts w:cs="Arial"/>
                <w:szCs w:val="20"/>
              </w:rPr>
              <w:t xml:space="preserve">It should be noted that any services that fall into this category will be identified in the Service Description Table, Specific Services tab by prefixing the description of the service with the words ‘this is a Mandatory Specific Service’. </w:t>
            </w:r>
          </w:p>
          <w:p w14:paraId="0D6E5B1C" w14:textId="77777777" w:rsidR="00C53245" w:rsidRPr="00C53245" w:rsidRDefault="00C53245" w:rsidP="00C53245">
            <w:pPr>
              <w:rPr>
                <w:rFonts w:cs="Arial"/>
                <w:szCs w:val="20"/>
              </w:rPr>
            </w:pPr>
          </w:p>
          <w:p w14:paraId="3F9BAC8E" w14:textId="5DAA0BCD" w:rsidR="008C7AEE" w:rsidRPr="00BC3CAC" w:rsidRDefault="00C53245" w:rsidP="00C53245">
            <w:pPr>
              <w:rPr>
                <w:rFonts w:cs="Arial"/>
                <w:szCs w:val="20"/>
              </w:rPr>
            </w:pPr>
            <w:r w:rsidRPr="00C53245">
              <w:rPr>
                <w:rFonts w:cs="Arial"/>
                <w:szCs w:val="20"/>
              </w:rPr>
              <w:t xml:space="preserve">As </w:t>
            </w:r>
            <w:proofErr w:type="gramStart"/>
            <w:r w:rsidRPr="00C53245">
              <w:rPr>
                <w:rFonts w:cs="Arial"/>
                <w:szCs w:val="20"/>
              </w:rPr>
              <w:t>requested</w:t>
            </w:r>
            <w:proofErr w:type="gramEnd"/>
            <w:r w:rsidRPr="00C53245">
              <w:rPr>
                <w:rFonts w:cs="Arial"/>
                <w:szCs w:val="20"/>
              </w:rPr>
              <w:t xml:space="preserve"> the words ‘by a Customer’ have been added to the newly inserted paragraph 2.3.2.</w:t>
            </w:r>
          </w:p>
        </w:tc>
      </w:tr>
    </w:tbl>
    <w:p w14:paraId="3CBB97F5" w14:textId="77777777" w:rsidR="008C7AEE" w:rsidRDefault="008C7AEE" w:rsidP="008C7AEE"/>
    <w:p w14:paraId="03C163E8" w14:textId="77777777" w:rsidR="008C7AEE" w:rsidRDefault="008C7AEE" w:rsidP="008C7AEE">
      <w:r w:rsidRPr="00407C41">
        <w:t xml:space="preserve">Please send the completed </w:t>
      </w:r>
      <w:r>
        <w:t>representation response to</w:t>
      </w:r>
      <w:r w:rsidRPr="00407C41">
        <w:t xml:space="preserve"> </w:t>
      </w:r>
      <w:hyperlink r:id="rId13" w:history="1">
        <w:r w:rsidRPr="0040334E">
          <w:rPr>
            <w:rStyle w:val="Hyperlink"/>
          </w:rPr>
          <w:t>uklink@xoserve.com</w:t>
        </w:r>
      </w:hyperlink>
      <w:r>
        <w:t xml:space="preserve"> </w:t>
      </w:r>
    </w:p>
    <w:p w14:paraId="2D225CDA" w14:textId="77777777" w:rsidR="008C7AEE" w:rsidRDefault="008C7AEE" w:rsidP="008C7AEE"/>
    <w:p w14:paraId="43E5E417" w14:textId="77777777" w:rsidR="00F132E3" w:rsidRDefault="00F132E3" w:rsidP="008C7AEE"/>
    <w:p w14:paraId="7DDA29D4" w14:textId="77777777" w:rsidR="00F132E3" w:rsidRDefault="00F132E3" w:rsidP="008C7AEE"/>
    <w:p w14:paraId="1C093246" w14:textId="77777777" w:rsidR="00CE16AC" w:rsidRDefault="00CE16AC" w:rsidP="00CE16AC">
      <w:r w:rsidRPr="00DC3098">
        <w:rPr>
          <w:rStyle w:val="Heading1Char"/>
        </w:rPr>
        <w:lastRenderedPageBreak/>
        <w:t>Change Representation</w:t>
      </w:r>
      <w:r w:rsidRPr="00310A64">
        <w:t xml:space="preserve"> </w:t>
      </w:r>
    </w:p>
    <w:p w14:paraId="27DA707D" w14:textId="77777777" w:rsidR="00CE16AC" w:rsidRPr="006B18D0" w:rsidRDefault="00CE16AC" w:rsidP="00CE16AC">
      <w:r>
        <w:t>(T</w:t>
      </w:r>
      <w:r w:rsidRPr="006B18D0">
        <w:t>o be completed by User and returned for response)</w:t>
      </w:r>
    </w:p>
    <w:tbl>
      <w:tblPr>
        <w:tblStyle w:val="TableGrid"/>
        <w:tblW w:w="5018" w:type="pct"/>
        <w:tblInd w:w="-34" w:type="dxa"/>
        <w:tblLayout w:type="fixed"/>
        <w:tblLook w:val="04A0" w:firstRow="1" w:lastRow="0" w:firstColumn="1" w:lastColumn="0" w:noHBand="0" w:noVBand="1"/>
      </w:tblPr>
      <w:tblGrid>
        <w:gridCol w:w="2566"/>
        <w:gridCol w:w="1925"/>
        <w:gridCol w:w="1123"/>
        <w:gridCol w:w="4880"/>
      </w:tblGrid>
      <w:tr w:rsidR="00CE16AC" w:rsidRPr="00BC3CAC" w14:paraId="0A1E3F62" w14:textId="77777777" w:rsidTr="009912CC">
        <w:trPr>
          <w:trHeight w:val="403"/>
        </w:trPr>
        <w:tc>
          <w:tcPr>
            <w:tcW w:w="1223" w:type="pct"/>
            <w:vMerge w:val="restart"/>
            <w:shd w:val="clear" w:color="auto" w:fill="B2ECFB" w:themeFill="accent5" w:themeFillTint="66"/>
            <w:vAlign w:val="center"/>
          </w:tcPr>
          <w:p w14:paraId="021A22B6" w14:textId="77777777" w:rsidR="00CE16AC" w:rsidRPr="00093D75" w:rsidRDefault="00CE16AC" w:rsidP="009912CC">
            <w:pPr>
              <w:jc w:val="right"/>
              <w:rPr>
                <w:rFonts w:cs="Arial"/>
              </w:rPr>
            </w:pPr>
            <w:r w:rsidRPr="00093D75">
              <w:rPr>
                <w:rFonts w:cs="Arial"/>
              </w:rPr>
              <w:t>User Contact</w:t>
            </w:r>
            <w:r>
              <w:rPr>
                <w:rFonts w:cs="Arial"/>
              </w:rPr>
              <w:t xml:space="preserve"> Details:</w:t>
            </w:r>
          </w:p>
        </w:tc>
        <w:tc>
          <w:tcPr>
            <w:tcW w:w="917" w:type="pct"/>
            <w:shd w:val="clear" w:color="auto" w:fill="B2ECFB" w:themeFill="accent5" w:themeFillTint="66"/>
            <w:vAlign w:val="center"/>
          </w:tcPr>
          <w:p w14:paraId="3FB2558B" w14:textId="77777777" w:rsidR="00CE16AC" w:rsidRDefault="00CE16AC" w:rsidP="009912CC">
            <w:pPr>
              <w:jc w:val="right"/>
              <w:rPr>
                <w:rFonts w:cs="Arial"/>
              </w:rPr>
            </w:pPr>
            <w:r>
              <w:rPr>
                <w:rFonts w:cs="Arial"/>
              </w:rPr>
              <w:t>Organisation:</w:t>
            </w:r>
          </w:p>
        </w:tc>
        <w:tc>
          <w:tcPr>
            <w:tcW w:w="2860" w:type="pct"/>
            <w:gridSpan w:val="2"/>
            <w:vAlign w:val="center"/>
          </w:tcPr>
          <w:p w14:paraId="37887C88" w14:textId="75CD7B03" w:rsidR="00CE16AC" w:rsidRPr="00BC3CAC" w:rsidRDefault="0095676B" w:rsidP="009912CC">
            <w:pPr>
              <w:rPr>
                <w:rFonts w:cs="Arial"/>
              </w:rPr>
            </w:pPr>
            <w:r w:rsidRPr="0095676B">
              <w:rPr>
                <w:rFonts w:cs="Arial"/>
              </w:rPr>
              <w:t>Northern Gas Networks</w:t>
            </w:r>
          </w:p>
        </w:tc>
      </w:tr>
      <w:tr w:rsidR="00CE16AC" w:rsidRPr="00BC3CAC" w14:paraId="491E7C63" w14:textId="77777777" w:rsidTr="009912CC">
        <w:trPr>
          <w:trHeight w:val="403"/>
        </w:trPr>
        <w:tc>
          <w:tcPr>
            <w:tcW w:w="1223" w:type="pct"/>
            <w:vMerge/>
            <w:shd w:val="clear" w:color="auto" w:fill="B2ECFB" w:themeFill="accent5" w:themeFillTint="66"/>
            <w:vAlign w:val="center"/>
          </w:tcPr>
          <w:p w14:paraId="45723B23" w14:textId="77777777" w:rsidR="00CE16AC" w:rsidRPr="00093D75" w:rsidRDefault="00CE16AC" w:rsidP="009912CC">
            <w:pPr>
              <w:jc w:val="right"/>
              <w:rPr>
                <w:rFonts w:cs="Arial"/>
              </w:rPr>
            </w:pPr>
          </w:p>
        </w:tc>
        <w:tc>
          <w:tcPr>
            <w:tcW w:w="917" w:type="pct"/>
            <w:shd w:val="clear" w:color="auto" w:fill="B2ECFB" w:themeFill="accent5" w:themeFillTint="66"/>
            <w:vAlign w:val="center"/>
          </w:tcPr>
          <w:p w14:paraId="4A5391D2" w14:textId="77777777" w:rsidR="00CE16AC" w:rsidRDefault="00CE16AC" w:rsidP="009912CC">
            <w:pPr>
              <w:jc w:val="right"/>
              <w:rPr>
                <w:rFonts w:cs="Arial"/>
              </w:rPr>
            </w:pPr>
            <w:r>
              <w:rPr>
                <w:rFonts w:cs="Arial"/>
              </w:rPr>
              <w:t>Name:</w:t>
            </w:r>
          </w:p>
        </w:tc>
        <w:tc>
          <w:tcPr>
            <w:tcW w:w="2860" w:type="pct"/>
            <w:gridSpan w:val="2"/>
            <w:vAlign w:val="center"/>
          </w:tcPr>
          <w:p w14:paraId="030DF28B" w14:textId="6B6C2FA3" w:rsidR="00CE16AC" w:rsidRPr="00BC3CAC" w:rsidRDefault="00CF47CB" w:rsidP="009912CC">
            <w:pPr>
              <w:rPr>
                <w:rFonts w:cs="Arial"/>
              </w:rPr>
            </w:pPr>
            <w:r w:rsidRPr="00CF47CB">
              <w:rPr>
                <w:rFonts w:cs="Arial"/>
              </w:rPr>
              <w:t>Ben Mulcahy</w:t>
            </w:r>
          </w:p>
        </w:tc>
      </w:tr>
      <w:tr w:rsidR="00CE16AC" w:rsidRPr="00BC3CAC" w14:paraId="7D7076DA" w14:textId="77777777" w:rsidTr="009912CC">
        <w:trPr>
          <w:trHeight w:val="403"/>
        </w:trPr>
        <w:tc>
          <w:tcPr>
            <w:tcW w:w="1223" w:type="pct"/>
            <w:vMerge/>
            <w:shd w:val="clear" w:color="auto" w:fill="B2ECFB" w:themeFill="accent5" w:themeFillTint="66"/>
            <w:vAlign w:val="center"/>
          </w:tcPr>
          <w:p w14:paraId="3196BD28" w14:textId="77777777" w:rsidR="00CE16AC" w:rsidRPr="00093D75" w:rsidRDefault="00CE16AC" w:rsidP="009912CC">
            <w:pPr>
              <w:jc w:val="right"/>
              <w:rPr>
                <w:rFonts w:cs="Arial"/>
              </w:rPr>
            </w:pPr>
          </w:p>
        </w:tc>
        <w:tc>
          <w:tcPr>
            <w:tcW w:w="917" w:type="pct"/>
            <w:shd w:val="clear" w:color="auto" w:fill="B2ECFB" w:themeFill="accent5" w:themeFillTint="66"/>
            <w:vAlign w:val="center"/>
          </w:tcPr>
          <w:p w14:paraId="7EE3742E" w14:textId="77777777" w:rsidR="00CE16AC" w:rsidRDefault="00CE16AC" w:rsidP="009912CC">
            <w:pPr>
              <w:jc w:val="right"/>
              <w:rPr>
                <w:rFonts w:cs="Arial"/>
              </w:rPr>
            </w:pPr>
            <w:r>
              <w:rPr>
                <w:rFonts w:cs="Arial"/>
              </w:rPr>
              <w:t>Email:</w:t>
            </w:r>
          </w:p>
        </w:tc>
        <w:tc>
          <w:tcPr>
            <w:tcW w:w="2860" w:type="pct"/>
            <w:gridSpan w:val="2"/>
            <w:vAlign w:val="center"/>
          </w:tcPr>
          <w:p w14:paraId="76ED01F1" w14:textId="464F67FC" w:rsidR="00CE16AC" w:rsidRPr="00BC3CAC" w:rsidRDefault="00CF47CB" w:rsidP="009912CC">
            <w:pPr>
              <w:rPr>
                <w:rFonts w:cs="Arial"/>
              </w:rPr>
            </w:pPr>
            <w:r w:rsidRPr="00CF47CB">
              <w:rPr>
                <w:rFonts w:cs="Arial"/>
              </w:rPr>
              <w:t>bmulcahy@northerngas.co.uk</w:t>
            </w:r>
          </w:p>
        </w:tc>
      </w:tr>
      <w:tr w:rsidR="00CE16AC" w:rsidRPr="00BC3CAC" w14:paraId="3413282C" w14:textId="77777777" w:rsidTr="009912CC">
        <w:trPr>
          <w:trHeight w:val="403"/>
        </w:trPr>
        <w:tc>
          <w:tcPr>
            <w:tcW w:w="1223" w:type="pct"/>
            <w:vMerge/>
            <w:shd w:val="clear" w:color="auto" w:fill="B2ECFB" w:themeFill="accent5" w:themeFillTint="66"/>
            <w:vAlign w:val="center"/>
          </w:tcPr>
          <w:p w14:paraId="5E8C9695" w14:textId="77777777" w:rsidR="00CE16AC" w:rsidRPr="00093D75" w:rsidRDefault="00CE16AC" w:rsidP="009912CC">
            <w:pPr>
              <w:jc w:val="right"/>
              <w:rPr>
                <w:rFonts w:cs="Arial"/>
              </w:rPr>
            </w:pPr>
          </w:p>
        </w:tc>
        <w:tc>
          <w:tcPr>
            <w:tcW w:w="917" w:type="pct"/>
            <w:shd w:val="clear" w:color="auto" w:fill="B2ECFB" w:themeFill="accent5" w:themeFillTint="66"/>
            <w:vAlign w:val="center"/>
          </w:tcPr>
          <w:p w14:paraId="5279C90A" w14:textId="77777777" w:rsidR="00CE16AC" w:rsidRDefault="00CE16AC" w:rsidP="009912CC">
            <w:pPr>
              <w:jc w:val="right"/>
              <w:rPr>
                <w:rFonts w:cs="Arial"/>
              </w:rPr>
            </w:pPr>
            <w:r>
              <w:rPr>
                <w:rFonts w:cs="Arial"/>
              </w:rPr>
              <w:t>Telephone:</w:t>
            </w:r>
          </w:p>
        </w:tc>
        <w:tc>
          <w:tcPr>
            <w:tcW w:w="2860" w:type="pct"/>
            <w:gridSpan w:val="2"/>
            <w:vAlign w:val="center"/>
          </w:tcPr>
          <w:p w14:paraId="25226897" w14:textId="779B8C6D" w:rsidR="00CE16AC" w:rsidRPr="00BC3CAC" w:rsidRDefault="00CF47CB" w:rsidP="009912CC">
            <w:pPr>
              <w:rPr>
                <w:rFonts w:cs="Arial"/>
              </w:rPr>
            </w:pPr>
            <w:r w:rsidRPr="00CF47CB">
              <w:rPr>
                <w:rFonts w:cs="Arial"/>
              </w:rPr>
              <w:t>07548107181</w:t>
            </w:r>
          </w:p>
        </w:tc>
      </w:tr>
      <w:tr w:rsidR="00CE16AC" w:rsidRPr="00BC3CAC" w14:paraId="27D7B14D" w14:textId="77777777" w:rsidTr="009912CC">
        <w:trPr>
          <w:trHeight w:val="403"/>
        </w:trPr>
        <w:tc>
          <w:tcPr>
            <w:tcW w:w="1223" w:type="pct"/>
            <w:shd w:val="clear" w:color="auto" w:fill="B2ECFB" w:themeFill="accent5" w:themeFillTint="66"/>
            <w:vAlign w:val="center"/>
          </w:tcPr>
          <w:p w14:paraId="5DF8E61E" w14:textId="77777777" w:rsidR="00CE16AC" w:rsidRPr="00093D75" w:rsidRDefault="00CE16AC" w:rsidP="009912CC">
            <w:pPr>
              <w:jc w:val="right"/>
              <w:rPr>
                <w:rFonts w:cs="Arial"/>
              </w:rPr>
            </w:pPr>
            <w:r w:rsidRPr="00093D75">
              <w:rPr>
                <w:rFonts w:cs="Arial"/>
              </w:rPr>
              <w:t>Representation Status</w:t>
            </w:r>
            <w:r>
              <w:rPr>
                <w:rFonts w:cs="Arial"/>
              </w:rPr>
              <w:t>:</w:t>
            </w:r>
          </w:p>
        </w:tc>
        <w:tc>
          <w:tcPr>
            <w:tcW w:w="3777" w:type="pct"/>
            <w:gridSpan w:val="3"/>
            <w:vAlign w:val="center"/>
          </w:tcPr>
          <w:p w14:paraId="30A0E757" w14:textId="016B3647" w:rsidR="00CE16AC" w:rsidRPr="00BC3CAC" w:rsidRDefault="00FB2080" w:rsidP="009912CC">
            <w:pPr>
              <w:rPr>
                <w:rFonts w:cs="Arial"/>
              </w:rPr>
            </w:pPr>
            <w:r w:rsidRPr="00FB2080">
              <w:rPr>
                <w:rFonts w:cs="Arial"/>
              </w:rPr>
              <w:t>Neutral</w:t>
            </w:r>
          </w:p>
        </w:tc>
      </w:tr>
      <w:tr w:rsidR="00CE16AC" w:rsidRPr="00BC3CAC" w14:paraId="33AD74F4" w14:textId="77777777" w:rsidTr="009912CC">
        <w:trPr>
          <w:trHeight w:val="403"/>
        </w:trPr>
        <w:tc>
          <w:tcPr>
            <w:tcW w:w="1223" w:type="pct"/>
            <w:shd w:val="clear" w:color="auto" w:fill="B2ECFB" w:themeFill="accent5" w:themeFillTint="66"/>
            <w:vAlign w:val="center"/>
          </w:tcPr>
          <w:p w14:paraId="18B98F65" w14:textId="77777777" w:rsidR="00CE16AC" w:rsidRPr="00093D75" w:rsidRDefault="00CE16AC" w:rsidP="009912CC">
            <w:pPr>
              <w:jc w:val="right"/>
              <w:rPr>
                <w:rFonts w:cs="Arial"/>
              </w:rPr>
            </w:pPr>
            <w:r w:rsidRPr="00093D75">
              <w:rPr>
                <w:rFonts w:cs="Arial"/>
              </w:rPr>
              <w:t>Representation Publication</w:t>
            </w:r>
            <w:r>
              <w:rPr>
                <w:rFonts w:cs="Arial"/>
              </w:rPr>
              <w:t>:</w:t>
            </w:r>
          </w:p>
        </w:tc>
        <w:tc>
          <w:tcPr>
            <w:tcW w:w="3777" w:type="pct"/>
            <w:gridSpan w:val="3"/>
            <w:vAlign w:val="center"/>
          </w:tcPr>
          <w:p w14:paraId="21BEE6EA" w14:textId="7F5CE91B" w:rsidR="00CE16AC" w:rsidRPr="00BC3CAC" w:rsidRDefault="00CF47CB" w:rsidP="009912CC">
            <w:pPr>
              <w:rPr>
                <w:rFonts w:cs="Arial"/>
                <w:szCs w:val="20"/>
              </w:rPr>
            </w:pPr>
            <w:r>
              <w:rPr>
                <w:rFonts w:cs="Arial"/>
                <w:szCs w:val="20"/>
              </w:rPr>
              <w:t>Publish</w:t>
            </w:r>
          </w:p>
        </w:tc>
      </w:tr>
      <w:tr w:rsidR="00CE16AC" w:rsidRPr="00BC3CAC" w14:paraId="7A54D54B" w14:textId="77777777" w:rsidTr="009912CC">
        <w:trPr>
          <w:trHeight w:val="403"/>
        </w:trPr>
        <w:tc>
          <w:tcPr>
            <w:tcW w:w="1223" w:type="pct"/>
            <w:shd w:val="clear" w:color="auto" w:fill="B2ECFB" w:themeFill="accent5" w:themeFillTint="66"/>
            <w:vAlign w:val="center"/>
          </w:tcPr>
          <w:p w14:paraId="206C753B" w14:textId="77777777" w:rsidR="00CE16AC" w:rsidRPr="00093D75" w:rsidRDefault="00CE16AC" w:rsidP="009912CC">
            <w:pPr>
              <w:jc w:val="right"/>
              <w:rPr>
                <w:rFonts w:cs="Arial"/>
              </w:rPr>
            </w:pPr>
            <w:r w:rsidRPr="00093D75">
              <w:rPr>
                <w:rFonts w:cs="Arial"/>
              </w:rPr>
              <w:t>Representation</w:t>
            </w:r>
            <w:r>
              <w:rPr>
                <w:rFonts w:cs="Arial"/>
              </w:rPr>
              <w:t xml:space="preserve"> Comments:</w:t>
            </w:r>
          </w:p>
        </w:tc>
        <w:tc>
          <w:tcPr>
            <w:tcW w:w="3777" w:type="pct"/>
            <w:gridSpan w:val="3"/>
            <w:vAlign w:val="center"/>
          </w:tcPr>
          <w:p w14:paraId="7BDA21EF" w14:textId="3692295D" w:rsidR="00CE16AC" w:rsidRPr="00BC3CAC" w:rsidRDefault="000A04A0" w:rsidP="009912CC">
            <w:pPr>
              <w:rPr>
                <w:rFonts w:cs="Arial"/>
              </w:rPr>
            </w:pPr>
            <w:r w:rsidRPr="000A04A0">
              <w:rPr>
                <w:rFonts w:cs="Arial"/>
              </w:rPr>
              <w:t>We are unclear as to the distinction of “Mandatory Specific Service” from the existing code related services. The definition provided in the proposed changes to the CDSP Service Document, under in 2.3.2 states that these are ‘not ordered but are provided as mandated by UNC’, which seems unclear and needs additional clarity.</w:t>
            </w:r>
          </w:p>
        </w:tc>
      </w:tr>
      <w:tr w:rsidR="00CE16AC" w:rsidRPr="00BC3CAC" w14:paraId="7C0D5818" w14:textId="77777777" w:rsidTr="009912CC">
        <w:trPr>
          <w:trHeight w:val="403"/>
        </w:trPr>
        <w:tc>
          <w:tcPr>
            <w:tcW w:w="1223" w:type="pct"/>
            <w:shd w:val="clear" w:color="auto" w:fill="B2ECFB" w:themeFill="accent5" w:themeFillTint="66"/>
            <w:vAlign w:val="center"/>
          </w:tcPr>
          <w:p w14:paraId="238787AC" w14:textId="77777777" w:rsidR="00CE16AC" w:rsidRPr="00093D75" w:rsidRDefault="00CE16AC" w:rsidP="009912CC">
            <w:pPr>
              <w:jc w:val="right"/>
              <w:rPr>
                <w:rFonts w:cs="Arial"/>
              </w:rPr>
            </w:pPr>
            <w:r>
              <w:rPr>
                <w:rFonts w:cs="Arial"/>
              </w:rPr>
              <w:t xml:space="preserve">Confirm </w:t>
            </w:r>
            <w:r w:rsidRPr="00093D75">
              <w:rPr>
                <w:rFonts w:cs="Arial"/>
              </w:rPr>
              <w:t>Target Release Date</w:t>
            </w:r>
            <w:r>
              <w:rPr>
                <w:rFonts w:cs="Arial"/>
              </w:rPr>
              <w:t>?</w:t>
            </w:r>
          </w:p>
        </w:tc>
        <w:tc>
          <w:tcPr>
            <w:tcW w:w="1452" w:type="pct"/>
            <w:gridSpan w:val="2"/>
            <w:vAlign w:val="center"/>
          </w:tcPr>
          <w:p w14:paraId="216C9AD7" w14:textId="5BBCD9AD" w:rsidR="00CE16AC" w:rsidRDefault="00F132E3" w:rsidP="009912CC">
            <w:pPr>
              <w:rPr>
                <w:rFonts w:cs="Arial"/>
              </w:rPr>
            </w:pPr>
            <w:r w:rsidRPr="00F132E3">
              <w:rPr>
                <w:rFonts w:cs="Arial"/>
              </w:rPr>
              <w:t>N/A</w:t>
            </w:r>
          </w:p>
        </w:tc>
        <w:tc>
          <w:tcPr>
            <w:tcW w:w="2325" w:type="pct"/>
            <w:vAlign w:val="center"/>
          </w:tcPr>
          <w:p w14:paraId="5E7CFD46" w14:textId="76F79FE1" w:rsidR="00CE16AC" w:rsidRDefault="00CE16AC" w:rsidP="009912CC">
            <w:pPr>
              <w:rPr>
                <w:rFonts w:cs="Arial"/>
              </w:rPr>
            </w:pPr>
          </w:p>
        </w:tc>
      </w:tr>
    </w:tbl>
    <w:p w14:paraId="26F97F9D" w14:textId="77777777" w:rsidR="00CE16AC" w:rsidRDefault="00CE16AC" w:rsidP="00CE16AC"/>
    <w:p w14:paraId="4CA17D48" w14:textId="77777777" w:rsidR="00CE16AC" w:rsidRDefault="00CE16AC" w:rsidP="00CE16AC">
      <w:pPr>
        <w:pStyle w:val="Heading1"/>
      </w:pPr>
      <w:r w:rsidRPr="002C5A6F">
        <w:t>Xoserve’ s Response</w:t>
      </w:r>
      <w:r w:rsidRPr="00876BE6">
        <w:t xml:space="preserve"> </w:t>
      </w:r>
    </w:p>
    <w:tbl>
      <w:tblPr>
        <w:tblStyle w:val="TableGrid"/>
        <w:tblW w:w="5018" w:type="pct"/>
        <w:tblInd w:w="-34" w:type="dxa"/>
        <w:tblLayout w:type="fixed"/>
        <w:tblLook w:val="04A0" w:firstRow="1" w:lastRow="0" w:firstColumn="1" w:lastColumn="0" w:noHBand="0" w:noVBand="1"/>
      </w:tblPr>
      <w:tblGrid>
        <w:gridCol w:w="2567"/>
        <w:gridCol w:w="7927"/>
      </w:tblGrid>
      <w:tr w:rsidR="00CE16AC" w:rsidRPr="00BC3CAC" w14:paraId="13C03D22" w14:textId="77777777" w:rsidTr="009912CC">
        <w:trPr>
          <w:trHeight w:val="663"/>
        </w:trPr>
        <w:tc>
          <w:tcPr>
            <w:tcW w:w="1223" w:type="pct"/>
            <w:shd w:val="clear" w:color="auto" w:fill="B2ECFB" w:themeFill="accent5" w:themeFillTint="66"/>
            <w:vAlign w:val="center"/>
          </w:tcPr>
          <w:p w14:paraId="6A50056D" w14:textId="77777777" w:rsidR="00CE16AC" w:rsidRPr="00470388" w:rsidRDefault="00CE16AC" w:rsidP="009912CC">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2EF7DDF7" w14:textId="77777777" w:rsidR="000C47F7" w:rsidRPr="000C47F7" w:rsidRDefault="000C47F7" w:rsidP="000C47F7">
            <w:pPr>
              <w:rPr>
                <w:rFonts w:cs="Arial"/>
                <w:szCs w:val="20"/>
              </w:rPr>
            </w:pPr>
            <w:r w:rsidRPr="000C47F7">
              <w:rPr>
                <w:rFonts w:cs="Arial"/>
                <w:szCs w:val="20"/>
              </w:rPr>
              <w:t xml:space="preserve">These services are mandated under UNC but only to certain customers. As mentioned in your comment, this is intended to be used for the Class 1 read service (to be introduced as a CDSP service under Modification 0710). Using this example, if we were to charge these services (Class 1 following Modification 0710 implementation) as a Direct Service – Code Services then the charges would be socialised across all of the customers that the Service  Area relates to – for example if we added this service to Service Area 1 then 100% Shippers would fund the service when in reality the service is only used by c. 20% of Shippers.  </w:t>
            </w:r>
          </w:p>
          <w:p w14:paraId="760B18A1" w14:textId="77777777" w:rsidR="000C47F7" w:rsidRPr="000C47F7" w:rsidRDefault="000C47F7" w:rsidP="000C47F7">
            <w:pPr>
              <w:rPr>
                <w:rFonts w:cs="Arial"/>
                <w:szCs w:val="20"/>
              </w:rPr>
            </w:pPr>
            <w:r w:rsidRPr="000C47F7">
              <w:rPr>
                <w:rFonts w:cs="Arial"/>
                <w:szCs w:val="20"/>
              </w:rPr>
              <w:t xml:space="preserve">As these are services that are only taken by a small number of customers at any one time it seems appropriate to charge for these services under Service Area 22 where the customers using the service will receive the charge (which aligns with the current Class 1 read service charging approach).  </w:t>
            </w:r>
          </w:p>
          <w:p w14:paraId="22BCD8C5" w14:textId="77777777" w:rsidR="000C47F7" w:rsidRPr="000C47F7" w:rsidRDefault="000C47F7" w:rsidP="000C47F7">
            <w:pPr>
              <w:rPr>
                <w:rFonts w:cs="Arial"/>
                <w:szCs w:val="20"/>
              </w:rPr>
            </w:pPr>
            <w:r w:rsidRPr="000C47F7">
              <w:rPr>
                <w:rFonts w:cs="Arial"/>
                <w:szCs w:val="20"/>
              </w:rPr>
              <w:t xml:space="preserve">Service Area 22 relates to Specific Services which must be ordered by the customer in order to trigger the service to be delivered and the charges to be invoiced. </w:t>
            </w:r>
          </w:p>
          <w:p w14:paraId="41D4AFD8" w14:textId="77777777" w:rsidR="000C47F7" w:rsidRPr="000C47F7" w:rsidRDefault="000C47F7" w:rsidP="000C47F7">
            <w:pPr>
              <w:rPr>
                <w:rFonts w:cs="Arial"/>
                <w:szCs w:val="20"/>
              </w:rPr>
            </w:pPr>
            <w:r w:rsidRPr="000C47F7">
              <w:rPr>
                <w:rFonts w:cs="Arial"/>
                <w:szCs w:val="20"/>
              </w:rPr>
              <w:t xml:space="preserve">As these are services that are mandated to be delivered under UNC the service will be provided regardless of whether a Specific Service is ordered, thus creating a risk that the service is provided but no invoice triggered to collect the charges. </w:t>
            </w:r>
          </w:p>
          <w:p w14:paraId="176AC6BD" w14:textId="77777777" w:rsidR="000C47F7" w:rsidRPr="000C47F7" w:rsidRDefault="000C47F7" w:rsidP="000C47F7">
            <w:pPr>
              <w:rPr>
                <w:rFonts w:cs="Arial"/>
                <w:szCs w:val="20"/>
              </w:rPr>
            </w:pPr>
            <w:r w:rsidRPr="000C47F7">
              <w:rPr>
                <w:rFonts w:cs="Arial"/>
                <w:szCs w:val="20"/>
              </w:rPr>
              <w:t xml:space="preserve">By introducing Mandatory Specific Services as a subset of Specific Services we can still charge the customer taking the service but we remove the need for the service to be ordered as a specific service and thus reduce the risk of not being able to invoice. </w:t>
            </w:r>
          </w:p>
          <w:p w14:paraId="76570F42" w14:textId="77777777" w:rsidR="000C47F7" w:rsidRPr="000C47F7" w:rsidRDefault="000C47F7" w:rsidP="000C47F7">
            <w:pPr>
              <w:rPr>
                <w:rFonts w:cs="Arial"/>
                <w:szCs w:val="20"/>
              </w:rPr>
            </w:pPr>
            <w:r w:rsidRPr="000C47F7">
              <w:rPr>
                <w:rFonts w:cs="Arial"/>
                <w:szCs w:val="20"/>
              </w:rPr>
              <w:t xml:space="preserve">It should be noted that any services that fall into this category will be identified in the Service Description Table, Specific Services tab by prefixing the description of the service with the words ‘this is a Mandatory Specific Service’. </w:t>
            </w:r>
          </w:p>
          <w:p w14:paraId="04F14593" w14:textId="77777777" w:rsidR="000C47F7" w:rsidRPr="000C47F7" w:rsidRDefault="000C47F7" w:rsidP="000C47F7">
            <w:pPr>
              <w:rPr>
                <w:rFonts w:cs="Arial"/>
                <w:szCs w:val="20"/>
              </w:rPr>
            </w:pPr>
          </w:p>
          <w:p w14:paraId="1AED1160" w14:textId="3706CFC6" w:rsidR="00CE16AC" w:rsidRPr="00BC3CAC" w:rsidRDefault="000C47F7" w:rsidP="000C47F7">
            <w:pPr>
              <w:rPr>
                <w:rFonts w:cs="Arial"/>
                <w:szCs w:val="20"/>
              </w:rPr>
            </w:pPr>
            <w:r w:rsidRPr="000C47F7">
              <w:rPr>
                <w:rFonts w:cs="Arial"/>
                <w:szCs w:val="20"/>
              </w:rPr>
              <w:t xml:space="preserve">As </w:t>
            </w:r>
            <w:proofErr w:type="gramStart"/>
            <w:r w:rsidRPr="000C47F7">
              <w:rPr>
                <w:rFonts w:cs="Arial"/>
                <w:szCs w:val="20"/>
              </w:rPr>
              <w:t>requested</w:t>
            </w:r>
            <w:proofErr w:type="gramEnd"/>
            <w:r w:rsidRPr="000C47F7">
              <w:rPr>
                <w:rFonts w:cs="Arial"/>
                <w:szCs w:val="20"/>
              </w:rPr>
              <w:t xml:space="preserve"> the words ‘by a Customer’ have been added to the newly inserted paragraph 2.3.2.</w:t>
            </w:r>
          </w:p>
        </w:tc>
      </w:tr>
    </w:tbl>
    <w:p w14:paraId="50F6101A" w14:textId="77777777" w:rsidR="00CE16AC" w:rsidRDefault="00CE16AC" w:rsidP="00CE16AC"/>
    <w:p w14:paraId="0AD48B9E" w14:textId="77777777" w:rsidR="00CE16AC" w:rsidRDefault="00CE16AC" w:rsidP="00CE16AC">
      <w:r w:rsidRPr="00407C41">
        <w:t xml:space="preserve">Please send the completed </w:t>
      </w:r>
      <w:r>
        <w:t>representation response to</w:t>
      </w:r>
      <w:r w:rsidRPr="00407C41">
        <w:t xml:space="preserve"> </w:t>
      </w:r>
      <w:hyperlink r:id="rId14" w:history="1">
        <w:r w:rsidRPr="0040334E">
          <w:rPr>
            <w:rStyle w:val="Hyperlink"/>
          </w:rPr>
          <w:t>uklink@xoserve.com</w:t>
        </w:r>
      </w:hyperlink>
      <w:r>
        <w:t xml:space="preserve"> </w:t>
      </w:r>
    </w:p>
    <w:p w14:paraId="79E7FEDC" w14:textId="01B0CB33" w:rsidR="00E172B8" w:rsidRDefault="00E172B8">
      <w:r>
        <w:br w:type="page"/>
      </w:r>
    </w:p>
    <w:p w14:paraId="41F93806" w14:textId="77777777" w:rsidR="00E172B8" w:rsidRPr="000F1742" w:rsidRDefault="00E172B8" w:rsidP="00E172B8">
      <w:pPr>
        <w:pBdr>
          <w:bottom w:val="single" w:sz="8" w:space="4" w:color="3E5AA8"/>
        </w:pBdr>
        <w:spacing w:after="300" w:line="240" w:lineRule="auto"/>
        <w:contextualSpacing/>
        <w:rPr>
          <w:rFonts w:eastAsia="Times New Roman" w:cs="Times New Roman"/>
          <w:b/>
          <w:color w:val="1D3E61"/>
          <w:spacing w:val="5"/>
          <w:kern w:val="28"/>
          <w:sz w:val="52"/>
          <w:szCs w:val="52"/>
        </w:rPr>
      </w:pPr>
      <w:r w:rsidRPr="000F1742">
        <w:rPr>
          <w:rFonts w:eastAsia="Times New Roman" w:cs="Times New Roman"/>
          <w:b/>
          <w:color w:val="1D3E61"/>
          <w:spacing w:val="5"/>
          <w:kern w:val="28"/>
          <w:sz w:val="52"/>
          <w:szCs w:val="52"/>
        </w:rPr>
        <w:lastRenderedPageBreak/>
        <w:t>Version Control</w:t>
      </w:r>
    </w:p>
    <w:p w14:paraId="10E72403" w14:textId="77777777" w:rsidR="00E172B8" w:rsidRPr="000F1742" w:rsidRDefault="00E172B8" w:rsidP="00E172B8">
      <w:pPr>
        <w:keepNext/>
        <w:keepLines/>
        <w:spacing w:before="480" w:after="0"/>
        <w:outlineLvl w:val="0"/>
        <w:rPr>
          <w:rFonts w:eastAsia="Times New Roman" w:cs="Times New Roman"/>
          <w:b/>
          <w:bCs/>
          <w:color w:val="3E5AA8"/>
          <w:sz w:val="28"/>
          <w:szCs w:val="28"/>
        </w:rPr>
      </w:pPr>
      <w:r w:rsidRPr="000F1742">
        <w:rPr>
          <w:rFonts w:eastAsia="Times New Roman" w:cs="Times New Roman"/>
          <w:b/>
          <w:bCs/>
          <w:color w:val="3E5AA8"/>
          <w:sz w:val="28"/>
          <w:szCs w:val="28"/>
        </w:rPr>
        <w:t>Document</w:t>
      </w:r>
    </w:p>
    <w:tbl>
      <w:tblPr>
        <w:tblStyle w:val="TableGrid3"/>
        <w:tblW w:w="5000" w:type="pct"/>
        <w:tblLayout w:type="fixed"/>
        <w:tblLook w:val="04A0" w:firstRow="1" w:lastRow="0" w:firstColumn="1" w:lastColumn="0" w:noHBand="0" w:noVBand="1"/>
      </w:tblPr>
      <w:tblGrid>
        <w:gridCol w:w="1246"/>
        <w:gridCol w:w="1602"/>
        <w:gridCol w:w="1604"/>
        <w:gridCol w:w="1926"/>
        <w:gridCol w:w="4078"/>
      </w:tblGrid>
      <w:tr w:rsidR="00E172B8" w:rsidRPr="000F1742" w14:paraId="79798972" w14:textId="77777777" w:rsidTr="00792E4D">
        <w:trPr>
          <w:trHeight w:val="403"/>
        </w:trPr>
        <w:tc>
          <w:tcPr>
            <w:tcW w:w="596" w:type="pct"/>
            <w:shd w:val="clear" w:color="auto" w:fill="B2ECFB"/>
            <w:vAlign w:val="center"/>
          </w:tcPr>
          <w:p w14:paraId="0E5D34CD" w14:textId="77777777" w:rsidR="00E172B8" w:rsidRPr="000F1742" w:rsidRDefault="00E172B8" w:rsidP="00792E4D">
            <w:pPr>
              <w:spacing w:after="200" w:line="276" w:lineRule="auto"/>
              <w:rPr>
                <w:rFonts w:cs="Arial"/>
                <w:szCs w:val="20"/>
              </w:rPr>
            </w:pPr>
            <w:r w:rsidRPr="000F1742">
              <w:rPr>
                <w:rFonts w:cs="Arial"/>
                <w:szCs w:val="20"/>
              </w:rPr>
              <w:t>Version</w:t>
            </w:r>
          </w:p>
        </w:tc>
        <w:tc>
          <w:tcPr>
            <w:tcW w:w="766" w:type="pct"/>
            <w:shd w:val="clear" w:color="auto" w:fill="B2ECFB"/>
            <w:vAlign w:val="center"/>
          </w:tcPr>
          <w:p w14:paraId="28BF484F" w14:textId="77777777" w:rsidR="00E172B8" w:rsidRPr="000F1742" w:rsidRDefault="00E172B8" w:rsidP="00792E4D">
            <w:pPr>
              <w:spacing w:after="200" w:line="276" w:lineRule="auto"/>
              <w:rPr>
                <w:rFonts w:cs="Arial"/>
                <w:szCs w:val="20"/>
              </w:rPr>
            </w:pPr>
            <w:r w:rsidRPr="000F1742">
              <w:rPr>
                <w:rFonts w:cs="Arial"/>
                <w:szCs w:val="20"/>
              </w:rPr>
              <w:t>Status</w:t>
            </w:r>
          </w:p>
        </w:tc>
        <w:tc>
          <w:tcPr>
            <w:tcW w:w="767" w:type="pct"/>
            <w:shd w:val="clear" w:color="auto" w:fill="B2ECFB"/>
            <w:vAlign w:val="center"/>
          </w:tcPr>
          <w:p w14:paraId="4D45BC24" w14:textId="77777777" w:rsidR="00E172B8" w:rsidRPr="000F1742" w:rsidRDefault="00E172B8" w:rsidP="00792E4D">
            <w:pPr>
              <w:spacing w:after="200" w:line="276" w:lineRule="auto"/>
              <w:rPr>
                <w:rFonts w:cs="Arial"/>
                <w:szCs w:val="20"/>
              </w:rPr>
            </w:pPr>
            <w:r w:rsidRPr="000F1742">
              <w:rPr>
                <w:rFonts w:cs="Arial"/>
                <w:szCs w:val="20"/>
              </w:rPr>
              <w:t>Date</w:t>
            </w:r>
          </w:p>
        </w:tc>
        <w:tc>
          <w:tcPr>
            <w:tcW w:w="921" w:type="pct"/>
            <w:shd w:val="clear" w:color="auto" w:fill="B2ECFB"/>
            <w:vAlign w:val="center"/>
          </w:tcPr>
          <w:p w14:paraId="074F88D3" w14:textId="77777777" w:rsidR="00E172B8" w:rsidRPr="000F1742" w:rsidRDefault="00E172B8" w:rsidP="00792E4D">
            <w:pPr>
              <w:spacing w:after="200" w:line="276" w:lineRule="auto"/>
              <w:rPr>
                <w:rFonts w:cs="Arial"/>
                <w:szCs w:val="20"/>
              </w:rPr>
            </w:pPr>
            <w:r w:rsidRPr="000F1742">
              <w:rPr>
                <w:rFonts w:cs="Arial"/>
                <w:szCs w:val="20"/>
              </w:rPr>
              <w:t>Author(s)</w:t>
            </w:r>
          </w:p>
        </w:tc>
        <w:tc>
          <w:tcPr>
            <w:tcW w:w="1950" w:type="pct"/>
            <w:shd w:val="clear" w:color="auto" w:fill="B2ECFB"/>
            <w:vAlign w:val="center"/>
          </w:tcPr>
          <w:p w14:paraId="1140AEAB" w14:textId="77777777" w:rsidR="00E172B8" w:rsidRPr="000F1742" w:rsidRDefault="00E172B8" w:rsidP="00792E4D">
            <w:pPr>
              <w:spacing w:after="200" w:line="276" w:lineRule="auto"/>
              <w:rPr>
                <w:rFonts w:cs="Arial"/>
                <w:szCs w:val="20"/>
              </w:rPr>
            </w:pPr>
            <w:r w:rsidRPr="000F1742">
              <w:rPr>
                <w:rFonts w:cs="Times New Roman"/>
              </w:rPr>
              <w:t>Remarks</w:t>
            </w:r>
          </w:p>
        </w:tc>
      </w:tr>
      <w:tr w:rsidR="00E172B8" w:rsidRPr="000F1742" w14:paraId="3AD147E1" w14:textId="77777777" w:rsidTr="00792E4D">
        <w:trPr>
          <w:trHeight w:val="403"/>
        </w:trPr>
        <w:tc>
          <w:tcPr>
            <w:tcW w:w="596" w:type="pct"/>
            <w:shd w:val="clear" w:color="auto" w:fill="auto"/>
            <w:vAlign w:val="center"/>
          </w:tcPr>
          <w:p w14:paraId="469AC483" w14:textId="77777777" w:rsidR="00E172B8" w:rsidRPr="000F1742" w:rsidRDefault="00E172B8" w:rsidP="00792E4D">
            <w:pPr>
              <w:spacing w:after="200" w:line="276" w:lineRule="auto"/>
              <w:rPr>
                <w:rFonts w:cs="Arial"/>
                <w:szCs w:val="20"/>
              </w:rPr>
            </w:pPr>
          </w:p>
        </w:tc>
        <w:tc>
          <w:tcPr>
            <w:tcW w:w="766" w:type="pct"/>
            <w:shd w:val="clear" w:color="auto" w:fill="auto"/>
            <w:vAlign w:val="center"/>
          </w:tcPr>
          <w:p w14:paraId="3A71B739" w14:textId="77777777" w:rsidR="00E172B8" w:rsidRPr="000F1742" w:rsidRDefault="00E172B8" w:rsidP="00792E4D">
            <w:pPr>
              <w:spacing w:after="200" w:line="276" w:lineRule="auto"/>
              <w:rPr>
                <w:rFonts w:cs="Arial"/>
                <w:szCs w:val="20"/>
              </w:rPr>
            </w:pPr>
          </w:p>
        </w:tc>
        <w:tc>
          <w:tcPr>
            <w:tcW w:w="767" w:type="pct"/>
            <w:shd w:val="clear" w:color="auto" w:fill="auto"/>
            <w:vAlign w:val="center"/>
          </w:tcPr>
          <w:p w14:paraId="378ED32F" w14:textId="77777777" w:rsidR="00E172B8" w:rsidRPr="000F1742" w:rsidRDefault="00E172B8" w:rsidP="00792E4D">
            <w:pPr>
              <w:spacing w:after="200" w:line="276" w:lineRule="auto"/>
              <w:rPr>
                <w:rFonts w:cs="Arial"/>
                <w:szCs w:val="20"/>
              </w:rPr>
            </w:pPr>
          </w:p>
        </w:tc>
        <w:tc>
          <w:tcPr>
            <w:tcW w:w="921" w:type="pct"/>
            <w:shd w:val="clear" w:color="auto" w:fill="auto"/>
            <w:vAlign w:val="center"/>
          </w:tcPr>
          <w:p w14:paraId="7D4884DE" w14:textId="77777777" w:rsidR="00E172B8" w:rsidRPr="000F1742" w:rsidRDefault="00E172B8" w:rsidP="00792E4D">
            <w:pPr>
              <w:spacing w:after="200" w:line="276" w:lineRule="auto"/>
              <w:rPr>
                <w:rFonts w:cs="Arial"/>
                <w:szCs w:val="20"/>
              </w:rPr>
            </w:pPr>
          </w:p>
        </w:tc>
        <w:tc>
          <w:tcPr>
            <w:tcW w:w="1950" w:type="pct"/>
            <w:shd w:val="clear" w:color="auto" w:fill="auto"/>
            <w:vAlign w:val="center"/>
          </w:tcPr>
          <w:p w14:paraId="621E2DD6" w14:textId="77777777" w:rsidR="00E172B8" w:rsidRPr="000F1742" w:rsidRDefault="00E172B8" w:rsidP="00792E4D">
            <w:pPr>
              <w:spacing w:after="200" w:line="276" w:lineRule="auto"/>
              <w:rPr>
                <w:rFonts w:cs="Arial"/>
                <w:szCs w:val="20"/>
              </w:rPr>
            </w:pPr>
          </w:p>
        </w:tc>
      </w:tr>
    </w:tbl>
    <w:p w14:paraId="76700192" w14:textId="77777777" w:rsidR="00300FF2" w:rsidRDefault="00300FF2" w:rsidP="00300FF2"/>
    <w:sectPr w:rsidR="00300FF2" w:rsidSect="00A670CB">
      <w:headerReference w:type="default" r:id="rId15"/>
      <w:footerReference w:type="default" r:id="rId16"/>
      <w:pgSz w:w="11906" w:h="16838"/>
      <w:pgMar w:top="720" w:right="720" w:bottom="720" w:left="72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D5B3C" w14:textId="77777777" w:rsidR="009A0D00" w:rsidRDefault="009A0D00" w:rsidP="00324744">
      <w:pPr>
        <w:spacing w:after="0" w:line="240" w:lineRule="auto"/>
      </w:pPr>
      <w:r>
        <w:separator/>
      </w:r>
    </w:p>
  </w:endnote>
  <w:endnote w:type="continuationSeparator" w:id="0">
    <w:p w14:paraId="1C938037" w14:textId="77777777" w:rsidR="009A0D00" w:rsidRDefault="009A0D00"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FB23" w14:textId="3131C633" w:rsidR="00E31A39" w:rsidRDefault="00E31A39" w:rsidP="009E7E86">
    <w:pPr>
      <w:pStyle w:val="Footer"/>
    </w:pPr>
    <w:r>
      <w:t xml:space="preserve">v1.0 </w:t>
    </w:r>
  </w:p>
  <w:p w14:paraId="1338BE35" w14:textId="77777777" w:rsidR="00E31A39" w:rsidRDefault="00E31A39" w:rsidP="009E7E86">
    <w:pPr>
      <w:pStyle w:val="Footer"/>
    </w:pPr>
  </w:p>
  <w:p w14:paraId="609DF7B9" w14:textId="13AAB6C7" w:rsidR="009E7E86" w:rsidRPr="005D2750" w:rsidRDefault="009E7E86">
    <w:pPr>
      <w:pStyle w:val="Footer"/>
      <w:rPr>
        <w:rFonts w:ascii="Calibri" w:hAnsi="Calibri" w:cs="Calibri"/>
      </w:rPr>
    </w:pPr>
    <w:r>
      <w:t>*</w:t>
    </w:r>
    <w:r w:rsidRPr="00133A3F">
      <w:rPr>
        <w:sz w:val="20"/>
      </w:rPr>
      <w:t>Assumed impacted parties of the proposed change, all parties are encouraged to review</w:t>
    </w:r>
    <w:r>
      <w:rPr>
        <w:noProof/>
      </w:rPr>
      <mc:AlternateContent>
        <mc:Choice Requires="wps">
          <w:drawing>
            <wp:anchor distT="0" distB="0" distL="114300" distR="114300" simplePos="0" relativeHeight="251669504" behindDoc="0" locked="0" layoutInCell="1" allowOverlap="1" wp14:anchorId="20D08652" wp14:editId="20D08653">
              <wp:simplePos x="0" y="0"/>
              <wp:positionH relativeFrom="page">
                <wp:align>right</wp:align>
              </wp:positionH>
              <wp:positionV relativeFrom="paragraph">
                <wp:posOffset>376555</wp:posOffset>
              </wp:positionV>
              <wp:extent cx="7991475" cy="2571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991475"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 style="position:absolute;margin-left:578.05pt;margin-top:29.65pt;width:629.25pt;height:20.25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40d1f5 [3208]" stroked="f" strokeweight="2pt" w14:anchorId="56E08F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">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1499" w14:textId="77777777" w:rsidR="009A0D00" w:rsidRDefault="009A0D00" w:rsidP="00324744">
      <w:pPr>
        <w:spacing w:after="0" w:line="240" w:lineRule="auto"/>
      </w:pPr>
      <w:r>
        <w:separator/>
      </w:r>
    </w:p>
  </w:footnote>
  <w:footnote w:type="continuationSeparator" w:id="0">
    <w:p w14:paraId="4DA12755" w14:textId="77777777" w:rsidR="009A0D00" w:rsidRDefault="009A0D00"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97C4" w14:textId="77777777" w:rsidR="009E7E86" w:rsidRDefault="009E7E86">
    <w:pPr>
      <w:pStyle w:val="Header"/>
    </w:pPr>
    <w:r>
      <w:rPr>
        <w:noProof/>
      </w:rPr>
      <mc:AlternateContent>
        <mc:Choice Requires="wps">
          <w:drawing>
            <wp:anchor distT="0" distB="0" distL="114300" distR="114300" simplePos="0" relativeHeight="251657216" behindDoc="0" locked="0" layoutInCell="1" allowOverlap="1" wp14:anchorId="20D08650" wp14:editId="20D08651">
              <wp:simplePos x="0" y="0"/>
              <wp:positionH relativeFrom="page">
                <wp:align>right</wp:align>
              </wp:positionH>
              <wp:positionV relativeFrom="paragraph">
                <wp:posOffset>-487045</wp:posOffset>
              </wp:positionV>
              <wp:extent cx="7991475" cy="276225"/>
              <wp:effectExtent l="0" t="0" r="9525" b="9525"/>
              <wp:wrapNone/>
              <wp:docPr id="1" name="Rectangle 1"/>
              <wp:cNvGraphicFramePr/>
              <a:graphic xmlns:a="http://schemas.openxmlformats.org/drawingml/2006/main">
                <a:graphicData uri="http://schemas.microsoft.com/office/word/2010/wordprocessingShape">
                  <wps:wsp>
                    <wps:cNvSpPr/>
                    <wps:spPr>
                      <a:xfrm>
                        <a:off x="0" y="0"/>
                        <a:ext cx="7991475" cy="2762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578.05pt;margin-top:-38.35pt;width:629.25pt;height:21.7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3e5aa8 [3204]" stroked="f" strokeweight="2pt" w14:anchorId="32715D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4E"/>
    <w:multiLevelType w:val="hybridMultilevel"/>
    <w:tmpl w:val="7CFE9388"/>
    <w:lvl w:ilvl="0" w:tplc="531020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EBD1E82"/>
    <w:multiLevelType w:val="hybridMultilevel"/>
    <w:tmpl w:val="0F267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9340B0C"/>
    <w:multiLevelType w:val="hybridMultilevel"/>
    <w:tmpl w:val="C87CC3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6680648">
    <w:abstractNumId w:val="1"/>
  </w:num>
  <w:num w:numId="2" w16cid:durableId="692658900">
    <w:abstractNumId w:val="2"/>
  </w:num>
  <w:num w:numId="3" w16cid:durableId="2007827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7D5"/>
    <w:rsid w:val="000205E4"/>
    <w:rsid w:val="00032EB0"/>
    <w:rsid w:val="00046C22"/>
    <w:rsid w:val="00060EB0"/>
    <w:rsid w:val="00064147"/>
    <w:rsid w:val="0007049E"/>
    <w:rsid w:val="00073B2E"/>
    <w:rsid w:val="00077DE1"/>
    <w:rsid w:val="000906FB"/>
    <w:rsid w:val="00090F51"/>
    <w:rsid w:val="00094C32"/>
    <w:rsid w:val="000A04A0"/>
    <w:rsid w:val="000A1AD1"/>
    <w:rsid w:val="000B084D"/>
    <w:rsid w:val="000B6BC4"/>
    <w:rsid w:val="000C47F7"/>
    <w:rsid w:val="000D6642"/>
    <w:rsid w:val="000E5C0E"/>
    <w:rsid w:val="0011172A"/>
    <w:rsid w:val="00125B61"/>
    <w:rsid w:val="00144E00"/>
    <w:rsid w:val="00150CDF"/>
    <w:rsid w:val="00171741"/>
    <w:rsid w:val="001750EF"/>
    <w:rsid w:val="00195837"/>
    <w:rsid w:val="001A327C"/>
    <w:rsid w:val="001A5B01"/>
    <w:rsid w:val="001B77A1"/>
    <w:rsid w:val="001C1EC7"/>
    <w:rsid w:val="001D0AD1"/>
    <w:rsid w:val="001D2FE3"/>
    <w:rsid w:val="001F2C41"/>
    <w:rsid w:val="002015FD"/>
    <w:rsid w:val="002077AF"/>
    <w:rsid w:val="002166CD"/>
    <w:rsid w:val="002265A9"/>
    <w:rsid w:val="00226D34"/>
    <w:rsid w:val="00227818"/>
    <w:rsid w:val="00230656"/>
    <w:rsid w:val="002335F3"/>
    <w:rsid w:val="002340B8"/>
    <w:rsid w:val="00255B3D"/>
    <w:rsid w:val="00264636"/>
    <w:rsid w:val="0027495B"/>
    <w:rsid w:val="002850C9"/>
    <w:rsid w:val="002A4390"/>
    <w:rsid w:val="002A592D"/>
    <w:rsid w:val="002B52D7"/>
    <w:rsid w:val="002C2B1F"/>
    <w:rsid w:val="002C34FA"/>
    <w:rsid w:val="002C76CF"/>
    <w:rsid w:val="002D139C"/>
    <w:rsid w:val="002E471B"/>
    <w:rsid w:val="002F2C6F"/>
    <w:rsid w:val="002F5B4E"/>
    <w:rsid w:val="00300FF2"/>
    <w:rsid w:val="003165FE"/>
    <w:rsid w:val="00322652"/>
    <w:rsid w:val="00324744"/>
    <w:rsid w:val="003367C9"/>
    <w:rsid w:val="00340E29"/>
    <w:rsid w:val="0034126A"/>
    <w:rsid w:val="00341365"/>
    <w:rsid w:val="00346832"/>
    <w:rsid w:val="00355E52"/>
    <w:rsid w:val="00391CC9"/>
    <w:rsid w:val="003D62E7"/>
    <w:rsid w:val="003E223D"/>
    <w:rsid w:val="00404067"/>
    <w:rsid w:val="00413988"/>
    <w:rsid w:val="004240DF"/>
    <w:rsid w:val="00426807"/>
    <w:rsid w:val="004448A1"/>
    <w:rsid w:val="00451E65"/>
    <w:rsid w:val="0046338A"/>
    <w:rsid w:val="00490F7E"/>
    <w:rsid w:val="00494EB4"/>
    <w:rsid w:val="004A4E95"/>
    <w:rsid w:val="004B2AE0"/>
    <w:rsid w:val="004B4CA3"/>
    <w:rsid w:val="004B7E95"/>
    <w:rsid w:val="004C0A2A"/>
    <w:rsid w:val="004C44E8"/>
    <w:rsid w:val="004F04C3"/>
    <w:rsid w:val="004F3362"/>
    <w:rsid w:val="004F7498"/>
    <w:rsid w:val="00504660"/>
    <w:rsid w:val="00517F6F"/>
    <w:rsid w:val="005402EC"/>
    <w:rsid w:val="0055298E"/>
    <w:rsid w:val="00552C68"/>
    <w:rsid w:val="00563B7C"/>
    <w:rsid w:val="00564DB0"/>
    <w:rsid w:val="005742D1"/>
    <w:rsid w:val="005855FF"/>
    <w:rsid w:val="005900D6"/>
    <w:rsid w:val="005979A7"/>
    <w:rsid w:val="005A1ABE"/>
    <w:rsid w:val="005B7E17"/>
    <w:rsid w:val="005C021E"/>
    <w:rsid w:val="005D2750"/>
    <w:rsid w:val="005F362D"/>
    <w:rsid w:val="0061350F"/>
    <w:rsid w:val="00631872"/>
    <w:rsid w:val="00654734"/>
    <w:rsid w:val="00655816"/>
    <w:rsid w:val="00667228"/>
    <w:rsid w:val="00681852"/>
    <w:rsid w:val="00685B02"/>
    <w:rsid w:val="006A03F7"/>
    <w:rsid w:val="006A192B"/>
    <w:rsid w:val="006B2CF0"/>
    <w:rsid w:val="006D23B4"/>
    <w:rsid w:val="006E000C"/>
    <w:rsid w:val="00706FA4"/>
    <w:rsid w:val="00712487"/>
    <w:rsid w:val="00715C6F"/>
    <w:rsid w:val="007243D3"/>
    <w:rsid w:val="00725F39"/>
    <w:rsid w:val="007312D5"/>
    <w:rsid w:val="0073629A"/>
    <w:rsid w:val="00736C6F"/>
    <w:rsid w:val="00751950"/>
    <w:rsid w:val="0076385C"/>
    <w:rsid w:val="0078416A"/>
    <w:rsid w:val="007937FA"/>
    <w:rsid w:val="00794E17"/>
    <w:rsid w:val="007A56DB"/>
    <w:rsid w:val="007B626F"/>
    <w:rsid w:val="007C00EB"/>
    <w:rsid w:val="007C431F"/>
    <w:rsid w:val="007D4F26"/>
    <w:rsid w:val="007E5BB9"/>
    <w:rsid w:val="00807047"/>
    <w:rsid w:val="0081468C"/>
    <w:rsid w:val="00824F8B"/>
    <w:rsid w:val="00834023"/>
    <w:rsid w:val="008A0A2A"/>
    <w:rsid w:val="008A10FF"/>
    <w:rsid w:val="008B1F69"/>
    <w:rsid w:val="008B3664"/>
    <w:rsid w:val="008C4E87"/>
    <w:rsid w:val="008C7AEE"/>
    <w:rsid w:val="008D1686"/>
    <w:rsid w:val="008F79F6"/>
    <w:rsid w:val="00900EC4"/>
    <w:rsid w:val="00914150"/>
    <w:rsid w:val="00937D4A"/>
    <w:rsid w:val="00941832"/>
    <w:rsid w:val="0095676B"/>
    <w:rsid w:val="009608C5"/>
    <w:rsid w:val="009725EB"/>
    <w:rsid w:val="00992C35"/>
    <w:rsid w:val="009A0D00"/>
    <w:rsid w:val="009B64EE"/>
    <w:rsid w:val="009E027B"/>
    <w:rsid w:val="009E7E86"/>
    <w:rsid w:val="00A04625"/>
    <w:rsid w:val="00A05EAD"/>
    <w:rsid w:val="00A10083"/>
    <w:rsid w:val="00A146AF"/>
    <w:rsid w:val="00A17D96"/>
    <w:rsid w:val="00A2170F"/>
    <w:rsid w:val="00A3693C"/>
    <w:rsid w:val="00A55A01"/>
    <w:rsid w:val="00A650A0"/>
    <w:rsid w:val="00A670CB"/>
    <w:rsid w:val="00A8073D"/>
    <w:rsid w:val="00A87D8E"/>
    <w:rsid w:val="00A94A39"/>
    <w:rsid w:val="00AA1A54"/>
    <w:rsid w:val="00AA2F89"/>
    <w:rsid w:val="00AA61CB"/>
    <w:rsid w:val="00AB521D"/>
    <w:rsid w:val="00AB5B54"/>
    <w:rsid w:val="00AB63DE"/>
    <w:rsid w:val="00AC01B4"/>
    <w:rsid w:val="00AF112B"/>
    <w:rsid w:val="00B029EF"/>
    <w:rsid w:val="00B04170"/>
    <w:rsid w:val="00B10C8E"/>
    <w:rsid w:val="00B21C7C"/>
    <w:rsid w:val="00B2576F"/>
    <w:rsid w:val="00B31A2B"/>
    <w:rsid w:val="00B53E7B"/>
    <w:rsid w:val="00B56C2F"/>
    <w:rsid w:val="00B57A5E"/>
    <w:rsid w:val="00B672DC"/>
    <w:rsid w:val="00B93D80"/>
    <w:rsid w:val="00BB5AD6"/>
    <w:rsid w:val="00BC511F"/>
    <w:rsid w:val="00BC69DA"/>
    <w:rsid w:val="00BD0A45"/>
    <w:rsid w:val="00BD2DCE"/>
    <w:rsid w:val="00BE25E5"/>
    <w:rsid w:val="00BF4809"/>
    <w:rsid w:val="00BF7D0F"/>
    <w:rsid w:val="00C2564E"/>
    <w:rsid w:val="00C2795A"/>
    <w:rsid w:val="00C3291E"/>
    <w:rsid w:val="00C53245"/>
    <w:rsid w:val="00C5604B"/>
    <w:rsid w:val="00C8634B"/>
    <w:rsid w:val="00C936F0"/>
    <w:rsid w:val="00CB2B8C"/>
    <w:rsid w:val="00CE16AC"/>
    <w:rsid w:val="00CE17C6"/>
    <w:rsid w:val="00CE5DF0"/>
    <w:rsid w:val="00CF47CB"/>
    <w:rsid w:val="00D04A38"/>
    <w:rsid w:val="00D22216"/>
    <w:rsid w:val="00D32BB8"/>
    <w:rsid w:val="00D41A86"/>
    <w:rsid w:val="00D4350F"/>
    <w:rsid w:val="00D66C7E"/>
    <w:rsid w:val="00D70BA2"/>
    <w:rsid w:val="00D83A82"/>
    <w:rsid w:val="00D87E38"/>
    <w:rsid w:val="00DD2D5A"/>
    <w:rsid w:val="00DE1EE3"/>
    <w:rsid w:val="00DE3C2A"/>
    <w:rsid w:val="00DF4978"/>
    <w:rsid w:val="00DF75AA"/>
    <w:rsid w:val="00E006BB"/>
    <w:rsid w:val="00E00D1E"/>
    <w:rsid w:val="00E04E94"/>
    <w:rsid w:val="00E10505"/>
    <w:rsid w:val="00E172B8"/>
    <w:rsid w:val="00E2419E"/>
    <w:rsid w:val="00E31A39"/>
    <w:rsid w:val="00E42574"/>
    <w:rsid w:val="00E42921"/>
    <w:rsid w:val="00E53B8A"/>
    <w:rsid w:val="00E645B4"/>
    <w:rsid w:val="00E87936"/>
    <w:rsid w:val="00E94C77"/>
    <w:rsid w:val="00EA3949"/>
    <w:rsid w:val="00EA6728"/>
    <w:rsid w:val="00EB0105"/>
    <w:rsid w:val="00EB780A"/>
    <w:rsid w:val="00EB7F70"/>
    <w:rsid w:val="00EC2C95"/>
    <w:rsid w:val="00ED1F04"/>
    <w:rsid w:val="00ED4A4C"/>
    <w:rsid w:val="00EE27EA"/>
    <w:rsid w:val="00EF751D"/>
    <w:rsid w:val="00F11305"/>
    <w:rsid w:val="00F132E3"/>
    <w:rsid w:val="00F514B8"/>
    <w:rsid w:val="00F7245A"/>
    <w:rsid w:val="00F744CC"/>
    <w:rsid w:val="00F925B2"/>
    <w:rsid w:val="00F95876"/>
    <w:rsid w:val="00FA7AAB"/>
    <w:rsid w:val="00FB2080"/>
    <w:rsid w:val="00FB2578"/>
    <w:rsid w:val="00FB4BB1"/>
    <w:rsid w:val="00FC758D"/>
    <w:rsid w:val="19281A78"/>
    <w:rsid w:val="1AAB2723"/>
    <w:rsid w:val="1AC19A7E"/>
    <w:rsid w:val="2BF657A8"/>
    <w:rsid w:val="366A096B"/>
    <w:rsid w:val="5296BCD7"/>
    <w:rsid w:val="6A7EBE99"/>
    <w:rsid w:val="7CB9EEB2"/>
    <w:rsid w:val="7EBB0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D9CE6B"/>
  <w15:docId w15:val="{F2977B5E-4EFA-4D47-8DA1-D8595E55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paragraph" w:styleId="NormalWeb">
    <w:name w:val="Normal (Web)"/>
    <w:basedOn w:val="Normal"/>
    <w:uiPriority w:val="99"/>
    <w:unhideWhenUsed/>
    <w:rsid w:val="009E7E8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qFormat/>
    <w:rsid w:val="009E7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0BA2"/>
    <w:rPr>
      <w:color w:val="808080"/>
    </w:rPr>
  </w:style>
  <w:style w:type="table" w:customStyle="1" w:styleId="TableGrid3">
    <w:name w:val="Table Grid3"/>
    <w:basedOn w:val="TableNormal"/>
    <w:next w:val="TableGrid"/>
    <w:uiPriority w:val="59"/>
    <w:rsid w:val="00E172B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11F"/>
    <w:pPr>
      <w:ind w:left="720"/>
      <w:contextualSpacing/>
    </w:pPr>
  </w:style>
  <w:style w:type="character" w:styleId="UnresolvedMention">
    <w:name w:val="Unresolved Mention"/>
    <w:basedOn w:val="DefaultParagraphFont"/>
    <w:uiPriority w:val="99"/>
    <w:semiHidden/>
    <w:unhideWhenUsed/>
    <w:rsid w:val="00AC01B4"/>
    <w:rPr>
      <w:color w:val="605E5C"/>
      <w:shd w:val="clear" w:color="auto" w:fill="E1DFDD"/>
    </w:rPr>
  </w:style>
  <w:style w:type="character" w:styleId="FollowedHyperlink">
    <w:name w:val="FollowedHyperlink"/>
    <w:basedOn w:val="DefaultParagraphFont"/>
    <w:uiPriority w:val="99"/>
    <w:semiHidden/>
    <w:unhideWhenUsed/>
    <w:rsid w:val="005A1ABE"/>
    <w:rPr>
      <w:color w:val="D2232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3519">
      <w:bodyDiv w:val="1"/>
      <w:marLeft w:val="0"/>
      <w:marRight w:val="0"/>
      <w:marTop w:val="0"/>
      <w:marBottom w:val="0"/>
      <w:divBdr>
        <w:top w:val="none" w:sz="0" w:space="0" w:color="auto"/>
        <w:left w:val="none" w:sz="0" w:space="0" w:color="auto"/>
        <w:bottom w:val="none" w:sz="0" w:space="0" w:color="auto"/>
        <w:right w:val="none" w:sz="0" w:space="0" w:color="auto"/>
      </w:divBdr>
    </w:div>
    <w:div w:id="817040215">
      <w:bodyDiv w:val="1"/>
      <w:marLeft w:val="0"/>
      <w:marRight w:val="0"/>
      <w:marTop w:val="0"/>
      <w:marBottom w:val="0"/>
      <w:divBdr>
        <w:top w:val="none" w:sz="0" w:space="0" w:color="auto"/>
        <w:left w:val="none" w:sz="0" w:space="0" w:color="auto"/>
        <w:bottom w:val="none" w:sz="0" w:space="0" w:color="auto"/>
        <w:right w:val="none" w:sz="0" w:space="0" w:color="auto"/>
      </w:divBdr>
    </w:div>
    <w:div w:id="1073627386">
      <w:bodyDiv w:val="1"/>
      <w:marLeft w:val="0"/>
      <w:marRight w:val="0"/>
      <w:marTop w:val="0"/>
      <w:marBottom w:val="0"/>
      <w:divBdr>
        <w:top w:val="none" w:sz="0" w:space="0" w:color="auto"/>
        <w:left w:val="none" w:sz="0" w:space="0" w:color="auto"/>
        <w:bottom w:val="none" w:sz="0" w:space="0" w:color="auto"/>
        <w:right w:val="none" w:sz="0" w:space="0" w:color="auto"/>
      </w:divBdr>
    </w:div>
    <w:div w:id="1239753833">
      <w:bodyDiv w:val="1"/>
      <w:marLeft w:val="0"/>
      <w:marRight w:val="0"/>
      <w:marTop w:val="0"/>
      <w:marBottom w:val="0"/>
      <w:divBdr>
        <w:top w:val="none" w:sz="0" w:space="0" w:color="auto"/>
        <w:left w:val="none" w:sz="0" w:space="0" w:color="auto"/>
        <w:bottom w:val="none" w:sz="0" w:space="0" w:color="auto"/>
        <w:right w:val="none" w:sz="0" w:space="0" w:color="auto"/>
      </w:divBdr>
    </w:div>
    <w:div w:id="168860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klink@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mbraco.xoserve.com/media/jfuidpu5/cdsp-service-description-v5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mbraco.xoserve.com/media/djshqxpm/cdsp-service-document-budget-and-charging-methodology-v51-introduction-of-2-new-service-areas-and-mandatory-specific-services.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xoserve.com/change/customer-change-register/xrn-5505-amendments-to-v24-of-the-service-description-tab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uklink@xoserve.com" TargetMode="Externa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fb0c983-77a3-4edc-9303-e1cb655c76c7">
      <Terms xmlns="http://schemas.microsoft.com/office/infopath/2007/PartnerControls"/>
    </lcf76f155ced4ddcb4097134ff3c332f>
    <TaxCatchAll xmlns="3ee84ff3-1fa2-4b0e-bbc1-9d3729ac2ba9" xsi:nil="true"/>
    <_Flow_SignoffStatus xmlns="efb0c983-77a3-4edc-9303-e1cb655c76c7" xsi:nil="true"/>
    <Sign_x002d_offBy xmlns="efb0c983-77a3-4edc-9303-e1cb655c76c7">
      <UserInfo>
        <DisplayName/>
        <AccountId xsi:nil="true"/>
        <AccountType/>
      </UserInfo>
    </Sign_x002d_off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5844fa40-a696-4ac9-bd38-c0330d295109"/>
    <ds:schemaRef ds:uri="c78a4dae-5fc0-4ed3-ad80-da51122ab114"/>
    <ds:schemaRef ds:uri="efb0c983-77a3-4edc-9303-e1cb655c76c7"/>
    <ds:schemaRef ds:uri="3ee84ff3-1fa2-4b0e-bbc1-9d3729ac2ba9"/>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6DF0AB68-ACB8-4D49-82F3-33D6330FD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0c983-77a3-4edc-9303-e1cb655c76c7"/>
    <ds:schemaRef ds:uri="3ee84ff3-1fa2-4b0e-bbc1-9d3729ac2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1829</Words>
  <Characters>10427</Characters>
  <Application>Microsoft Office Word</Application>
  <DocSecurity>0</DocSecurity>
  <Lines>86</Lines>
  <Paragraphs>24</Paragraphs>
  <ScaleCrop>false</ScaleCrop>
  <Company>National Grid</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Vera Li</cp:lastModifiedBy>
  <cp:revision>2</cp:revision>
  <cp:lastPrinted>2022-10-13T08:43:00Z</cp:lastPrinted>
  <dcterms:created xsi:type="dcterms:W3CDTF">2022-12-06T13:24:00Z</dcterms:created>
  <dcterms:modified xsi:type="dcterms:W3CDTF">2022-12-06T13:24:00Z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_NewReviewCycle">
    <vt:lpwstr/>
  </property>
  <property fmtid="{D5CDD505-2E9C-101B-9397-08002B2CF9AE}" pid="4" name="MediaServiceImageTags">
    <vt:lpwstr/>
  </property>
</Properties>
</file>