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9CBFF" w14:textId="77777777" w:rsidR="009236FC" w:rsidRDefault="009236FC" w:rsidP="00F47928">
      <w:pPr>
        <w:spacing w:after="0" w:line="240" w:lineRule="auto"/>
        <w:jc w:val="center"/>
        <w:rPr>
          <w:rFonts w:cs="Arial"/>
          <w:b/>
          <w:color w:val="3E5AA8"/>
          <w:sz w:val="72"/>
          <w:szCs w:val="96"/>
        </w:rPr>
      </w:pPr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2746341C" wp14:editId="4B49DE8D">
            <wp:simplePos x="0" y="0"/>
            <wp:positionH relativeFrom="column">
              <wp:posOffset>1175385</wp:posOffset>
            </wp:positionH>
            <wp:positionV relativeFrom="paragraph">
              <wp:posOffset>144780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3B014" w14:textId="77777777" w:rsidR="00F47928" w:rsidRPr="00E153C4" w:rsidRDefault="006D4FF9" w:rsidP="00F47928">
      <w:pPr>
        <w:spacing w:after="0" w:line="240" w:lineRule="auto"/>
        <w:jc w:val="center"/>
        <w:rPr>
          <w:rFonts w:cs="Arial"/>
          <w:b/>
          <w:color w:val="3E5AA8"/>
          <w:sz w:val="72"/>
          <w:szCs w:val="96"/>
        </w:rPr>
      </w:pPr>
      <w:r>
        <w:rPr>
          <w:rFonts w:cs="Arial"/>
          <w:b/>
          <w:color w:val="3E5AA8"/>
          <w:sz w:val="72"/>
          <w:szCs w:val="96"/>
        </w:rPr>
        <w:t xml:space="preserve">Rough Order </w:t>
      </w:r>
      <w:r w:rsidR="00037886">
        <w:rPr>
          <w:rFonts w:cs="Arial"/>
          <w:b/>
          <w:color w:val="3E5AA8"/>
          <w:sz w:val="72"/>
          <w:szCs w:val="96"/>
        </w:rPr>
        <w:t xml:space="preserve">Magnitude </w:t>
      </w:r>
      <w:r w:rsidR="00EC4986">
        <w:rPr>
          <w:rFonts w:cs="Arial"/>
          <w:b/>
          <w:color w:val="3E5AA8"/>
          <w:sz w:val="72"/>
          <w:szCs w:val="96"/>
        </w:rPr>
        <w:t xml:space="preserve">(ROM) </w:t>
      </w:r>
      <w:r w:rsidR="00037886">
        <w:rPr>
          <w:rFonts w:cs="Arial"/>
          <w:b/>
          <w:color w:val="3E5AA8"/>
          <w:sz w:val="72"/>
          <w:szCs w:val="96"/>
        </w:rPr>
        <w:t>Request</w:t>
      </w:r>
      <w:r w:rsidR="00F47928">
        <w:rPr>
          <w:rFonts w:cs="Arial"/>
          <w:b/>
          <w:color w:val="3E5AA8"/>
          <w:sz w:val="72"/>
          <w:szCs w:val="96"/>
        </w:rPr>
        <w:t xml:space="preserve"> </w:t>
      </w:r>
    </w:p>
    <w:p w14:paraId="7D46E32D" w14:textId="77777777" w:rsidR="00B973D7" w:rsidRDefault="00B973D7" w:rsidP="00F47928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</w:p>
    <w:p w14:paraId="2386357A" w14:textId="05E5F392" w:rsidR="00F47928" w:rsidRPr="009236FC" w:rsidRDefault="00F47928" w:rsidP="00F47928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color w:val="3E5AA8" w:themeColor="accent1"/>
          <w:sz w:val="28"/>
          <w:szCs w:val="28"/>
        </w:rPr>
      </w:pPr>
      <w:r w:rsidRPr="009236FC">
        <w:rPr>
          <w:rFonts w:asciiTheme="minorHAnsi" w:hAnsiTheme="minorHAnsi" w:cstheme="minorHAnsi"/>
          <w:b/>
          <w:color w:val="3E5AA8" w:themeColor="accent1"/>
          <w:sz w:val="28"/>
          <w:szCs w:val="28"/>
        </w:rPr>
        <w:t>Change Reference Number:  (</w:t>
      </w:r>
      <w:r w:rsidR="008D2658">
        <w:rPr>
          <w:rFonts w:asciiTheme="minorHAnsi" w:hAnsiTheme="minorHAnsi" w:cstheme="minorHAnsi"/>
          <w:b/>
          <w:color w:val="3E5AA8" w:themeColor="accent1"/>
          <w:sz w:val="28"/>
          <w:szCs w:val="28"/>
        </w:rPr>
        <w:t>XRN</w:t>
      </w:r>
      <w:r w:rsidR="008D2658" w:rsidRPr="008D2658">
        <w:rPr>
          <w:rFonts w:asciiTheme="minorHAnsi" w:hAnsiTheme="minorHAnsi" w:cstheme="minorHAnsi"/>
          <w:b/>
          <w:color w:val="3E5AA8" w:themeColor="accent1"/>
          <w:sz w:val="28"/>
          <w:szCs w:val="28"/>
        </w:rPr>
        <w:t>4956</w:t>
      </w:r>
      <w:r w:rsidRPr="009236FC">
        <w:rPr>
          <w:rFonts w:asciiTheme="minorHAnsi" w:hAnsiTheme="minorHAnsi" w:cstheme="minorHAnsi"/>
          <w:b/>
          <w:color w:val="3E5AA8" w:themeColor="accent1"/>
          <w:sz w:val="28"/>
          <w:szCs w:val="28"/>
        </w:rPr>
        <w:t>)</w:t>
      </w:r>
    </w:p>
    <w:p w14:paraId="6EBE542C" w14:textId="77777777" w:rsidR="00037886" w:rsidRPr="00B52A38" w:rsidRDefault="00B52A38" w:rsidP="004733DE">
      <w:pPr>
        <w:pStyle w:val="XoParagraph"/>
        <w:rPr>
          <w:rStyle w:val="Hyperlink"/>
          <w:rFonts w:asciiTheme="minorHAnsi" w:hAnsiTheme="minorHAnsi" w:cstheme="minorHAnsi"/>
          <w:b/>
          <w:color w:val="3E5AA8" w:themeColor="accen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send completed form</w:t>
      </w:r>
      <w:r w:rsidR="004733DE" w:rsidRPr="009236FC">
        <w:rPr>
          <w:rFonts w:asciiTheme="minorHAnsi" w:hAnsiTheme="minorHAnsi" w:cstheme="minorHAnsi"/>
          <w:b/>
          <w:sz w:val="22"/>
          <w:szCs w:val="22"/>
        </w:rPr>
        <w:t xml:space="preserve"> to: </w:t>
      </w:r>
      <w:hyperlink r:id="rId13" w:history="1">
        <w:r w:rsidR="00CD6509" w:rsidRPr="006A2A48">
          <w:rPr>
            <w:rStyle w:val="Hyperlink"/>
            <w:rFonts w:cs="Arial"/>
            <w:b/>
            <w:sz w:val="22"/>
            <w:szCs w:val="22"/>
          </w:rPr>
          <w:t>mailto:box.xoserve.portfoliooffice@xoserve.com</w:t>
        </w:r>
      </w:hyperlink>
    </w:p>
    <w:tbl>
      <w:tblPr>
        <w:tblStyle w:val="TableGrid"/>
        <w:tblpPr w:leftFromText="180" w:rightFromText="180" w:vertAnchor="text" w:horzAnchor="margin" w:tblpX="-459" w:tblpY="254"/>
        <w:tblW w:w="10173" w:type="dxa"/>
        <w:tblLook w:val="04A0" w:firstRow="1" w:lastRow="0" w:firstColumn="1" w:lastColumn="0" w:noHBand="0" w:noVBand="1"/>
      </w:tblPr>
      <w:tblGrid>
        <w:gridCol w:w="3261"/>
        <w:gridCol w:w="6912"/>
      </w:tblGrid>
      <w:tr w:rsidR="007E5EFC" w:rsidRPr="009236FC" w14:paraId="7A19F314" w14:textId="77777777" w:rsidTr="00B52A38">
        <w:trPr>
          <w:trHeight w:val="352"/>
        </w:trPr>
        <w:tc>
          <w:tcPr>
            <w:tcW w:w="10173" w:type="dxa"/>
            <w:gridSpan w:val="2"/>
            <w:vAlign w:val="center"/>
          </w:tcPr>
          <w:p w14:paraId="16B0076F" w14:textId="77777777" w:rsidR="007E5EFC" w:rsidRPr="009236FC" w:rsidRDefault="007E5EFC" w:rsidP="00B52A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iCs/>
                <w:lang w:val="en-US"/>
              </w:rPr>
            </w:pPr>
            <w:r w:rsidRPr="007E5EFC">
              <w:rPr>
                <w:rFonts w:cstheme="minorHAnsi"/>
                <w:b/>
                <w:iCs/>
                <w:szCs w:val="20"/>
                <w:lang w:val="en-US"/>
              </w:rPr>
              <w:t>Section A: Change Details</w:t>
            </w:r>
          </w:p>
        </w:tc>
      </w:tr>
      <w:tr w:rsidR="009423D3" w:rsidRPr="009236FC" w14:paraId="7A07F8D1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508F4A97" w14:textId="77777777" w:rsidR="009423D3" w:rsidRPr="009236FC" w:rsidRDefault="009423D3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color w:val="0000FF"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Change Title</w:t>
            </w:r>
          </w:p>
        </w:tc>
        <w:tc>
          <w:tcPr>
            <w:tcW w:w="6912" w:type="dxa"/>
            <w:vAlign w:val="center"/>
          </w:tcPr>
          <w:p w14:paraId="242D544E" w14:textId="56BA7B00" w:rsidR="003C4760" w:rsidRPr="002F0AD2" w:rsidRDefault="002F0AD2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</w:rPr>
            </w:pPr>
            <w:r w:rsidRPr="002F0AD2">
              <w:rPr>
                <w:rFonts w:cstheme="minorHAnsi"/>
                <w:iCs/>
              </w:rPr>
              <w:t>Improvements to the quality of the Conversion Factor values held on the Supply Point Register</w:t>
            </w:r>
          </w:p>
        </w:tc>
      </w:tr>
      <w:tr w:rsidR="009423D3" w:rsidRPr="009236FC" w14:paraId="228D4090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1EE16AE1" w14:textId="77777777" w:rsidR="009423D3" w:rsidRPr="009236FC" w:rsidRDefault="009423D3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Will the Change impact the UNC</w:t>
            </w:r>
            <w:r w:rsidR="002C28A6"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  ( YES / NO )</w:t>
            </w:r>
          </w:p>
        </w:tc>
        <w:tc>
          <w:tcPr>
            <w:tcW w:w="6912" w:type="dxa"/>
            <w:vAlign w:val="center"/>
          </w:tcPr>
          <w:p w14:paraId="48CE0471" w14:textId="0B381E3C" w:rsidR="009423D3" w:rsidRPr="009236FC" w:rsidRDefault="002F0AD2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Yes </w:t>
            </w:r>
          </w:p>
        </w:tc>
      </w:tr>
      <w:tr w:rsidR="009423D3" w:rsidRPr="009236FC" w14:paraId="5C08E5FD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1FF2A22A" w14:textId="77777777" w:rsidR="00F47928" w:rsidRPr="009236FC" w:rsidRDefault="00EC2B28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MOD R</w:t>
            </w:r>
            <w:r w:rsidR="00037886"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eference </w:t>
            </w:r>
            <w:r w:rsidR="009423D3"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(if raised)</w:t>
            </w:r>
          </w:p>
        </w:tc>
        <w:tc>
          <w:tcPr>
            <w:tcW w:w="6912" w:type="dxa"/>
            <w:vAlign w:val="center"/>
          </w:tcPr>
          <w:p w14:paraId="617E0F52" w14:textId="77777777" w:rsidR="00F47928" w:rsidRDefault="002F0AD2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>UNC0681S</w:t>
            </w:r>
          </w:p>
          <w:p w14:paraId="3A43F488" w14:textId="27AD7609" w:rsidR="002F0AD2" w:rsidRPr="009236FC" w:rsidRDefault="00410779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hyperlink r:id="rId14" w:history="1">
              <w:r w:rsidR="002F0AD2" w:rsidRPr="002F0AD2">
                <w:rPr>
                  <w:rStyle w:val="Hyperlink"/>
                  <w:rFonts w:cstheme="minorHAnsi"/>
                  <w:iCs/>
                  <w:sz w:val="20"/>
                  <w:szCs w:val="20"/>
                </w:rPr>
                <w:t>https://www.gasgovernance.co.uk/0681</w:t>
              </w:r>
            </w:hyperlink>
          </w:p>
        </w:tc>
      </w:tr>
      <w:tr w:rsidR="009423D3" w:rsidRPr="009236FC" w14:paraId="355F9280" w14:textId="77777777" w:rsidTr="00B52A38">
        <w:trPr>
          <w:trHeight w:val="352"/>
        </w:trPr>
        <w:tc>
          <w:tcPr>
            <w:tcW w:w="10173" w:type="dxa"/>
            <w:gridSpan w:val="2"/>
            <w:vAlign w:val="center"/>
          </w:tcPr>
          <w:p w14:paraId="5C6BF9EB" w14:textId="77777777" w:rsidR="00037886" w:rsidRPr="009236FC" w:rsidRDefault="00F47928" w:rsidP="00B52A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iCs/>
                <w:strike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Cs w:val="20"/>
                <w:lang w:val="en-US"/>
              </w:rPr>
              <w:t>Contact Details</w:t>
            </w:r>
            <w:r w:rsidR="009423D3" w:rsidRPr="009236FC">
              <w:rPr>
                <w:rFonts w:cstheme="minorHAnsi"/>
                <w:b/>
                <w:iCs/>
                <w:szCs w:val="20"/>
                <w:lang w:val="en-US"/>
              </w:rPr>
              <w:t xml:space="preserve"> </w:t>
            </w:r>
            <w:r w:rsidR="009423D3" w:rsidRPr="007E5EFC">
              <w:rPr>
                <w:rFonts w:cstheme="minorHAnsi"/>
                <w:b/>
                <w:iCs/>
                <w:szCs w:val="20"/>
                <w:lang w:val="en-US"/>
              </w:rPr>
              <w:t>of Person Requesting the ROM</w:t>
            </w:r>
            <w:r w:rsidR="009423D3" w:rsidRPr="00FE45E9">
              <w:rPr>
                <w:rFonts w:cstheme="minorHAnsi"/>
                <w:b/>
                <w:iCs/>
                <w:szCs w:val="20"/>
                <w:lang w:val="en-US"/>
              </w:rPr>
              <w:t xml:space="preserve"> </w:t>
            </w:r>
          </w:p>
        </w:tc>
      </w:tr>
      <w:tr w:rsidR="001C61D4" w:rsidRPr="009236FC" w14:paraId="454A6BE9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2E840215" w14:textId="77777777"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Contact Name</w:t>
            </w:r>
            <w:r w:rsidRPr="009236FC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14:paraId="1950A158" w14:textId="6D617935" w:rsidR="001C61D4" w:rsidRPr="009236FC" w:rsidRDefault="002F0AD2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>Kirsty Dudley</w:t>
            </w:r>
          </w:p>
        </w:tc>
      </w:tr>
      <w:tr w:rsidR="001C61D4" w:rsidRPr="009236FC" w14:paraId="1A8C1CDA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531A934C" w14:textId="77777777"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Contact Email</w:t>
            </w:r>
          </w:p>
        </w:tc>
        <w:tc>
          <w:tcPr>
            <w:tcW w:w="6912" w:type="dxa"/>
            <w:vAlign w:val="center"/>
          </w:tcPr>
          <w:p w14:paraId="3D91B9A7" w14:textId="0E2F0A40" w:rsidR="001C61D4" w:rsidRPr="009236FC" w:rsidRDefault="002F0AD2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2F0AD2">
              <w:rPr>
                <w:rFonts w:cstheme="minorHAnsi"/>
                <w:iCs/>
                <w:sz w:val="20"/>
                <w:szCs w:val="20"/>
              </w:rPr>
              <w:t>kirst</w:t>
            </w:r>
            <w:r>
              <w:rPr>
                <w:rFonts w:cstheme="minorHAnsi"/>
                <w:iCs/>
                <w:sz w:val="20"/>
                <w:szCs w:val="20"/>
              </w:rPr>
              <w:t>y</w:t>
            </w:r>
            <w:r w:rsidRPr="002F0AD2">
              <w:rPr>
                <w:rFonts w:cstheme="minorHAnsi"/>
                <w:iCs/>
                <w:sz w:val="20"/>
                <w:szCs w:val="20"/>
              </w:rPr>
              <w:t>.dudley@eonenergy.com</w:t>
            </w:r>
          </w:p>
        </w:tc>
      </w:tr>
      <w:tr w:rsidR="001C61D4" w:rsidRPr="009236FC" w14:paraId="6113EB02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0C3BA13A" w14:textId="77777777"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Contact Phone</w:t>
            </w:r>
          </w:p>
        </w:tc>
        <w:tc>
          <w:tcPr>
            <w:tcW w:w="6912" w:type="dxa"/>
            <w:vAlign w:val="center"/>
          </w:tcPr>
          <w:p w14:paraId="66A4F33A" w14:textId="3E64F076" w:rsidR="001C61D4" w:rsidRPr="009236FC" w:rsidRDefault="002F0AD2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2F0AD2">
              <w:rPr>
                <w:rFonts w:cstheme="minorHAnsi"/>
                <w:iCs/>
                <w:sz w:val="20"/>
                <w:szCs w:val="20"/>
              </w:rPr>
              <w:t>07816 172645</w:t>
            </w:r>
          </w:p>
        </w:tc>
      </w:tr>
    </w:tbl>
    <w:p w14:paraId="542B9DFE" w14:textId="77777777" w:rsidR="00F47928" w:rsidRPr="009236FC" w:rsidRDefault="00F47928" w:rsidP="00F4792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9423D3" w:rsidRPr="009236FC" w14:paraId="1111418A" w14:textId="77777777" w:rsidTr="00B52A38">
        <w:tc>
          <w:tcPr>
            <w:tcW w:w="10206" w:type="dxa"/>
            <w:gridSpan w:val="2"/>
          </w:tcPr>
          <w:p w14:paraId="2858F330" w14:textId="77777777" w:rsidR="00101B64" w:rsidRPr="009236FC" w:rsidRDefault="007E5EFC" w:rsidP="00101B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iCs/>
                <w:szCs w:val="20"/>
                <w:lang w:val="en-US"/>
              </w:rPr>
            </w:pPr>
            <w:r>
              <w:rPr>
                <w:rFonts w:cstheme="minorHAnsi"/>
                <w:b/>
                <w:iCs/>
                <w:szCs w:val="20"/>
                <w:lang w:val="en-US"/>
              </w:rPr>
              <w:t xml:space="preserve">Section B: </w:t>
            </w:r>
            <w:r w:rsidR="00101B64" w:rsidRPr="009236FC">
              <w:rPr>
                <w:rFonts w:cstheme="minorHAnsi"/>
                <w:b/>
                <w:iCs/>
                <w:szCs w:val="20"/>
                <w:lang w:val="en-US"/>
              </w:rPr>
              <w:t>Xoserve Acknowledgement and  Business Analyst Contact Details</w:t>
            </w:r>
          </w:p>
          <w:p w14:paraId="77765113" w14:textId="77777777" w:rsidR="00101B64" w:rsidRPr="00635D7E" w:rsidRDefault="00101B64" w:rsidP="009236F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E5EFC">
              <w:rPr>
                <w:rFonts w:cstheme="minorHAnsi"/>
                <w:i/>
                <w:color w:val="3E5AA8" w:themeColor="accent1"/>
                <w:sz w:val="16"/>
                <w:szCs w:val="20"/>
              </w:rPr>
              <w:t xml:space="preserve">(Xoserve </w:t>
            </w:r>
            <w:r w:rsidR="009236FC" w:rsidRPr="007E5EFC">
              <w:rPr>
                <w:rFonts w:cstheme="minorHAnsi"/>
                <w:i/>
                <w:color w:val="3E5AA8" w:themeColor="accent1"/>
                <w:sz w:val="16"/>
                <w:szCs w:val="20"/>
              </w:rPr>
              <w:t>CIO Office will add</w:t>
            </w:r>
            <w:r w:rsidRPr="007E5EFC">
              <w:rPr>
                <w:rFonts w:cstheme="minorHAnsi"/>
                <w:i/>
                <w:color w:val="3E5AA8" w:themeColor="accent1"/>
                <w:sz w:val="16"/>
                <w:szCs w:val="20"/>
              </w:rPr>
              <w:t>)</w:t>
            </w:r>
          </w:p>
        </w:tc>
      </w:tr>
      <w:tr w:rsidR="00F8630F" w:rsidRPr="009236FC" w14:paraId="49E7698A" w14:textId="77777777" w:rsidTr="00B52A38">
        <w:tc>
          <w:tcPr>
            <w:tcW w:w="3261" w:type="dxa"/>
            <w:vAlign w:val="center"/>
          </w:tcPr>
          <w:p w14:paraId="5E0BF385" w14:textId="77777777"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ROM Received  Date</w:t>
            </w:r>
          </w:p>
        </w:tc>
        <w:tc>
          <w:tcPr>
            <w:tcW w:w="6945" w:type="dxa"/>
          </w:tcPr>
          <w:p w14:paraId="0B8A0B7D" w14:textId="35A745B8" w:rsidR="00F8630F" w:rsidRPr="008D2658" w:rsidRDefault="008D2658" w:rsidP="003C476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D2658">
              <w:rPr>
                <w:rFonts w:cstheme="minorHAnsi"/>
                <w:sz w:val="20"/>
                <w:szCs w:val="20"/>
              </w:rPr>
              <w:t>24</w:t>
            </w:r>
            <w:r w:rsidRPr="008D265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8D2658">
              <w:rPr>
                <w:rFonts w:cstheme="minorHAnsi"/>
                <w:sz w:val="20"/>
                <w:szCs w:val="20"/>
              </w:rPr>
              <w:t xml:space="preserve"> May 2019</w:t>
            </w:r>
          </w:p>
        </w:tc>
      </w:tr>
      <w:tr w:rsidR="00F8630F" w:rsidRPr="009236FC" w14:paraId="0C5A8D47" w14:textId="77777777" w:rsidTr="00B52A38">
        <w:tc>
          <w:tcPr>
            <w:tcW w:w="3261" w:type="dxa"/>
            <w:vAlign w:val="center"/>
          </w:tcPr>
          <w:p w14:paraId="4DC8B6A3" w14:textId="77777777"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ROM Response date</w:t>
            </w:r>
          </w:p>
        </w:tc>
        <w:tc>
          <w:tcPr>
            <w:tcW w:w="6945" w:type="dxa"/>
          </w:tcPr>
          <w:p w14:paraId="28136D73" w14:textId="117ADBE1" w:rsidR="00F8630F" w:rsidRPr="008D2658" w:rsidRDefault="008D2658" w:rsidP="003C476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D2658">
              <w:rPr>
                <w:rFonts w:cstheme="minorHAnsi"/>
                <w:sz w:val="20"/>
                <w:szCs w:val="20"/>
              </w:rPr>
              <w:t>10</w:t>
            </w:r>
            <w:r w:rsidRPr="008D265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8D2658">
              <w:rPr>
                <w:rFonts w:cstheme="minorHAnsi"/>
                <w:sz w:val="20"/>
                <w:szCs w:val="20"/>
              </w:rPr>
              <w:t xml:space="preserve"> June 2019</w:t>
            </w:r>
          </w:p>
        </w:tc>
      </w:tr>
      <w:tr w:rsidR="00F8630F" w:rsidRPr="009236FC" w14:paraId="04F0AA75" w14:textId="77777777" w:rsidTr="00B52A38">
        <w:tc>
          <w:tcPr>
            <w:tcW w:w="3261" w:type="dxa"/>
            <w:vAlign w:val="center"/>
          </w:tcPr>
          <w:p w14:paraId="08EA8EA0" w14:textId="77777777"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Business Analyst Name</w:t>
            </w:r>
          </w:p>
        </w:tc>
        <w:tc>
          <w:tcPr>
            <w:tcW w:w="6945" w:type="dxa"/>
          </w:tcPr>
          <w:p w14:paraId="296E3B96" w14:textId="315206CE" w:rsidR="00F8630F" w:rsidRPr="008D2658" w:rsidRDefault="008D2658" w:rsidP="003C476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D2658">
              <w:rPr>
                <w:rFonts w:cstheme="minorHAnsi"/>
                <w:sz w:val="20"/>
                <w:szCs w:val="20"/>
              </w:rPr>
              <w:t>Andrew Steed</w:t>
            </w:r>
          </w:p>
        </w:tc>
      </w:tr>
      <w:tr w:rsidR="00F8630F" w:rsidRPr="009236FC" w14:paraId="3B9270F1" w14:textId="77777777" w:rsidTr="00B52A38">
        <w:tc>
          <w:tcPr>
            <w:tcW w:w="3261" w:type="dxa"/>
            <w:vAlign w:val="center"/>
          </w:tcPr>
          <w:p w14:paraId="1FC8107D" w14:textId="77777777"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Business Analyst Email</w:t>
            </w:r>
          </w:p>
        </w:tc>
        <w:tc>
          <w:tcPr>
            <w:tcW w:w="6945" w:type="dxa"/>
          </w:tcPr>
          <w:p w14:paraId="592D57E9" w14:textId="6C1A448C" w:rsidR="00F8630F" w:rsidRPr="008D2658" w:rsidRDefault="00410779" w:rsidP="003C476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hyperlink r:id="rId15" w:history="1">
              <w:r w:rsidR="008D2658" w:rsidRPr="008D2658">
                <w:rPr>
                  <w:rFonts w:cstheme="minorHAnsi"/>
                  <w:sz w:val="20"/>
                  <w:szCs w:val="20"/>
                </w:rPr>
                <w:t>andrew.steed@xoserve.com</w:t>
              </w:r>
            </w:hyperlink>
          </w:p>
        </w:tc>
      </w:tr>
      <w:tr w:rsidR="00F8630F" w:rsidRPr="009236FC" w14:paraId="5E4AF86A" w14:textId="77777777" w:rsidTr="00B52A38">
        <w:tc>
          <w:tcPr>
            <w:tcW w:w="3261" w:type="dxa"/>
            <w:vAlign w:val="center"/>
          </w:tcPr>
          <w:p w14:paraId="7C03AB95" w14:textId="77777777"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Business Analyst Phone</w:t>
            </w:r>
          </w:p>
        </w:tc>
        <w:tc>
          <w:tcPr>
            <w:tcW w:w="6945" w:type="dxa"/>
          </w:tcPr>
          <w:p w14:paraId="33DA71C2" w14:textId="54B71A2F" w:rsidR="00F8630F" w:rsidRPr="008D2658" w:rsidRDefault="00F8630F" w:rsidP="008D26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D28EBA5" w14:textId="77777777" w:rsidR="00F47928" w:rsidRPr="009236FC" w:rsidRDefault="00F47928" w:rsidP="00635D7E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</w:rPr>
      </w:pPr>
      <w:r w:rsidRPr="009236FC">
        <w:rPr>
          <w:rFonts w:asciiTheme="minorHAnsi" w:hAnsiTheme="minorHAnsi" w:cstheme="minorHAnsi"/>
          <w:b/>
          <w:color w:val="0070C0"/>
        </w:rPr>
        <w:br w:type="page"/>
      </w:r>
      <w:r w:rsidR="006D4FF9" w:rsidRPr="00635D7E">
        <w:rPr>
          <w:rFonts w:cs="Arial"/>
          <w:b/>
          <w:color w:val="3E5AA8"/>
          <w:sz w:val="72"/>
          <w:szCs w:val="96"/>
        </w:rPr>
        <w:lastRenderedPageBreak/>
        <w:t xml:space="preserve">Rough Order </w:t>
      </w:r>
      <w:r w:rsidR="00EC4986" w:rsidRPr="00635D7E">
        <w:rPr>
          <w:rFonts w:cs="Arial"/>
          <w:b/>
          <w:color w:val="3E5AA8"/>
          <w:sz w:val="72"/>
          <w:szCs w:val="96"/>
        </w:rPr>
        <w:t>Magnitude (ROM) Response</w:t>
      </w:r>
    </w:p>
    <w:tbl>
      <w:tblPr>
        <w:tblStyle w:val="TableGrid"/>
        <w:tblpPr w:leftFromText="180" w:rightFromText="180" w:vertAnchor="text" w:horzAnchor="margin" w:tblpX="-459" w:tblpY="75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C4760" w:rsidRPr="009236FC" w14:paraId="629A9FD2" w14:textId="77777777" w:rsidTr="00B52A38">
        <w:tc>
          <w:tcPr>
            <w:tcW w:w="10206" w:type="dxa"/>
          </w:tcPr>
          <w:p w14:paraId="25E523C9" w14:textId="77777777" w:rsidR="003C4760" w:rsidRPr="009236FC" w:rsidRDefault="003C4760" w:rsidP="00B52A38">
            <w:pPr>
              <w:spacing w:before="120" w:after="120"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9236FC">
              <w:rPr>
                <w:rFonts w:cstheme="minorHAnsi"/>
                <w:b/>
                <w:bCs/>
                <w:szCs w:val="24"/>
              </w:rPr>
              <w:t xml:space="preserve">Type of </w:t>
            </w:r>
            <w:r w:rsidR="00933DFB" w:rsidRPr="009236FC">
              <w:rPr>
                <w:rFonts w:cstheme="minorHAnsi"/>
                <w:b/>
                <w:bCs/>
                <w:szCs w:val="24"/>
              </w:rPr>
              <w:t xml:space="preserve">ROM </w:t>
            </w:r>
            <w:r w:rsidRPr="009236FC">
              <w:rPr>
                <w:rFonts w:cstheme="minorHAnsi"/>
                <w:b/>
                <w:bCs/>
                <w:szCs w:val="24"/>
              </w:rPr>
              <w:t>Evaluation</w:t>
            </w:r>
          </w:p>
        </w:tc>
      </w:tr>
      <w:tr w:rsidR="003C4760" w:rsidRPr="009236FC" w14:paraId="1DC265B3" w14:textId="77777777" w:rsidTr="00B52A38">
        <w:tc>
          <w:tcPr>
            <w:tcW w:w="10206" w:type="dxa"/>
          </w:tcPr>
          <w:p w14:paraId="47658802" w14:textId="77777777" w:rsidR="003C4760" w:rsidRPr="00843E7C" w:rsidRDefault="003C4760" w:rsidP="00B52A38">
            <w:pPr>
              <w:spacing w:before="120" w:after="120"/>
              <w:rPr>
                <w:rFonts w:cstheme="minorHAnsi"/>
                <w:i/>
                <w:color w:val="3E5AA8" w:themeColor="accent1"/>
                <w:sz w:val="20"/>
                <w:szCs w:val="20"/>
              </w:rPr>
            </w:pPr>
            <w:r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>ROM for Code-Modification</w:t>
            </w:r>
          </w:p>
          <w:p w14:paraId="5C6B5C57" w14:textId="28023E62" w:rsidR="003C4760" w:rsidRPr="00B52A38" w:rsidRDefault="003C4760" w:rsidP="007654C3">
            <w:pPr>
              <w:spacing w:before="120" w:after="120"/>
              <w:rPr>
                <w:rFonts w:cstheme="minorHAnsi"/>
                <w:i/>
                <w:color w:val="3E5AA8" w:themeColor="accent1"/>
                <w:sz w:val="20"/>
                <w:szCs w:val="20"/>
              </w:rPr>
            </w:pPr>
          </w:p>
        </w:tc>
      </w:tr>
      <w:tr w:rsidR="00710C83" w:rsidRPr="009236FC" w14:paraId="5F88E50C" w14:textId="77777777" w:rsidTr="00B52A38">
        <w:tc>
          <w:tcPr>
            <w:tcW w:w="10206" w:type="dxa"/>
          </w:tcPr>
          <w:p w14:paraId="45C453AD" w14:textId="77777777" w:rsidR="00710C83" w:rsidRPr="009236FC" w:rsidRDefault="00710C83" w:rsidP="00B52A38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</w:rPr>
            </w:pPr>
            <w:r w:rsidRPr="009236FC">
              <w:rPr>
                <w:rFonts w:cstheme="minorHAnsi"/>
                <w:b/>
                <w:bCs/>
                <w:szCs w:val="24"/>
              </w:rPr>
              <w:t>The Proposed Change</w:t>
            </w:r>
            <w:r w:rsidRPr="009236FC">
              <w:rPr>
                <w:rFonts w:cstheme="minorHAnsi"/>
                <w:b/>
                <w:bCs/>
                <w:sz w:val="20"/>
              </w:rPr>
              <w:t xml:space="preserve"> </w:t>
            </w:r>
          </w:p>
          <w:p w14:paraId="17CAF0E9" w14:textId="77777777" w:rsidR="00710C83" w:rsidRPr="009236FC" w:rsidRDefault="00710C83" w:rsidP="00B52A38">
            <w:pPr>
              <w:spacing w:before="120"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36FC">
              <w:rPr>
                <w:rFonts w:cstheme="minorHAnsi"/>
                <w:bCs/>
                <w:sz w:val="20"/>
                <w:szCs w:val="20"/>
              </w:rPr>
              <w:t>(Xoserve’ s understanding of the Modification)</w:t>
            </w:r>
          </w:p>
        </w:tc>
      </w:tr>
      <w:tr w:rsidR="00EC4986" w:rsidRPr="009236FC" w14:paraId="51947DEB" w14:textId="77777777" w:rsidTr="00B52A38">
        <w:tc>
          <w:tcPr>
            <w:tcW w:w="10206" w:type="dxa"/>
          </w:tcPr>
          <w:p w14:paraId="6593F1BA" w14:textId="39DF9797" w:rsidR="007654C3" w:rsidRPr="00CC3E43" w:rsidRDefault="007654C3" w:rsidP="007654C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C3E43">
              <w:rPr>
                <w:rFonts w:cstheme="minorHAnsi"/>
                <w:bCs/>
                <w:sz w:val="20"/>
                <w:szCs w:val="20"/>
              </w:rPr>
              <w:t>UNC Modification 0681S has been raised to look at the CDSP being given the authority to make changes to the conversion factor in the</w:t>
            </w:r>
            <w:r w:rsidR="00CC3E4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C3E43">
              <w:rPr>
                <w:rFonts w:cstheme="minorHAnsi"/>
                <w:bCs/>
                <w:sz w:val="20"/>
                <w:szCs w:val="20"/>
              </w:rPr>
              <w:t>following circumstances only:</w:t>
            </w:r>
          </w:p>
          <w:p w14:paraId="79026618" w14:textId="0724B34E" w:rsidR="00CB6A4F" w:rsidRDefault="007654C3" w:rsidP="00CC3E4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C3E43">
              <w:rPr>
                <w:rFonts w:cstheme="minorHAnsi"/>
                <w:bCs/>
                <w:sz w:val="20"/>
                <w:szCs w:val="20"/>
              </w:rPr>
              <w:t>Where the AQ of a meter point falls to 732,000 kWh or lower, the conversion factor should be update</w:t>
            </w:r>
            <w:r w:rsidR="00CB6A4F">
              <w:rPr>
                <w:rFonts w:cstheme="minorHAnsi"/>
                <w:bCs/>
                <w:sz w:val="20"/>
                <w:szCs w:val="20"/>
              </w:rPr>
              <w:t>d to the default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value of 1.02264, as specified in the Gas (Calculation</w:t>
            </w:r>
            <w:r w:rsidR="00310912">
              <w:rPr>
                <w:rFonts w:cstheme="minorHAnsi"/>
                <w:bCs/>
                <w:sz w:val="20"/>
                <w:szCs w:val="20"/>
              </w:rPr>
              <w:t xml:space="preserve"> of Thermal Energy) Regulations</w:t>
            </w:r>
          </w:p>
          <w:p w14:paraId="21C7E55D" w14:textId="2979B6AA" w:rsidR="00EC4986" w:rsidRDefault="007654C3" w:rsidP="00CC3E4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C3E43">
              <w:rPr>
                <w:rFonts w:cstheme="minorHAnsi"/>
                <w:bCs/>
                <w:sz w:val="20"/>
                <w:szCs w:val="20"/>
              </w:rPr>
              <w:t>Where the AQ of a meter point increases above 732,000 kWh, the conversion factor should be set to the last non-standard factor held on the Supply Point Register (if one is available)</w:t>
            </w:r>
            <w:r w:rsidR="005C6619">
              <w:rPr>
                <w:rFonts w:cstheme="minorHAnsi"/>
                <w:bCs/>
                <w:sz w:val="20"/>
                <w:szCs w:val="20"/>
              </w:rPr>
              <w:t>.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Where no ‘non-standard’ conversion factor is found</w:t>
            </w:r>
            <w:r w:rsidR="005C6619">
              <w:rPr>
                <w:rFonts w:cstheme="minorHAnsi"/>
                <w:bCs/>
                <w:sz w:val="20"/>
                <w:szCs w:val="20"/>
              </w:rPr>
              <w:t>,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no action shall be taken</w:t>
            </w:r>
            <w:r w:rsidR="00310912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4A29EE1" w14:textId="5449ACDF" w:rsidR="00A76CA6" w:rsidRDefault="00A76CA6" w:rsidP="00CC3E4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conversion factor update is to be</w:t>
            </w:r>
            <w:r w:rsidR="005C6619">
              <w:rPr>
                <w:rFonts w:cstheme="minorHAnsi"/>
                <w:bCs/>
                <w:sz w:val="20"/>
                <w:szCs w:val="20"/>
              </w:rPr>
              <w:t xml:space="preserve"> automatically</w:t>
            </w:r>
            <w:r>
              <w:rPr>
                <w:rFonts w:cstheme="minorHAnsi"/>
                <w:bCs/>
                <w:sz w:val="20"/>
                <w:szCs w:val="20"/>
              </w:rPr>
              <w:t xml:space="preserve"> completed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30 days </w:t>
            </w:r>
            <w:r w:rsidR="005C6619">
              <w:rPr>
                <w:rFonts w:cstheme="minorHAnsi"/>
                <w:bCs/>
                <w:sz w:val="20"/>
                <w:szCs w:val="20"/>
              </w:rPr>
              <w:t>following the AQ update notification being issued</w:t>
            </w:r>
            <w:r w:rsidR="00310912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771C66C" w14:textId="4483048A" w:rsidR="00310912" w:rsidRPr="00CC3E43" w:rsidRDefault="00310912" w:rsidP="00CC3E4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Data cleanse activity to </w:t>
            </w:r>
            <w:r w:rsidR="005138FB">
              <w:rPr>
                <w:rFonts w:cstheme="minorHAnsi"/>
                <w:bCs/>
                <w:sz w:val="20"/>
                <w:szCs w:val="20"/>
              </w:rPr>
              <w:t>update</w:t>
            </w:r>
            <w:r>
              <w:rPr>
                <w:rFonts w:cstheme="minorHAnsi"/>
                <w:bCs/>
                <w:sz w:val="20"/>
                <w:szCs w:val="20"/>
              </w:rPr>
              <w:t>, based on the above logic, any conversion factors currently held in the system.</w:t>
            </w:r>
          </w:p>
          <w:p w14:paraId="5DA65840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14:paraId="1091088A" w14:textId="77777777" w:rsidTr="00B52A38">
        <w:trPr>
          <w:trHeight w:val="596"/>
        </w:trPr>
        <w:tc>
          <w:tcPr>
            <w:tcW w:w="10206" w:type="dxa"/>
            <w:vAlign w:val="center"/>
          </w:tcPr>
          <w:p w14:paraId="48AF8513" w14:textId="77777777" w:rsidR="009E6998" w:rsidRPr="009236FC" w:rsidRDefault="00865500" w:rsidP="00B52A38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6FC">
              <w:rPr>
                <w:rFonts w:cstheme="minorHAnsi"/>
                <w:b/>
                <w:bCs/>
                <w:szCs w:val="24"/>
              </w:rPr>
              <w:t>Change Impacts</w:t>
            </w:r>
          </w:p>
        </w:tc>
      </w:tr>
      <w:tr w:rsidR="009E6998" w:rsidRPr="009236FC" w14:paraId="3BECCFB0" w14:textId="77777777" w:rsidTr="00B52A38">
        <w:tc>
          <w:tcPr>
            <w:tcW w:w="10206" w:type="dxa"/>
          </w:tcPr>
          <w:p w14:paraId="2701596C" w14:textId="77777777" w:rsidR="009E6998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General Impacts to Xoserve and External Parties:</w:t>
            </w:r>
          </w:p>
          <w:p w14:paraId="08299023" w14:textId="77777777" w:rsidR="00DB6318" w:rsidRPr="00CC3E43" w:rsidRDefault="00DB6318" w:rsidP="00DB6318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C3E43">
              <w:rPr>
                <w:rFonts w:cstheme="minorHAnsi"/>
                <w:bCs/>
                <w:sz w:val="20"/>
                <w:szCs w:val="20"/>
              </w:rPr>
              <w:t>As part of this change, the conversion factor will be updated as part of AQ Updates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that cross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above or below </w:t>
            </w:r>
            <w:r>
              <w:rPr>
                <w:rFonts w:cstheme="minorHAnsi"/>
                <w:bCs/>
                <w:sz w:val="20"/>
                <w:szCs w:val="20"/>
              </w:rPr>
              <w:t xml:space="preserve">the threshold of </w:t>
            </w:r>
            <w:r w:rsidRPr="00CC3E43">
              <w:rPr>
                <w:rFonts w:cstheme="minorHAnsi"/>
                <w:bCs/>
                <w:sz w:val="20"/>
                <w:szCs w:val="20"/>
              </w:rPr>
              <w:t>732,000 kWh. Below are the list of changes:</w:t>
            </w:r>
          </w:p>
          <w:p w14:paraId="3D8B3ED2" w14:textId="1B4182C9" w:rsidR="00DB6318" w:rsidRPr="00CC3E43" w:rsidRDefault="00DB6318" w:rsidP="00DB631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C3E43">
              <w:rPr>
                <w:rFonts w:cstheme="minorHAnsi"/>
                <w:bCs/>
                <w:sz w:val="20"/>
                <w:szCs w:val="20"/>
              </w:rPr>
              <w:t>Rolling AQ and AQ Correction</w:t>
            </w:r>
            <w:r w:rsidR="002B10B2">
              <w:rPr>
                <w:rFonts w:cstheme="minorHAnsi"/>
                <w:bCs/>
                <w:sz w:val="20"/>
                <w:szCs w:val="20"/>
              </w:rPr>
              <w:t xml:space="preserve"> process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needs to be updated to provide a trigger</w:t>
            </w:r>
            <w:r w:rsidR="002B10B2">
              <w:rPr>
                <w:rFonts w:cstheme="minorHAnsi"/>
                <w:bCs/>
                <w:sz w:val="20"/>
                <w:szCs w:val="20"/>
              </w:rPr>
              <w:t xml:space="preserve"> to update the conversion factor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whenever there is a change in the AQ above or below the threshold value of 732,000 kWh.</w:t>
            </w:r>
          </w:p>
          <w:p w14:paraId="632949BB" w14:textId="77777777" w:rsidR="00B635D9" w:rsidRPr="00B635D9" w:rsidRDefault="00DB6318" w:rsidP="00B635D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A new report is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to be developed </w:t>
            </w:r>
            <w:r>
              <w:rPr>
                <w:rFonts w:cstheme="minorHAnsi"/>
                <w:bCs/>
                <w:sz w:val="20"/>
                <w:szCs w:val="20"/>
              </w:rPr>
              <w:t>to</w:t>
            </w:r>
            <w:r w:rsidR="002B10B2">
              <w:rPr>
                <w:rFonts w:cstheme="minorHAnsi"/>
                <w:bCs/>
                <w:sz w:val="20"/>
                <w:szCs w:val="20"/>
              </w:rPr>
              <w:t xml:space="preserve"> pick up the trigger and</w:t>
            </w:r>
            <w:r>
              <w:rPr>
                <w:rFonts w:cstheme="minorHAnsi"/>
                <w:bCs/>
                <w:sz w:val="20"/>
                <w:szCs w:val="20"/>
              </w:rPr>
              <w:t xml:space="preserve"> update the conversion factor</w:t>
            </w:r>
            <w:r w:rsidR="002B10B2">
              <w:rPr>
                <w:rFonts w:cstheme="minorHAnsi"/>
                <w:bCs/>
                <w:sz w:val="20"/>
                <w:szCs w:val="20"/>
              </w:rPr>
              <w:t xml:space="preserve"> as necessary</w:t>
            </w:r>
            <w:r>
              <w:rPr>
                <w:rFonts w:cstheme="minorHAnsi"/>
                <w:bCs/>
                <w:sz w:val="20"/>
                <w:szCs w:val="20"/>
              </w:rPr>
              <w:t>. This will run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30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C3E43">
              <w:rPr>
                <w:rFonts w:cstheme="minorHAnsi"/>
                <w:bCs/>
                <w:sz w:val="20"/>
                <w:szCs w:val="20"/>
              </w:rPr>
              <w:t>days</w:t>
            </w:r>
            <w:r>
              <w:rPr>
                <w:rFonts w:cstheme="minorHAnsi"/>
                <w:bCs/>
                <w:sz w:val="20"/>
                <w:szCs w:val="20"/>
              </w:rPr>
              <w:t xml:space="preserve"> after the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NRL</w:t>
            </w:r>
            <w:r w:rsidR="00CB6A4F">
              <w:rPr>
                <w:rFonts w:cstheme="minorHAnsi"/>
                <w:bCs/>
                <w:sz w:val="20"/>
                <w:szCs w:val="20"/>
              </w:rPr>
              <w:t xml:space="preserve"> file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is issued to Shippers advising of any</w:t>
            </w:r>
            <w:r w:rsidR="00CB6A4F">
              <w:rPr>
                <w:rFonts w:cstheme="minorHAnsi"/>
                <w:bCs/>
                <w:sz w:val="20"/>
                <w:szCs w:val="20"/>
              </w:rPr>
              <w:t xml:space="preserve"> AQ updates.</w:t>
            </w:r>
          </w:p>
          <w:p w14:paraId="5A075099" w14:textId="66CA8A0E" w:rsidR="00000000" w:rsidRPr="00B635D9" w:rsidRDefault="00B635D9" w:rsidP="00B635D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New Report</w:t>
            </w:r>
            <w:r w:rsidR="00410779" w:rsidRPr="00B635D9">
              <w:rPr>
                <w:rFonts w:cstheme="minorHAnsi"/>
                <w:bCs/>
                <w:sz w:val="20"/>
              </w:rPr>
              <w:t xml:space="preserve"> to be developed </w:t>
            </w:r>
            <w:r>
              <w:rPr>
                <w:rFonts w:cstheme="minorHAnsi"/>
                <w:bCs/>
                <w:sz w:val="20"/>
              </w:rPr>
              <w:t>to align the Conversion F</w:t>
            </w:r>
            <w:r w:rsidR="00410779" w:rsidRPr="00B635D9">
              <w:rPr>
                <w:rFonts w:cstheme="minorHAnsi"/>
                <w:bCs/>
                <w:sz w:val="20"/>
              </w:rPr>
              <w:t xml:space="preserve">actor for the entire UK Link portfolio. Conversion factor updates via RGMA process will </w:t>
            </w:r>
            <w:r w:rsidR="00410779" w:rsidRPr="00B635D9">
              <w:rPr>
                <w:rFonts w:cstheme="minorHAnsi"/>
                <w:bCs/>
                <w:sz w:val="20"/>
              </w:rPr>
              <w:t>take precedence o</w:t>
            </w:r>
            <w:r>
              <w:rPr>
                <w:rFonts w:cstheme="minorHAnsi"/>
                <w:bCs/>
                <w:sz w:val="20"/>
              </w:rPr>
              <w:t>ver the data cleansing activity</w:t>
            </w:r>
          </w:p>
          <w:p w14:paraId="6987D6A1" w14:textId="77777777" w:rsidR="00B635D9" w:rsidRPr="00DB6318" w:rsidRDefault="00B635D9" w:rsidP="00B635D9">
            <w:pPr>
              <w:pStyle w:val="ListParagraph"/>
              <w:spacing w:before="120" w:after="120"/>
              <w:rPr>
                <w:rFonts w:cstheme="minorHAnsi"/>
                <w:bCs/>
              </w:rPr>
            </w:pPr>
          </w:p>
          <w:p w14:paraId="1510ADEB" w14:textId="77777777" w:rsidR="00865500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14:paraId="1CFBEC1F" w14:textId="77777777" w:rsidTr="00B52A38">
        <w:tc>
          <w:tcPr>
            <w:tcW w:w="10206" w:type="dxa"/>
          </w:tcPr>
          <w:p w14:paraId="06E85913" w14:textId="77777777" w:rsidR="00C463ED" w:rsidRPr="009236FC" w:rsidRDefault="009E6998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236FC">
              <w:rPr>
                <w:rFonts w:cstheme="minorHAnsi"/>
                <w:b/>
                <w:sz w:val="20"/>
                <w:szCs w:val="20"/>
              </w:rPr>
              <w:t>External Interface Impacts   (Changes to Screens, Portals, Files, Permitted Values, etc.)</w:t>
            </w:r>
          </w:p>
          <w:p w14:paraId="6D69B50D" w14:textId="489518C3" w:rsidR="007356A3" w:rsidRDefault="00672DA6" w:rsidP="00672DA6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672DA6">
              <w:rPr>
                <w:rFonts w:cstheme="minorHAnsi"/>
                <w:bCs/>
                <w:sz w:val="20"/>
                <w:szCs w:val="20"/>
              </w:rPr>
              <w:t>None Identified</w:t>
            </w:r>
            <w:r w:rsidR="00A26A7E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6516E29" w14:textId="44B6E923" w:rsidR="00672DA6" w:rsidRPr="009236FC" w:rsidRDefault="00672DA6" w:rsidP="00672DA6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14:paraId="44BE00BF" w14:textId="77777777" w:rsidTr="00B52A38">
        <w:trPr>
          <w:cantSplit/>
        </w:trPr>
        <w:tc>
          <w:tcPr>
            <w:tcW w:w="10206" w:type="dxa"/>
          </w:tcPr>
          <w:p w14:paraId="079E10D8" w14:textId="77777777" w:rsidR="009E6998" w:rsidRPr="009236FC" w:rsidRDefault="009E6998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236FC">
              <w:rPr>
                <w:rFonts w:cstheme="minorHAnsi"/>
                <w:b/>
                <w:sz w:val="20"/>
                <w:szCs w:val="20"/>
              </w:rPr>
              <w:lastRenderedPageBreak/>
              <w:t>Impacts to Gemini System:</w:t>
            </w:r>
          </w:p>
          <w:p w14:paraId="381AB9A9" w14:textId="4DCCE5B4" w:rsidR="00865500" w:rsidRDefault="00672DA6" w:rsidP="00672DA6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672DA6">
              <w:rPr>
                <w:rFonts w:cstheme="minorHAnsi"/>
                <w:bCs/>
                <w:sz w:val="20"/>
                <w:szCs w:val="20"/>
              </w:rPr>
              <w:t>None identified</w:t>
            </w:r>
            <w:r w:rsidR="00A26A7E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9F7DBF4" w14:textId="1917E4F2" w:rsidR="00672DA6" w:rsidRPr="009236FC" w:rsidRDefault="00672DA6" w:rsidP="00672DA6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14:paraId="269F13E9" w14:textId="77777777" w:rsidTr="00B52A38">
        <w:trPr>
          <w:cantSplit/>
        </w:trPr>
        <w:tc>
          <w:tcPr>
            <w:tcW w:w="10206" w:type="dxa"/>
          </w:tcPr>
          <w:p w14:paraId="482F88D0" w14:textId="77777777" w:rsidR="009E6998" w:rsidRPr="009236FC" w:rsidRDefault="009E6998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236FC">
              <w:rPr>
                <w:rFonts w:cstheme="minorHAnsi"/>
                <w:b/>
                <w:sz w:val="20"/>
                <w:szCs w:val="20"/>
              </w:rPr>
              <w:t>Impacts UKL Manual Appendix 5b:</w:t>
            </w:r>
          </w:p>
          <w:p w14:paraId="745148FB" w14:textId="0C05990B" w:rsidR="00710C83" w:rsidRDefault="00672DA6" w:rsidP="00B52A38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672DA6">
              <w:rPr>
                <w:rFonts w:cstheme="minorHAnsi"/>
                <w:bCs/>
                <w:sz w:val="20"/>
                <w:szCs w:val="20"/>
              </w:rPr>
              <w:t>Yet to be assessed</w:t>
            </w:r>
            <w:r w:rsidR="00A26A7E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D1696AC" w14:textId="59E74A3D" w:rsidR="00672DA6" w:rsidRPr="009236FC" w:rsidRDefault="00672DA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3ED" w:rsidRPr="009236FC" w14:paraId="58D3B363" w14:textId="77777777" w:rsidTr="00B52A38">
        <w:trPr>
          <w:cantSplit/>
        </w:trPr>
        <w:tc>
          <w:tcPr>
            <w:tcW w:w="10206" w:type="dxa"/>
          </w:tcPr>
          <w:p w14:paraId="3FCB99CD" w14:textId="09BC21E7" w:rsidR="00C463ED" w:rsidRDefault="004E2A47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DSC Service Areas I</w:t>
            </w:r>
            <w:r w:rsidR="00C463ED" w:rsidRPr="009236FC">
              <w:rPr>
                <w:rFonts w:cstheme="minorHAnsi"/>
                <w:b/>
                <w:sz w:val="20"/>
                <w:szCs w:val="20"/>
              </w:rPr>
              <w:t>mpacted:</w:t>
            </w:r>
          </w:p>
          <w:p w14:paraId="5C62D258" w14:textId="21804948" w:rsidR="00A76CA6" w:rsidRPr="00215537" w:rsidRDefault="00B47504" w:rsidP="00B4750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15537">
              <w:rPr>
                <w:rFonts w:cstheme="minorHAnsi"/>
                <w:b/>
                <w:sz w:val="20"/>
                <w:szCs w:val="20"/>
              </w:rPr>
              <w:t>Manage Supply Point Registration</w:t>
            </w:r>
          </w:p>
          <w:p w14:paraId="518811FE" w14:textId="309F6A23" w:rsidR="00B47504" w:rsidRPr="00215537" w:rsidRDefault="00B47504" w:rsidP="00B47504">
            <w:pPr>
              <w:pStyle w:val="ListParagraph"/>
              <w:spacing w:before="120" w:after="120"/>
              <w:rPr>
                <w:rFonts w:cstheme="minorHAnsi"/>
                <w:sz w:val="20"/>
                <w:szCs w:val="20"/>
              </w:rPr>
            </w:pPr>
            <w:r w:rsidRPr="00215537">
              <w:rPr>
                <w:rFonts w:cstheme="minorHAnsi"/>
                <w:sz w:val="20"/>
                <w:szCs w:val="20"/>
              </w:rPr>
              <w:t>Shippers – 100%</w:t>
            </w:r>
          </w:p>
          <w:p w14:paraId="0B885F49" w14:textId="77777777" w:rsidR="005B5571" w:rsidRPr="009236FC" w:rsidRDefault="005B5571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  <w:p w14:paraId="7EF31F08" w14:textId="77777777" w:rsidR="00C463ED" w:rsidRPr="009236FC" w:rsidRDefault="007356A3" w:rsidP="00B52A38">
            <w:pPr>
              <w:keepNext/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9236FC">
              <w:rPr>
                <w:rFonts w:cstheme="minorHAnsi"/>
                <w:sz w:val="20"/>
                <w:szCs w:val="20"/>
              </w:rPr>
              <w:t>Note:  DSC Change Committee will resolve any difference between the funding split implied by the above and the benefit split of the proposed change.</w:t>
            </w:r>
          </w:p>
          <w:p w14:paraId="4FFA852B" w14:textId="77777777" w:rsidR="003C4760" w:rsidRPr="009236FC" w:rsidRDefault="003C4760" w:rsidP="00B52A3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865500" w:rsidRPr="009236FC" w14:paraId="28B21611" w14:textId="77777777" w:rsidTr="00B52A38">
        <w:trPr>
          <w:cantSplit/>
        </w:trPr>
        <w:tc>
          <w:tcPr>
            <w:tcW w:w="10206" w:type="dxa"/>
            <w:vAlign w:val="center"/>
          </w:tcPr>
          <w:p w14:paraId="4C95C4F7" w14:textId="77777777" w:rsidR="00865500" w:rsidRPr="009236FC" w:rsidRDefault="00865500" w:rsidP="00B52A38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36FC">
              <w:rPr>
                <w:rFonts w:cstheme="minorHAnsi"/>
                <w:b/>
                <w:szCs w:val="24"/>
              </w:rPr>
              <w:t>Costs and Timescales</w:t>
            </w:r>
          </w:p>
        </w:tc>
      </w:tr>
      <w:tr w:rsidR="00EC4986" w:rsidRPr="009236FC" w14:paraId="4A511F8E" w14:textId="77777777" w:rsidTr="00B52A38">
        <w:trPr>
          <w:cantSplit/>
        </w:trPr>
        <w:tc>
          <w:tcPr>
            <w:tcW w:w="10206" w:type="dxa"/>
          </w:tcPr>
          <w:p w14:paraId="530557F3" w14:textId="77777777" w:rsidR="00EC4986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Change Costs (implementation):</w:t>
            </w:r>
          </w:p>
          <w:p w14:paraId="589A6F9E" w14:textId="10B67B39" w:rsidR="007356A3" w:rsidRPr="009236FC" w:rsidRDefault="007356A3" w:rsidP="00B52A38">
            <w:pPr>
              <w:keepNext/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9236FC">
              <w:rPr>
                <w:rFonts w:cstheme="minorHAnsi"/>
                <w:sz w:val="20"/>
                <w:szCs w:val="20"/>
              </w:rPr>
              <w:t xml:space="preserve">An enduring solution will cost at least </w:t>
            </w:r>
            <w:r w:rsidRPr="009236FC">
              <w:rPr>
                <w:rFonts w:cstheme="minorHAnsi"/>
                <w:b/>
                <w:sz w:val="20"/>
                <w:szCs w:val="20"/>
              </w:rPr>
              <w:t>£</w:t>
            </w:r>
            <w:r w:rsidR="00B635D9">
              <w:rPr>
                <w:rFonts w:cstheme="minorHAnsi"/>
                <w:b/>
                <w:sz w:val="20"/>
                <w:szCs w:val="20"/>
              </w:rPr>
              <w:t>2</w:t>
            </w:r>
            <w:r w:rsidR="00887108">
              <w:rPr>
                <w:rFonts w:cstheme="minorHAnsi"/>
                <w:b/>
                <w:sz w:val="20"/>
                <w:szCs w:val="20"/>
              </w:rPr>
              <w:t>0</w:t>
            </w:r>
            <w:r w:rsidR="00672DA6">
              <w:rPr>
                <w:rFonts w:cstheme="minorHAnsi"/>
                <w:b/>
                <w:sz w:val="20"/>
                <w:szCs w:val="20"/>
              </w:rPr>
              <w:t>,000</w:t>
            </w:r>
            <w:r w:rsidRPr="009236FC">
              <w:rPr>
                <w:rFonts w:cstheme="minorHAnsi"/>
                <w:sz w:val="20"/>
                <w:szCs w:val="20"/>
              </w:rPr>
              <w:t>,</w:t>
            </w:r>
            <w:r w:rsidR="00672DA6">
              <w:rPr>
                <w:rFonts w:cstheme="minorHAnsi"/>
                <w:sz w:val="20"/>
                <w:szCs w:val="20"/>
              </w:rPr>
              <w:t xml:space="preserve"> b</w:t>
            </w:r>
            <w:r w:rsidRPr="009236FC">
              <w:rPr>
                <w:rFonts w:cstheme="minorHAnsi"/>
                <w:sz w:val="20"/>
                <w:szCs w:val="20"/>
              </w:rPr>
              <w:t xml:space="preserve">ut probably not more than </w:t>
            </w:r>
            <w:r w:rsidRPr="009236FC">
              <w:rPr>
                <w:rFonts w:cstheme="minorHAnsi"/>
                <w:b/>
                <w:sz w:val="20"/>
                <w:szCs w:val="20"/>
              </w:rPr>
              <w:t>£</w:t>
            </w:r>
            <w:r w:rsidR="00887108">
              <w:rPr>
                <w:rFonts w:cstheme="minorHAnsi"/>
                <w:b/>
                <w:sz w:val="20"/>
                <w:szCs w:val="20"/>
              </w:rPr>
              <w:t>4</w:t>
            </w:r>
            <w:r w:rsidR="00B635D9">
              <w:rPr>
                <w:rFonts w:cstheme="minorHAnsi"/>
                <w:b/>
                <w:sz w:val="20"/>
                <w:szCs w:val="20"/>
              </w:rPr>
              <w:t>0</w:t>
            </w:r>
            <w:r w:rsidR="00672DA6">
              <w:rPr>
                <w:rFonts w:cstheme="minorHAnsi"/>
                <w:b/>
                <w:sz w:val="20"/>
                <w:szCs w:val="20"/>
              </w:rPr>
              <w:t xml:space="preserve">,000 </w:t>
            </w:r>
            <w:r w:rsidRPr="009236FC">
              <w:rPr>
                <w:rFonts w:cstheme="minorHAnsi"/>
                <w:sz w:val="20"/>
                <w:szCs w:val="20"/>
              </w:rPr>
              <w:t>to implement.</w:t>
            </w:r>
          </w:p>
          <w:p w14:paraId="37B8DF09" w14:textId="77777777" w:rsidR="00EC4986" w:rsidRPr="009236FC" w:rsidRDefault="00EC4986" w:rsidP="00B52A38">
            <w:pPr>
              <w:keepNext/>
              <w:keepLines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1112F217" w14:textId="77777777" w:rsidTr="00B52A38">
        <w:trPr>
          <w:cantSplit/>
        </w:trPr>
        <w:tc>
          <w:tcPr>
            <w:tcW w:w="10206" w:type="dxa"/>
          </w:tcPr>
          <w:p w14:paraId="253468C6" w14:textId="77777777" w:rsidR="00EC4986" w:rsidRPr="009236FC" w:rsidRDefault="00EC4986" w:rsidP="00B52A38">
            <w:pPr>
              <w:tabs>
                <w:tab w:val="left" w:pos="2554"/>
              </w:tabs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Change Costs (on-going):</w:t>
            </w:r>
          </w:p>
          <w:p w14:paraId="4462DD1D" w14:textId="56A17B57" w:rsidR="00FE45E9" w:rsidRPr="00F04D2E" w:rsidRDefault="00672DA6" w:rsidP="00672DA6">
            <w:pPr>
              <w:tabs>
                <w:tab w:val="left" w:pos="255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ongoing costs identified</w:t>
            </w:r>
            <w:r w:rsidR="00A26A7E">
              <w:rPr>
                <w:rFonts w:cs="Arial"/>
                <w:sz w:val="20"/>
                <w:szCs w:val="20"/>
              </w:rPr>
              <w:t>.</w:t>
            </w:r>
          </w:p>
          <w:p w14:paraId="1FC9857E" w14:textId="77777777" w:rsidR="00EC4986" w:rsidRPr="009236FC" w:rsidRDefault="00EC4986" w:rsidP="00B52A38">
            <w:pPr>
              <w:tabs>
                <w:tab w:val="left" w:pos="2554"/>
              </w:tabs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2AAAF540" w14:textId="77777777" w:rsidTr="00B52A38">
        <w:trPr>
          <w:cantSplit/>
        </w:trPr>
        <w:tc>
          <w:tcPr>
            <w:tcW w:w="10206" w:type="dxa"/>
          </w:tcPr>
          <w:p w14:paraId="1EDE227E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Timescales:</w:t>
            </w:r>
          </w:p>
          <w:p w14:paraId="2C47B17B" w14:textId="55707767" w:rsidR="00EC4986" w:rsidRDefault="00A26A7E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This change </w:t>
            </w:r>
            <w:r w:rsidRPr="00BE3F6E">
              <w:rPr>
                <w:rFonts w:cstheme="minorHAnsi"/>
                <w:bCs/>
                <w:sz w:val="20"/>
                <w:szCs w:val="20"/>
              </w:rPr>
              <w:t xml:space="preserve">would </w:t>
            </w:r>
            <w:r>
              <w:rPr>
                <w:rFonts w:cstheme="minorHAnsi"/>
                <w:bCs/>
                <w:sz w:val="20"/>
                <w:szCs w:val="20"/>
              </w:rPr>
              <w:t>require a</w:t>
            </w:r>
            <w:r w:rsidRPr="00BE3F6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B268D">
              <w:rPr>
                <w:rFonts w:cstheme="minorHAnsi"/>
                <w:b/>
                <w:bCs/>
                <w:sz w:val="20"/>
                <w:szCs w:val="20"/>
              </w:rPr>
              <w:t>UK Link Major Release</w:t>
            </w:r>
            <w:r>
              <w:rPr>
                <w:rFonts w:cstheme="minorHAnsi"/>
                <w:bCs/>
                <w:sz w:val="20"/>
                <w:szCs w:val="20"/>
              </w:rPr>
              <w:t xml:space="preserve"> for implementation.</w:t>
            </w:r>
          </w:p>
          <w:p w14:paraId="3F473AE3" w14:textId="3D9C326F" w:rsidR="00A26A7E" w:rsidRPr="009236FC" w:rsidRDefault="00A26A7E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72CC4699" w14:textId="77777777" w:rsidTr="00B52A38">
        <w:trPr>
          <w:cantSplit/>
        </w:trPr>
        <w:tc>
          <w:tcPr>
            <w:tcW w:w="10206" w:type="dxa"/>
          </w:tcPr>
          <w:p w14:paraId="7B8F6978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Assumptions:</w:t>
            </w:r>
          </w:p>
          <w:p w14:paraId="65FAB342" w14:textId="403F910C" w:rsidR="00D310EE" w:rsidRPr="002C52C7" w:rsidRDefault="00D0045A" w:rsidP="002C52C7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  <w:bCs/>
                <w:sz w:val="20"/>
              </w:rPr>
            </w:pPr>
            <w:r w:rsidRPr="002C52C7">
              <w:rPr>
                <w:rFonts w:cstheme="minorHAnsi"/>
                <w:bCs/>
                <w:sz w:val="20"/>
              </w:rPr>
              <w:t xml:space="preserve">Market </w:t>
            </w:r>
            <w:r w:rsidR="002C52C7">
              <w:rPr>
                <w:rFonts w:cstheme="minorHAnsi"/>
                <w:bCs/>
                <w:sz w:val="20"/>
              </w:rPr>
              <w:t>Trials costs are not considered</w:t>
            </w:r>
          </w:p>
          <w:p w14:paraId="5DBBE64F" w14:textId="297F6E88" w:rsidR="00D310EE" w:rsidRPr="002C52C7" w:rsidRDefault="00D0045A" w:rsidP="002C52C7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  <w:bCs/>
                <w:sz w:val="20"/>
              </w:rPr>
            </w:pPr>
            <w:r w:rsidRPr="002C52C7">
              <w:rPr>
                <w:rFonts w:cstheme="minorHAnsi"/>
                <w:bCs/>
                <w:sz w:val="20"/>
              </w:rPr>
              <w:t>Perfo</w:t>
            </w:r>
            <w:r w:rsidR="002C52C7">
              <w:rPr>
                <w:rFonts w:cstheme="minorHAnsi"/>
                <w:bCs/>
                <w:sz w:val="20"/>
              </w:rPr>
              <w:t>rmance Testing will be required</w:t>
            </w:r>
          </w:p>
          <w:p w14:paraId="0C7F3DCB" w14:textId="1CA1B86E" w:rsidR="00D310EE" w:rsidRPr="002C52C7" w:rsidRDefault="00D0045A" w:rsidP="002C52C7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  <w:bCs/>
                <w:sz w:val="20"/>
              </w:rPr>
            </w:pPr>
            <w:r w:rsidRPr="002C52C7">
              <w:rPr>
                <w:rFonts w:cstheme="minorHAnsi"/>
                <w:bCs/>
                <w:sz w:val="20"/>
              </w:rPr>
              <w:t>MPRNs with</w:t>
            </w:r>
            <w:r w:rsidR="002C52C7">
              <w:rPr>
                <w:rFonts w:cstheme="minorHAnsi"/>
                <w:bCs/>
                <w:sz w:val="20"/>
              </w:rPr>
              <w:t xml:space="preserve"> Device are in scope of the XRN</w:t>
            </w:r>
          </w:p>
          <w:p w14:paraId="0872471A" w14:textId="1AA02782" w:rsidR="00D310EE" w:rsidRPr="002C52C7" w:rsidRDefault="00BB268D" w:rsidP="002C52C7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W</w:t>
            </w:r>
            <w:r w:rsidRPr="002C52C7">
              <w:rPr>
                <w:rFonts w:cstheme="minorHAnsi"/>
                <w:bCs/>
                <w:sz w:val="20"/>
              </w:rPr>
              <w:t>here</w:t>
            </w:r>
            <w:r>
              <w:rPr>
                <w:rFonts w:cstheme="minorHAnsi"/>
                <w:bCs/>
                <w:sz w:val="20"/>
              </w:rPr>
              <w:t xml:space="preserve"> the</w:t>
            </w:r>
            <w:r w:rsidRPr="002C52C7">
              <w:rPr>
                <w:rFonts w:cstheme="minorHAnsi"/>
                <w:bCs/>
                <w:sz w:val="20"/>
              </w:rPr>
              <w:t xml:space="preserve"> c</w:t>
            </w:r>
            <w:r>
              <w:rPr>
                <w:rFonts w:cstheme="minorHAnsi"/>
                <w:bCs/>
                <w:sz w:val="20"/>
              </w:rPr>
              <w:t>onversion factor requires updating,</w:t>
            </w:r>
            <w:r w:rsidRPr="002C52C7">
              <w:rPr>
                <w:rFonts w:cstheme="minorHAnsi"/>
                <w:bCs/>
                <w:sz w:val="20"/>
              </w:rPr>
              <w:t xml:space="preserve"> </w:t>
            </w:r>
            <w:r w:rsidR="00D0045A" w:rsidRPr="002C52C7">
              <w:rPr>
                <w:rFonts w:cstheme="minorHAnsi"/>
                <w:bCs/>
                <w:sz w:val="20"/>
              </w:rPr>
              <w:t>Shippers will be notified</w:t>
            </w:r>
            <w:r>
              <w:rPr>
                <w:rFonts w:cstheme="minorHAnsi"/>
                <w:bCs/>
                <w:sz w:val="20"/>
              </w:rPr>
              <w:t xml:space="preserve"> of the AQ change (both above or below the threshold value)</w:t>
            </w:r>
            <w:r w:rsidRPr="002C52C7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on the M-7 record of the NRL file </w:t>
            </w:r>
          </w:p>
          <w:p w14:paraId="231E6652" w14:textId="0D1870B5" w:rsidR="00D310EE" w:rsidRDefault="00D0045A" w:rsidP="002C52C7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  <w:bCs/>
                <w:sz w:val="20"/>
              </w:rPr>
            </w:pPr>
            <w:r w:rsidRPr="002C52C7">
              <w:rPr>
                <w:rFonts w:cstheme="minorHAnsi"/>
                <w:bCs/>
                <w:sz w:val="20"/>
              </w:rPr>
              <w:t>If no ‘non-standard’ conversion factor is found then no action shall b</w:t>
            </w:r>
            <w:r w:rsidR="002C52C7">
              <w:rPr>
                <w:rFonts w:cstheme="minorHAnsi"/>
                <w:bCs/>
                <w:sz w:val="20"/>
              </w:rPr>
              <w:t>e taken if AQ is increased above the threshold value</w:t>
            </w:r>
          </w:p>
          <w:p w14:paraId="56F9D010" w14:textId="7AB2BA18" w:rsidR="00A26A7E" w:rsidRPr="00B635D9" w:rsidRDefault="00A26A7E" w:rsidP="002C52C7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  <w:bCs/>
                <w:sz w:val="20"/>
              </w:rPr>
            </w:pPr>
            <w:r w:rsidRPr="00CC3E43">
              <w:rPr>
                <w:rFonts w:cstheme="minorHAnsi"/>
                <w:bCs/>
                <w:sz w:val="20"/>
                <w:szCs w:val="20"/>
              </w:rPr>
              <w:t xml:space="preserve">Read estimation needs to </w:t>
            </w:r>
            <w:r>
              <w:rPr>
                <w:rFonts w:cstheme="minorHAnsi"/>
                <w:bCs/>
                <w:sz w:val="20"/>
                <w:szCs w:val="20"/>
              </w:rPr>
              <w:t>take place</w:t>
            </w:r>
            <w:r w:rsidRPr="00CC3E43">
              <w:rPr>
                <w:rFonts w:cstheme="minorHAnsi"/>
                <w:bCs/>
                <w:sz w:val="20"/>
                <w:szCs w:val="20"/>
              </w:rPr>
              <w:t xml:space="preserve"> while</w:t>
            </w:r>
            <w:r w:rsidR="00CB6A4F">
              <w:rPr>
                <w:rFonts w:cstheme="minorHAnsi"/>
                <w:bCs/>
                <w:sz w:val="20"/>
                <w:szCs w:val="20"/>
              </w:rPr>
              <w:t xml:space="preserve"> updating the Conversion factor</w:t>
            </w:r>
          </w:p>
          <w:p w14:paraId="7B4BDE57" w14:textId="5DB23EB8" w:rsidR="00000000" w:rsidRPr="00B635D9" w:rsidRDefault="00410779" w:rsidP="00B635D9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  <w:bCs/>
                <w:sz w:val="20"/>
              </w:rPr>
            </w:pPr>
            <w:r w:rsidRPr="00B635D9">
              <w:rPr>
                <w:rFonts w:cstheme="minorHAnsi"/>
                <w:bCs/>
                <w:sz w:val="20"/>
              </w:rPr>
              <w:t xml:space="preserve">New Report to update the Conversion </w:t>
            </w:r>
            <w:r w:rsidR="00B635D9">
              <w:rPr>
                <w:rFonts w:cstheme="minorHAnsi"/>
                <w:bCs/>
                <w:sz w:val="20"/>
              </w:rPr>
              <w:t>F</w:t>
            </w:r>
            <w:r w:rsidRPr="00B635D9">
              <w:rPr>
                <w:rFonts w:cstheme="minorHAnsi"/>
                <w:bCs/>
                <w:sz w:val="20"/>
              </w:rPr>
              <w:t>actor</w:t>
            </w:r>
            <w:r w:rsidR="00B635D9">
              <w:rPr>
                <w:rFonts w:cstheme="minorHAnsi"/>
                <w:bCs/>
                <w:sz w:val="20"/>
              </w:rPr>
              <w:t>s for the data cleansing activity</w:t>
            </w:r>
            <w:r w:rsidRPr="00B635D9">
              <w:rPr>
                <w:rFonts w:cstheme="minorHAnsi"/>
                <w:bCs/>
                <w:sz w:val="20"/>
              </w:rPr>
              <w:t xml:space="preserve"> needs to be aligned with Capacity/Commodity runs</w:t>
            </w:r>
            <w:r w:rsidR="00B635D9" w:rsidRPr="00B635D9">
              <w:rPr>
                <w:rFonts w:cstheme="minorHAnsi"/>
                <w:bCs/>
                <w:sz w:val="20"/>
              </w:rPr>
              <w:t xml:space="preserve"> </w:t>
            </w:r>
            <w:r w:rsidRPr="00B635D9">
              <w:rPr>
                <w:rFonts w:cstheme="minorHAnsi"/>
                <w:bCs/>
                <w:sz w:val="20"/>
              </w:rPr>
              <w:t>(in terms of batch timings).</w:t>
            </w:r>
          </w:p>
          <w:p w14:paraId="49378A95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1FCC41F9" w14:textId="77777777" w:rsidTr="00B52A38">
        <w:trPr>
          <w:cantSplit/>
        </w:trPr>
        <w:tc>
          <w:tcPr>
            <w:tcW w:w="10206" w:type="dxa"/>
          </w:tcPr>
          <w:p w14:paraId="21BD5EEF" w14:textId="77777777" w:rsidR="00EC4986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Dependencies:</w:t>
            </w:r>
          </w:p>
          <w:p w14:paraId="19BC147E" w14:textId="5F6AE1A4" w:rsidR="00A26A7E" w:rsidRPr="00CB6A4F" w:rsidRDefault="00A26A7E" w:rsidP="00B52A38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B6A4F">
              <w:rPr>
                <w:rFonts w:cstheme="minorHAnsi"/>
                <w:bCs/>
                <w:sz w:val="20"/>
                <w:szCs w:val="20"/>
              </w:rPr>
              <w:t>None Identified</w:t>
            </w:r>
          </w:p>
          <w:p w14:paraId="78EFBA55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7C175BAC" w14:textId="77777777" w:rsidTr="00B52A38">
        <w:tc>
          <w:tcPr>
            <w:tcW w:w="10206" w:type="dxa"/>
          </w:tcPr>
          <w:p w14:paraId="7A0BA0EE" w14:textId="77777777" w:rsidR="00EC4986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Constraints:</w:t>
            </w:r>
          </w:p>
          <w:p w14:paraId="225F2F71" w14:textId="38ABB3E1" w:rsidR="00A26A7E" w:rsidRPr="00CB6A4F" w:rsidRDefault="00A26A7E" w:rsidP="00B52A38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B6A4F">
              <w:rPr>
                <w:rFonts w:cstheme="minorHAnsi"/>
                <w:bCs/>
                <w:sz w:val="20"/>
                <w:szCs w:val="20"/>
              </w:rPr>
              <w:t>None Identified</w:t>
            </w:r>
          </w:p>
          <w:p w14:paraId="2B29C27F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03B1721C" w14:textId="77777777" w:rsidTr="00B52A38">
        <w:tc>
          <w:tcPr>
            <w:tcW w:w="10206" w:type="dxa"/>
          </w:tcPr>
          <w:p w14:paraId="5FE36358" w14:textId="77777777" w:rsidR="00472B0A" w:rsidRDefault="00472B0A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24D803" w14:textId="77777777" w:rsidR="00EC4986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Observations:</w:t>
            </w:r>
          </w:p>
          <w:p w14:paraId="7C5FD669" w14:textId="410F5AC7" w:rsidR="00EC4986" w:rsidRPr="00CB6A4F" w:rsidRDefault="00A26A7E" w:rsidP="00B52A38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B6A4F">
              <w:rPr>
                <w:rFonts w:cstheme="minorHAnsi"/>
                <w:bCs/>
                <w:sz w:val="20"/>
                <w:szCs w:val="20"/>
              </w:rPr>
              <w:t>None Identified</w:t>
            </w:r>
          </w:p>
        </w:tc>
      </w:tr>
    </w:tbl>
    <w:p w14:paraId="31670DFF" w14:textId="77777777" w:rsidR="00472B0A" w:rsidRDefault="00472B0A" w:rsidP="00635D7E">
      <w:pPr>
        <w:pStyle w:val="XoParagraph"/>
        <w:rPr>
          <w:b/>
        </w:rPr>
      </w:pPr>
    </w:p>
    <w:p w14:paraId="4973484E" w14:textId="77777777" w:rsidR="00635D7E" w:rsidRPr="00A928B8" w:rsidRDefault="00635D7E" w:rsidP="00635D7E">
      <w:pPr>
        <w:pStyle w:val="XoParagraph"/>
        <w:rPr>
          <w:b/>
        </w:rPr>
      </w:pPr>
      <w:r w:rsidRPr="00A928B8">
        <w:rPr>
          <w:b/>
        </w:rPr>
        <w:t>Document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793"/>
        <w:gridCol w:w="1660"/>
        <w:gridCol w:w="1319"/>
        <w:gridCol w:w="1513"/>
        <w:gridCol w:w="3922"/>
      </w:tblGrid>
      <w:tr w:rsidR="00635D7E" w:rsidRPr="00762849" w14:paraId="14192053" w14:textId="77777777" w:rsidTr="00985562">
        <w:trPr>
          <w:trHeight w:val="611"/>
        </w:trPr>
        <w:tc>
          <w:tcPr>
            <w:tcW w:w="879" w:type="pct"/>
            <w:shd w:val="clear" w:color="auto" w:fill="D6DCF0" w:themeFill="accent1" w:themeFillTint="33"/>
            <w:vAlign w:val="center"/>
          </w:tcPr>
          <w:p w14:paraId="66A9B1A6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813" w:type="pct"/>
            <w:shd w:val="clear" w:color="auto" w:fill="D6DCF0" w:themeFill="accent1" w:themeFillTint="33"/>
            <w:vAlign w:val="center"/>
          </w:tcPr>
          <w:p w14:paraId="17111AED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646" w:type="pct"/>
            <w:shd w:val="clear" w:color="auto" w:fill="D6DCF0" w:themeFill="accent1" w:themeFillTint="33"/>
            <w:vAlign w:val="center"/>
          </w:tcPr>
          <w:p w14:paraId="0642C5FA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41" w:type="pct"/>
            <w:shd w:val="clear" w:color="auto" w:fill="D6DCF0" w:themeFill="accent1" w:themeFillTint="33"/>
            <w:vAlign w:val="center"/>
          </w:tcPr>
          <w:p w14:paraId="4AB1AD0F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Author(s)</w:t>
            </w:r>
          </w:p>
        </w:tc>
        <w:tc>
          <w:tcPr>
            <w:tcW w:w="1922" w:type="pct"/>
            <w:shd w:val="clear" w:color="auto" w:fill="D6DCF0" w:themeFill="accent1" w:themeFillTint="33"/>
            <w:vAlign w:val="center"/>
          </w:tcPr>
          <w:p w14:paraId="1D48FCDB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Summary of Changes</w:t>
            </w:r>
          </w:p>
        </w:tc>
      </w:tr>
      <w:tr w:rsidR="00635D7E" w:rsidRPr="007B4360" w14:paraId="1A5321A3" w14:textId="77777777" w:rsidTr="00985562">
        <w:tc>
          <w:tcPr>
            <w:tcW w:w="879" w:type="pct"/>
          </w:tcPr>
          <w:p w14:paraId="22F9BD90" w14:textId="2D7C0BCD" w:rsidR="00635D7E" w:rsidRPr="007B4360" w:rsidRDefault="00A26A7E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813" w:type="pct"/>
          </w:tcPr>
          <w:p w14:paraId="61E9F3A2" w14:textId="0ADD8208" w:rsidR="00635D7E" w:rsidRPr="007B4360" w:rsidRDefault="00A26A7E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</w:t>
            </w:r>
          </w:p>
        </w:tc>
        <w:tc>
          <w:tcPr>
            <w:tcW w:w="646" w:type="pct"/>
          </w:tcPr>
          <w:p w14:paraId="67348223" w14:textId="6ED2161D" w:rsidR="00635D7E" w:rsidRPr="007B4360" w:rsidRDefault="00A26A7E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05/06/2019</w:t>
            </w:r>
          </w:p>
        </w:tc>
        <w:tc>
          <w:tcPr>
            <w:tcW w:w="741" w:type="pct"/>
          </w:tcPr>
          <w:p w14:paraId="64717552" w14:textId="0CA752FF" w:rsidR="00635D7E" w:rsidRPr="007B4360" w:rsidRDefault="00A26A7E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Steed</w:t>
            </w:r>
          </w:p>
        </w:tc>
        <w:tc>
          <w:tcPr>
            <w:tcW w:w="1922" w:type="pct"/>
          </w:tcPr>
          <w:p w14:paraId="6FAEA73F" w14:textId="0A27A8E0" w:rsidR="00635D7E" w:rsidRPr="007B4360" w:rsidRDefault="00A26A7E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produced</w:t>
            </w:r>
          </w:p>
        </w:tc>
      </w:tr>
      <w:tr w:rsidR="00A26A7E" w:rsidRPr="007B4360" w14:paraId="5FDF26F3" w14:textId="77777777" w:rsidTr="00985562">
        <w:tc>
          <w:tcPr>
            <w:tcW w:w="879" w:type="pct"/>
          </w:tcPr>
          <w:p w14:paraId="59834B8F" w14:textId="744AFD59" w:rsidR="00A26A7E" w:rsidRDefault="00B47504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0.2</w:t>
            </w:r>
          </w:p>
        </w:tc>
        <w:tc>
          <w:tcPr>
            <w:tcW w:w="813" w:type="pct"/>
          </w:tcPr>
          <w:p w14:paraId="1CF69E9E" w14:textId="7BE62981" w:rsidR="00A26A7E" w:rsidRDefault="00B47504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Draft</w:t>
            </w:r>
          </w:p>
        </w:tc>
        <w:tc>
          <w:tcPr>
            <w:tcW w:w="646" w:type="pct"/>
          </w:tcPr>
          <w:p w14:paraId="3C2FDBEE" w14:textId="47D3228A" w:rsidR="00A26A7E" w:rsidRDefault="00B47504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06/06/2019</w:t>
            </w:r>
          </w:p>
        </w:tc>
        <w:tc>
          <w:tcPr>
            <w:tcW w:w="741" w:type="pct"/>
          </w:tcPr>
          <w:p w14:paraId="13150CB6" w14:textId="09E0D889" w:rsidR="00A26A7E" w:rsidRDefault="00B47504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Andrew Steeds</w:t>
            </w:r>
          </w:p>
        </w:tc>
        <w:tc>
          <w:tcPr>
            <w:tcW w:w="1922" w:type="pct"/>
          </w:tcPr>
          <w:p w14:paraId="29954E07" w14:textId="01A7EA1E" w:rsidR="00A26A7E" w:rsidRDefault="00B47504" w:rsidP="00B475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Added DSC Se</w:t>
            </w:r>
            <w:r w:rsidR="00215537">
              <w:rPr>
                <w:rFonts w:cs="Arial"/>
              </w:rPr>
              <w:t>rvice Line Impacted and updated change description</w:t>
            </w:r>
          </w:p>
        </w:tc>
      </w:tr>
      <w:tr w:rsidR="00B47504" w:rsidRPr="007B4360" w14:paraId="52F3F6AC" w14:textId="77777777" w:rsidTr="00985562">
        <w:tc>
          <w:tcPr>
            <w:tcW w:w="879" w:type="pct"/>
          </w:tcPr>
          <w:p w14:paraId="5900BA47" w14:textId="26993660" w:rsidR="00B47504" w:rsidRDefault="00472B0A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0.3</w:t>
            </w:r>
          </w:p>
        </w:tc>
        <w:tc>
          <w:tcPr>
            <w:tcW w:w="813" w:type="pct"/>
          </w:tcPr>
          <w:p w14:paraId="0BF70CF0" w14:textId="5EC7CA27" w:rsidR="00B47504" w:rsidRDefault="00472B0A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Draft</w:t>
            </w:r>
          </w:p>
        </w:tc>
        <w:tc>
          <w:tcPr>
            <w:tcW w:w="646" w:type="pct"/>
          </w:tcPr>
          <w:p w14:paraId="1FB8102E" w14:textId="31A32CBC" w:rsidR="00B47504" w:rsidRDefault="00472B0A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07/06/2019</w:t>
            </w:r>
          </w:p>
        </w:tc>
        <w:tc>
          <w:tcPr>
            <w:tcW w:w="741" w:type="pct"/>
          </w:tcPr>
          <w:p w14:paraId="73518901" w14:textId="5BF7F7B8" w:rsidR="00B47504" w:rsidRDefault="00472B0A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Andrew Steed</w:t>
            </w:r>
          </w:p>
        </w:tc>
        <w:tc>
          <w:tcPr>
            <w:tcW w:w="1922" w:type="pct"/>
          </w:tcPr>
          <w:p w14:paraId="1A01D278" w14:textId="52E73C5D" w:rsidR="00B47504" w:rsidRDefault="00472B0A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Updated to include data cleanse element</w:t>
            </w:r>
          </w:p>
        </w:tc>
      </w:tr>
      <w:tr w:rsidR="00472B0A" w:rsidRPr="007B4360" w14:paraId="69182F81" w14:textId="77777777" w:rsidTr="00985562">
        <w:tc>
          <w:tcPr>
            <w:tcW w:w="879" w:type="pct"/>
          </w:tcPr>
          <w:p w14:paraId="5B15B728" w14:textId="52332744" w:rsidR="00472B0A" w:rsidRDefault="00B635D9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0.4</w:t>
            </w:r>
          </w:p>
        </w:tc>
        <w:tc>
          <w:tcPr>
            <w:tcW w:w="813" w:type="pct"/>
          </w:tcPr>
          <w:p w14:paraId="6B206008" w14:textId="0F762CEE" w:rsidR="00472B0A" w:rsidRDefault="00B635D9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Draft</w:t>
            </w:r>
          </w:p>
        </w:tc>
        <w:tc>
          <w:tcPr>
            <w:tcW w:w="646" w:type="pct"/>
          </w:tcPr>
          <w:p w14:paraId="5410FF54" w14:textId="43A6560A" w:rsidR="00472B0A" w:rsidRDefault="00B635D9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10/06/2019</w:t>
            </w:r>
          </w:p>
        </w:tc>
        <w:tc>
          <w:tcPr>
            <w:tcW w:w="741" w:type="pct"/>
          </w:tcPr>
          <w:p w14:paraId="2B200D10" w14:textId="5F3FA495" w:rsidR="00472B0A" w:rsidRDefault="00B635D9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Andrew Steed</w:t>
            </w:r>
          </w:p>
        </w:tc>
        <w:tc>
          <w:tcPr>
            <w:tcW w:w="1922" w:type="pct"/>
          </w:tcPr>
          <w:p w14:paraId="07A1E699" w14:textId="2799D800" w:rsidR="00472B0A" w:rsidRDefault="00B635D9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Further detail added</w:t>
            </w:r>
          </w:p>
        </w:tc>
      </w:tr>
      <w:tr w:rsidR="00985562" w:rsidRPr="007B4360" w14:paraId="18BD0003" w14:textId="77777777" w:rsidTr="00985562">
        <w:tc>
          <w:tcPr>
            <w:tcW w:w="879" w:type="pct"/>
          </w:tcPr>
          <w:p w14:paraId="6E7443FF" w14:textId="7389C557" w:rsidR="00985562" w:rsidRDefault="00985562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813" w:type="pct"/>
          </w:tcPr>
          <w:p w14:paraId="7D618F8F" w14:textId="0764824F" w:rsidR="00985562" w:rsidRDefault="00985562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  <w:tc>
          <w:tcPr>
            <w:tcW w:w="646" w:type="pct"/>
          </w:tcPr>
          <w:p w14:paraId="22CD5FF4" w14:textId="352A95BB" w:rsidR="00985562" w:rsidRDefault="00985562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10/06/2019</w:t>
            </w:r>
          </w:p>
        </w:tc>
        <w:tc>
          <w:tcPr>
            <w:tcW w:w="741" w:type="pct"/>
          </w:tcPr>
          <w:p w14:paraId="3BE6E8FC" w14:textId="3DBF0186" w:rsidR="00985562" w:rsidRDefault="00985562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Andrew Steed</w:t>
            </w:r>
          </w:p>
        </w:tc>
        <w:tc>
          <w:tcPr>
            <w:tcW w:w="1922" w:type="pct"/>
          </w:tcPr>
          <w:p w14:paraId="2484E11E" w14:textId="35E7D329" w:rsidR="00985562" w:rsidRDefault="00985562" w:rsidP="00646A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</w:tr>
    </w:tbl>
    <w:p w14:paraId="25B62AD7" w14:textId="77777777" w:rsidR="0048394D" w:rsidRDefault="0048394D" w:rsidP="00635D7E">
      <w:pPr>
        <w:pStyle w:val="XoParagraph"/>
        <w:rPr>
          <w:b/>
        </w:rPr>
      </w:pPr>
    </w:p>
    <w:p w14:paraId="023E2689" w14:textId="77777777" w:rsidR="00635D7E" w:rsidRPr="00A928B8" w:rsidRDefault="00635D7E" w:rsidP="00635D7E">
      <w:pPr>
        <w:pStyle w:val="XoParagraph"/>
        <w:rPr>
          <w:b/>
        </w:rPr>
      </w:pPr>
      <w:r w:rsidRPr="00A928B8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635D7E" w:rsidRPr="00762849" w14:paraId="050D7F03" w14:textId="77777777" w:rsidTr="00646AB9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255911B7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50958F2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32A626FD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2B32810B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4B8D4143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Summary of Changes</w:t>
            </w:r>
          </w:p>
        </w:tc>
      </w:tr>
      <w:tr w:rsidR="00635D7E" w:rsidRPr="007B4360" w14:paraId="76A64155" w14:textId="77777777" w:rsidTr="00646AB9">
        <w:tc>
          <w:tcPr>
            <w:tcW w:w="902" w:type="pct"/>
          </w:tcPr>
          <w:p w14:paraId="71CE3721" w14:textId="77777777" w:rsidR="00635D7E" w:rsidRPr="009525CB" w:rsidRDefault="00ED7944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35D7E">
              <w:rPr>
                <w:rFonts w:ascii="Arial" w:hAnsi="Arial" w:cs="Arial"/>
              </w:rPr>
              <w:t>.0</w:t>
            </w:r>
          </w:p>
        </w:tc>
        <w:tc>
          <w:tcPr>
            <w:tcW w:w="835" w:type="pct"/>
          </w:tcPr>
          <w:p w14:paraId="0F25F12A" w14:textId="77777777" w:rsidR="00635D7E" w:rsidRPr="009525CB" w:rsidRDefault="00CA26C6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  <w:tc>
          <w:tcPr>
            <w:tcW w:w="556" w:type="pct"/>
          </w:tcPr>
          <w:p w14:paraId="3DA19B9E" w14:textId="77777777" w:rsidR="00635D7E" w:rsidRPr="009525CB" w:rsidRDefault="00635D7E" w:rsidP="00646AB9">
            <w:pPr>
              <w:jc w:val="center"/>
              <w:rPr>
                <w:rFonts w:ascii="Arial" w:hAnsi="Arial" w:cs="Arial"/>
              </w:rPr>
            </w:pPr>
            <w:r w:rsidRPr="009525CB">
              <w:rPr>
                <w:rFonts w:ascii="Arial" w:hAnsi="Arial" w:cs="Arial"/>
              </w:rPr>
              <w:t>22/05/18</w:t>
            </w:r>
          </w:p>
        </w:tc>
        <w:tc>
          <w:tcPr>
            <w:tcW w:w="763" w:type="pct"/>
          </w:tcPr>
          <w:p w14:paraId="7BDBE18C" w14:textId="77777777" w:rsidR="00635D7E" w:rsidRPr="009525CB" w:rsidRDefault="00635D7E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Ganney</w:t>
            </w:r>
          </w:p>
        </w:tc>
        <w:tc>
          <w:tcPr>
            <w:tcW w:w="1944" w:type="pct"/>
          </w:tcPr>
          <w:p w14:paraId="3D68C04E" w14:textId="77777777" w:rsidR="00635D7E" w:rsidRPr="009525CB" w:rsidRDefault="00635D7E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changes implemented</w:t>
            </w:r>
          </w:p>
        </w:tc>
      </w:tr>
    </w:tbl>
    <w:p w14:paraId="63254147" w14:textId="77777777" w:rsidR="009236FC" w:rsidRDefault="009236FC">
      <w:pPr>
        <w:rPr>
          <w:b/>
          <w:color w:val="0070C0"/>
        </w:rPr>
      </w:pPr>
    </w:p>
    <w:sectPr w:rsidR="009236FC" w:rsidSect="00883321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B7700" w14:textId="77777777" w:rsidR="00410779" w:rsidRDefault="00410779" w:rsidP="00913EF2">
      <w:pPr>
        <w:spacing w:after="0" w:line="240" w:lineRule="auto"/>
      </w:pPr>
      <w:r>
        <w:separator/>
      </w:r>
    </w:p>
  </w:endnote>
  <w:endnote w:type="continuationSeparator" w:id="0">
    <w:p w14:paraId="0AF14767" w14:textId="77777777" w:rsidR="00410779" w:rsidRDefault="00410779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FF9D" w14:textId="3E0CC683" w:rsidR="009236FC" w:rsidRPr="00985562" w:rsidRDefault="00985562" w:rsidP="00985562">
    <w:pPr>
      <w:pStyle w:val="Footer"/>
    </w:pPr>
    <w:r>
      <w:t>ROM Approved V1.0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793A4" w14:textId="637518F4" w:rsidR="0048394D" w:rsidRDefault="0048394D" w:rsidP="0048394D">
    <w:pPr>
      <w:pStyle w:val="Footer"/>
    </w:pPr>
    <w:r>
      <w:t xml:space="preserve">ROM </w:t>
    </w:r>
    <w:r w:rsidR="00985562">
      <w:t>Approved V1.0</w:t>
    </w:r>
  </w:p>
  <w:p w14:paraId="4D0FA32D" w14:textId="5B22E63D" w:rsidR="009236FC" w:rsidRPr="0048394D" w:rsidRDefault="009236FC" w:rsidP="00483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4C92E" w14:textId="77777777" w:rsidR="00410779" w:rsidRDefault="00410779" w:rsidP="00913EF2">
      <w:pPr>
        <w:spacing w:after="0" w:line="240" w:lineRule="auto"/>
      </w:pPr>
      <w:r>
        <w:separator/>
      </w:r>
    </w:p>
  </w:footnote>
  <w:footnote w:type="continuationSeparator" w:id="0">
    <w:p w14:paraId="43A2DEA5" w14:textId="77777777" w:rsidR="00410779" w:rsidRDefault="00410779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E3360" w14:textId="77777777" w:rsidR="00BB5A00" w:rsidRDefault="00410779">
    <w:pPr>
      <w:pStyle w:val="Header"/>
    </w:pPr>
    <w:r>
      <w:rPr>
        <w:noProof/>
        <w:lang w:eastAsia="en-GB"/>
      </w:rPr>
      <w:pict w14:anchorId="45F24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9C228" w14:textId="77777777" w:rsidR="00BB5A00" w:rsidRDefault="00410779">
    <w:pPr>
      <w:pStyle w:val="Header"/>
    </w:pPr>
    <w:r>
      <w:rPr>
        <w:noProof/>
        <w:lang w:eastAsia="en-GB"/>
      </w:rPr>
      <w:pict w14:anchorId="7ABD7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B95FB" w14:textId="77777777" w:rsidR="00BB5A00" w:rsidRDefault="00410779">
    <w:pPr>
      <w:pStyle w:val="Header"/>
    </w:pPr>
    <w:r>
      <w:rPr>
        <w:noProof/>
        <w:lang w:eastAsia="en-GB"/>
      </w:rPr>
      <w:pict w14:anchorId="51902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12C"/>
    <w:multiLevelType w:val="hybridMultilevel"/>
    <w:tmpl w:val="A28A157C"/>
    <w:lvl w:ilvl="0" w:tplc="9702C60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341B"/>
    <w:multiLevelType w:val="hybridMultilevel"/>
    <w:tmpl w:val="4356BDE2"/>
    <w:lvl w:ilvl="0" w:tplc="1F8A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C8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46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D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EB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6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88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8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67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B4161D"/>
    <w:multiLevelType w:val="hybridMultilevel"/>
    <w:tmpl w:val="29EC91CC"/>
    <w:lvl w:ilvl="0" w:tplc="D0527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C7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03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62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6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2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A1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42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6200A3"/>
    <w:multiLevelType w:val="hybridMultilevel"/>
    <w:tmpl w:val="4F8C1ABC"/>
    <w:lvl w:ilvl="0" w:tplc="0488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42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0C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8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A0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C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84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A7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23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4A4F70"/>
    <w:multiLevelType w:val="hybridMultilevel"/>
    <w:tmpl w:val="9D1CD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4953"/>
    <w:multiLevelType w:val="hybridMultilevel"/>
    <w:tmpl w:val="50286AD0"/>
    <w:lvl w:ilvl="0" w:tplc="115A2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0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4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2C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06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09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8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2D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E8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5F7E2B"/>
    <w:multiLevelType w:val="hybridMultilevel"/>
    <w:tmpl w:val="FB00D3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A73EE"/>
    <w:multiLevelType w:val="hybridMultilevel"/>
    <w:tmpl w:val="655E3D82"/>
    <w:lvl w:ilvl="0" w:tplc="50C4FE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F137F"/>
    <w:multiLevelType w:val="hybridMultilevel"/>
    <w:tmpl w:val="FB22E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A6E9F"/>
    <w:multiLevelType w:val="hybridMultilevel"/>
    <w:tmpl w:val="423C665C"/>
    <w:lvl w:ilvl="0" w:tplc="54A84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E2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E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27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C7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4A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AA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68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02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A66492"/>
    <w:multiLevelType w:val="hybridMultilevel"/>
    <w:tmpl w:val="FB00D3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C2469"/>
    <w:multiLevelType w:val="hybridMultilevel"/>
    <w:tmpl w:val="55B0C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3134D"/>
    <w:rsid w:val="00031F42"/>
    <w:rsid w:val="00037886"/>
    <w:rsid w:val="00060CDA"/>
    <w:rsid w:val="000615F3"/>
    <w:rsid w:val="00076718"/>
    <w:rsid w:val="000A0133"/>
    <w:rsid w:val="000B6F58"/>
    <w:rsid w:val="00101B64"/>
    <w:rsid w:val="00106666"/>
    <w:rsid w:val="00160739"/>
    <w:rsid w:val="00174134"/>
    <w:rsid w:val="00186FB8"/>
    <w:rsid w:val="001B523F"/>
    <w:rsid w:val="001C61D4"/>
    <w:rsid w:val="001D58BA"/>
    <w:rsid w:val="00214089"/>
    <w:rsid w:val="00215537"/>
    <w:rsid w:val="002427E0"/>
    <w:rsid w:val="0029481E"/>
    <w:rsid w:val="002B10B2"/>
    <w:rsid w:val="002B2C55"/>
    <w:rsid w:val="002C28A6"/>
    <w:rsid w:val="002C52C7"/>
    <w:rsid w:val="002D37DD"/>
    <w:rsid w:val="002E2C40"/>
    <w:rsid w:val="002F0AD2"/>
    <w:rsid w:val="00310912"/>
    <w:rsid w:val="00316B1C"/>
    <w:rsid w:val="0033454A"/>
    <w:rsid w:val="00335B18"/>
    <w:rsid w:val="00362C85"/>
    <w:rsid w:val="0038257F"/>
    <w:rsid w:val="003C4760"/>
    <w:rsid w:val="003D4B81"/>
    <w:rsid w:val="003E76A7"/>
    <w:rsid w:val="003F298D"/>
    <w:rsid w:val="00410779"/>
    <w:rsid w:val="00451B63"/>
    <w:rsid w:val="00472B0A"/>
    <w:rsid w:val="004733DE"/>
    <w:rsid w:val="0048394D"/>
    <w:rsid w:val="004E1F68"/>
    <w:rsid w:val="004E2A47"/>
    <w:rsid w:val="004F2D59"/>
    <w:rsid w:val="005138FB"/>
    <w:rsid w:val="00575A88"/>
    <w:rsid w:val="00590A4B"/>
    <w:rsid w:val="005964AB"/>
    <w:rsid w:val="005B5571"/>
    <w:rsid w:val="005C6619"/>
    <w:rsid w:val="005D3A53"/>
    <w:rsid w:val="005E26C7"/>
    <w:rsid w:val="00635D7E"/>
    <w:rsid w:val="0066191E"/>
    <w:rsid w:val="00672DA6"/>
    <w:rsid w:val="006A724E"/>
    <w:rsid w:val="006D4FF9"/>
    <w:rsid w:val="00710C83"/>
    <w:rsid w:val="00720354"/>
    <w:rsid w:val="007356A3"/>
    <w:rsid w:val="007654C3"/>
    <w:rsid w:val="00771A7A"/>
    <w:rsid w:val="00794CB9"/>
    <w:rsid w:val="007B4360"/>
    <w:rsid w:val="007E365E"/>
    <w:rsid w:val="007E5EFC"/>
    <w:rsid w:val="0080386F"/>
    <w:rsid w:val="00816C17"/>
    <w:rsid w:val="00817EF6"/>
    <w:rsid w:val="00837185"/>
    <w:rsid w:val="00843E7C"/>
    <w:rsid w:val="00846EC0"/>
    <w:rsid w:val="00850A81"/>
    <w:rsid w:val="00850FD3"/>
    <w:rsid w:val="00865500"/>
    <w:rsid w:val="00882DBA"/>
    <w:rsid w:val="00883321"/>
    <w:rsid w:val="00887108"/>
    <w:rsid w:val="008C7BB3"/>
    <w:rsid w:val="008D1EF2"/>
    <w:rsid w:val="008D2658"/>
    <w:rsid w:val="00913EF2"/>
    <w:rsid w:val="009219F2"/>
    <w:rsid w:val="009236FC"/>
    <w:rsid w:val="00933DFB"/>
    <w:rsid w:val="009423D3"/>
    <w:rsid w:val="009520A5"/>
    <w:rsid w:val="00985562"/>
    <w:rsid w:val="009B0C30"/>
    <w:rsid w:val="009D7127"/>
    <w:rsid w:val="009E6998"/>
    <w:rsid w:val="00A20C75"/>
    <w:rsid w:val="00A26A7E"/>
    <w:rsid w:val="00A76CA6"/>
    <w:rsid w:val="00A928B8"/>
    <w:rsid w:val="00AB19AE"/>
    <w:rsid w:val="00AC1F94"/>
    <w:rsid w:val="00AC5A48"/>
    <w:rsid w:val="00AC7F2D"/>
    <w:rsid w:val="00AD135E"/>
    <w:rsid w:val="00B47504"/>
    <w:rsid w:val="00B52A38"/>
    <w:rsid w:val="00B635D9"/>
    <w:rsid w:val="00B94684"/>
    <w:rsid w:val="00B973D7"/>
    <w:rsid w:val="00BA09B0"/>
    <w:rsid w:val="00BB268D"/>
    <w:rsid w:val="00BB5A00"/>
    <w:rsid w:val="00C07FCB"/>
    <w:rsid w:val="00C165C5"/>
    <w:rsid w:val="00C169B4"/>
    <w:rsid w:val="00C22F1C"/>
    <w:rsid w:val="00C463ED"/>
    <w:rsid w:val="00C53C53"/>
    <w:rsid w:val="00CA26C6"/>
    <w:rsid w:val="00CB2BA0"/>
    <w:rsid w:val="00CB6A4F"/>
    <w:rsid w:val="00CC3E43"/>
    <w:rsid w:val="00CD6509"/>
    <w:rsid w:val="00CF40EA"/>
    <w:rsid w:val="00D0045A"/>
    <w:rsid w:val="00D0754E"/>
    <w:rsid w:val="00D22D52"/>
    <w:rsid w:val="00D310EE"/>
    <w:rsid w:val="00D518B4"/>
    <w:rsid w:val="00D909F2"/>
    <w:rsid w:val="00DB2030"/>
    <w:rsid w:val="00DB2078"/>
    <w:rsid w:val="00DB3B7B"/>
    <w:rsid w:val="00DB6318"/>
    <w:rsid w:val="00DD15B6"/>
    <w:rsid w:val="00DE2BCB"/>
    <w:rsid w:val="00DF5F8F"/>
    <w:rsid w:val="00E22D17"/>
    <w:rsid w:val="00E2684F"/>
    <w:rsid w:val="00E31C60"/>
    <w:rsid w:val="00E53C6A"/>
    <w:rsid w:val="00EC2B28"/>
    <w:rsid w:val="00EC4986"/>
    <w:rsid w:val="00ED63F4"/>
    <w:rsid w:val="00ED7944"/>
    <w:rsid w:val="00EF433A"/>
    <w:rsid w:val="00F47928"/>
    <w:rsid w:val="00F531ED"/>
    <w:rsid w:val="00F8630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4EF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annotation subject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2F0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437D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2D17"/>
    <w:pPr>
      <w:ind w:left="720"/>
      <w:contextualSpacing/>
    </w:pPr>
  </w:style>
  <w:style w:type="paragraph" w:styleId="TOC2">
    <w:name w:val="toc 2"/>
    <w:basedOn w:val="Normal"/>
    <w:next w:val="Normal"/>
    <w:uiPriority w:val="39"/>
    <w:rsid w:val="00DB2030"/>
    <w:pPr>
      <w:spacing w:after="0" w:line="240" w:lineRule="auto"/>
    </w:pPr>
    <w:rPr>
      <w:rFonts w:eastAsia="Times New Roman" w:cs="Arial"/>
      <w:noProof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C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C55"/>
  </w:style>
  <w:style w:type="paragraph" w:styleId="CommentSubject">
    <w:name w:val="annotation subject"/>
    <w:basedOn w:val="CommentText"/>
    <w:next w:val="CommentText"/>
    <w:link w:val="CommentSubjectChar"/>
    <w:rsid w:val="002B2C55"/>
    <w:pPr>
      <w:spacing w:before="120" w:after="12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2C55"/>
    <w:rPr>
      <w:rFonts w:eastAsia="Times New Roman" w:cs="Times New Roman"/>
      <w:b/>
      <w:bCs/>
    </w:rPr>
  </w:style>
  <w:style w:type="paragraph" w:styleId="BodyText">
    <w:name w:val="Body Text"/>
    <w:basedOn w:val="Normal"/>
    <w:link w:val="BodyTextChar"/>
    <w:rsid w:val="00F47928"/>
    <w:pPr>
      <w:spacing w:before="120"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47928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F47928"/>
    <w:pPr>
      <w:spacing w:before="120" w:after="120" w:line="240" w:lineRule="auto"/>
    </w:pPr>
    <w:rPr>
      <w:rFonts w:eastAsia="Times New Roman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F47928"/>
    <w:rPr>
      <w:rFonts w:eastAsia="Times New Roman" w:cs="Arial"/>
      <w:b/>
      <w:bCs/>
      <w:szCs w:val="24"/>
    </w:rPr>
  </w:style>
  <w:style w:type="paragraph" w:styleId="BodyText3">
    <w:name w:val="Body Text 3"/>
    <w:basedOn w:val="Normal"/>
    <w:link w:val="BodyText3Char"/>
    <w:rsid w:val="00F47928"/>
    <w:pPr>
      <w:spacing w:before="120" w:after="120" w:line="240" w:lineRule="auto"/>
    </w:pPr>
    <w:rPr>
      <w:rFonts w:ascii="Tahoma" w:eastAsia="Times New Roman" w:hAnsi="Tahoma" w:cs="Tahoma"/>
      <w:szCs w:val="24"/>
      <w:u w:val="dotted"/>
    </w:rPr>
  </w:style>
  <w:style w:type="character" w:customStyle="1" w:styleId="BodyText3Char">
    <w:name w:val="Body Text 3 Char"/>
    <w:basedOn w:val="DefaultParagraphFont"/>
    <w:link w:val="BodyText3"/>
    <w:rsid w:val="00F47928"/>
    <w:rPr>
      <w:rFonts w:ascii="Tahoma" w:eastAsia="Times New Roman" w:hAnsi="Tahoma" w:cs="Tahoma"/>
      <w:szCs w:val="24"/>
      <w:u w:val="dotted"/>
    </w:rPr>
  </w:style>
  <w:style w:type="paragraph" w:customStyle="1" w:styleId="TableText">
    <w:name w:val="Table Text"/>
    <w:basedOn w:val="Normal"/>
    <w:rsid w:val="00F47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33DE"/>
    <w:rPr>
      <w:color w:val="9CCB3B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0AD2"/>
    <w:rPr>
      <w:rFonts w:asciiTheme="majorHAnsi" w:eastAsiaTheme="majorEastAsia" w:hAnsiTheme="majorHAnsi" w:cstheme="majorBidi"/>
      <w:color w:val="2E437D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A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annotation subject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2F0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437D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2D17"/>
    <w:pPr>
      <w:ind w:left="720"/>
      <w:contextualSpacing/>
    </w:pPr>
  </w:style>
  <w:style w:type="paragraph" w:styleId="TOC2">
    <w:name w:val="toc 2"/>
    <w:basedOn w:val="Normal"/>
    <w:next w:val="Normal"/>
    <w:uiPriority w:val="39"/>
    <w:rsid w:val="00DB2030"/>
    <w:pPr>
      <w:spacing w:after="0" w:line="240" w:lineRule="auto"/>
    </w:pPr>
    <w:rPr>
      <w:rFonts w:eastAsia="Times New Roman" w:cs="Arial"/>
      <w:noProof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C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C55"/>
  </w:style>
  <w:style w:type="paragraph" w:styleId="CommentSubject">
    <w:name w:val="annotation subject"/>
    <w:basedOn w:val="CommentText"/>
    <w:next w:val="CommentText"/>
    <w:link w:val="CommentSubjectChar"/>
    <w:rsid w:val="002B2C55"/>
    <w:pPr>
      <w:spacing w:before="120" w:after="12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2C55"/>
    <w:rPr>
      <w:rFonts w:eastAsia="Times New Roman" w:cs="Times New Roman"/>
      <w:b/>
      <w:bCs/>
    </w:rPr>
  </w:style>
  <w:style w:type="paragraph" w:styleId="BodyText">
    <w:name w:val="Body Text"/>
    <w:basedOn w:val="Normal"/>
    <w:link w:val="BodyTextChar"/>
    <w:rsid w:val="00F47928"/>
    <w:pPr>
      <w:spacing w:before="120"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47928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F47928"/>
    <w:pPr>
      <w:spacing w:before="120" w:after="120" w:line="240" w:lineRule="auto"/>
    </w:pPr>
    <w:rPr>
      <w:rFonts w:eastAsia="Times New Roman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F47928"/>
    <w:rPr>
      <w:rFonts w:eastAsia="Times New Roman" w:cs="Arial"/>
      <w:b/>
      <w:bCs/>
      <w:szCs w:val="24"/>
    </w:rPr>
  </w:style>
  <w:style w:type="paragraph" w:styleId="BodyText3">
    <w:name w:val="Body Text 3"/>
    <w:basedOn w:val="Normal"/>
    <w:link w:val="BodyText3Char"/>
    <w:rsid w:val="00F47928"/>
    <w:pPr>
      <w:spacing w:before="120" w:after="120" w:line="240" w:lineRule="auto"/>
    </w:pPr>
    <w:rPr>
      <w:rFonts w:ascii="Tahoma" w:eastAsia="Times New Roman" w:hAnsi="Tahoma" w:cs="Tahoma"/>
      <w:szCs w:val="24"/>
      <w:u w:val="dotted"/>
    </w:rPr>
  </w:style>
  <w:style w:type="character" w:customStyle="1" w:styleId="BodyText3Char">
    <w:name w:val="Body Text 3 Char"/>
    <w:basedOn w:val="DefaultParagraphFont"/>
    <w:link w:val="BodyText3"/>
    <w:rsid w:val="00F47928"/>
    <w:rPr>
      <w:rFonts w:ascii="Tahoma" w:eastAsia="Times New Roman" w:hAnsi="Tahoma" w:cs="Tahoma"/>
      <w:szCs w:val="24"/>
      <w:u w:val="dotted"/>
    </w:rPr>
  </w:style>
  <w:style w:type="paragraph" w:customStyle="1" w:styleId="TableText">
    <w:name w:val="Table Text"/>
    <w:basedOn w:val="Normal"/>
    <w:rsid w:val="00F47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33DE"/>
    <w:rPr>
      <w:color w:val="9CCB3B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0AD2"/>
    <w:rPr>
      <w:rFonts w:asciiTheme="majorHAnsi" w:eastAsiaTheme="majorEastAsia" w:hAnsiTheme="majorHAnsi" w:cstheme="majorBidi"/>
      <w:color w:val="2E437D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8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ndrew.steed@xoserve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asgovernance.co.uk/068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B57E1-83CB-4E5B-9CA6-4F81BD6E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Andrew Steed</cp:lastModifiedBy>
  <cp:revision>3</cp:revision>
  <cp:lastPrinted>2018-04-05T14:54:00Z</cp:lastPrinted>
  <dcterms:created xsi:type="dcterms:W3CDTF">2019-06-10T15:27:00Z</dcterms:created>
  <dcterms:modified xsi:type="dcterms:W3CDTF">2019-06-10T15:27:00Z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NewReviewCycle">
    <vt:lpwstr/>
  </property>
  <property fmtid="{D5CDD505-2E9C-101B-9397-08002B2CF9AE}" pid="4" name="_AdHocReviewCycleID">
    <vt:i4>1073367599</vt:i4>
  </property>
  <property fmtid="{D5CDD505-2E9C-101B-9397-08002B2CF9AE}" pid="5" name="_EmailSubject">
    <vt:lpwstr>ROMs to be Submitted</vt:lpwstr>
  </property>
  <property fmtid="{D5CDD505-2E9C-101B-9397-08002B2CF9AE}" pid="6" name="_AuthorEmail">
    <vt:lpwstr>Andrew.Steed@Xoserve.com</vt:lpwstr>
  </property>
  <property fmtid="{D5CDD505-2E9C-101B-9397-08002B2CF9AE}" pid="7" name="_AuthorEmailDisplayName">
    <vt:lpwstr>Steed, Andrew</vt:lpwstr>
  </property>
  <property fmtid="{D5CDD505-2E9C-101B-9397-08002B2CF9AE}" pid="9" name="_PreviousAdHocReviewCycleID">
    <vt:i4>1459698417</vt:i4>
  </property>
</Properties>
</file>