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6C" w:rsidRPr="007A4A6C" w:rsidRDefault="007A4A6C" w:rsidP="007A4A6C">
      <w:pPr>
        <w:jc w:val="center"/>
        <w:rPr>
          <w:b/>
        </w:rPr>
      </w:pPr>
      <w:bookmarkStart w:id="0" w:name="_GoBack"/>
      <w:bookmarkEnd w:id="0"/>
      <w:r w:rsidRPr="007A4A6C">
        <w:rPr>
          <w:b/>
        </w:rPr>
        <w:t xml:space="preserve">ChMC </w:t>
      </w:r>
      <w:r w:rsidR="005E3ABB">
        <w:rPr>
          <w:b/>
        </w:rPr>
        <w:t xml:space="preserve">Example </w:t>
      </w:r>
      <w:r>
        <w:rPr>
          <w:b/>
        </w:rPr>
        <w:t>ROM</w:t>
      </w:r>
    </w:p>
    <w:p w:rsidR="007A4A6C" w:rsidRDefault="007A4A6C" w:rsidP="007A4A6C">
      <w:pPr>
        <w:autoSpaceDE w:val="0"/>
        <w:autoSpaceDN w:val="0"/>
        <w:adjustRightInd w:val="0"/>
        <w:spacing w:after="0" w:line="240" w:lineRule="auto"/>
      </w:pPr>
      <w:r w:rsidRPr="007A4A6C">
        <w:rPr>
          <w:b/>
        </w:rPr>
        <w:t>ACTION 1201</w:t>
      </w:r>
      <w:r>
        <w:t xml:space="preserve"> - </w:t>
      </w:r>
      <w:r w:rsidRPr="007A4A6C">
        <w:t>To look to</w:t>
      </w:r>
      <w:r>
        <w:t xml:space="preserve"> provide a case study which the </w:t>
      </w:r>
      <w:r w:rsidRPr="007A4A6C">
        <w:t>Ch</w:t>
      </w:r>
      <w:r>
        <w:t xml:space="preserve">ange Management Committee could </w:t>
      </w:r>
      <w:r w:rsidRPr="007A4A6C">
        <w:t>then examine</w:t>
      </w:r>
      <w:r>
        <w:t xml:space="preserve"> in order to hopefully identify </w:t>
      </w:r>
      <w:r w:rsidRPr="007A4A6C">
        <w:t>a ‘best practice’</w:t>
      </w:r>
      <w:r>
        <w:t xml:space="preserve"> which would hopefully </w:t>
      </w:r>
      <w:r w:rsidRPr="007A4A6C">
        <w:t>improve t</w:t>
      </w:r>
      <w:r>
        <w:t xml:space="preserve">he provision of high level ROMs </w:t>
      </w:r>
      <w:r w:rsidRPr="007A4A6C">
        <w:t>going forwards.</w:t>
      </w:r>
      <w:r>
        <w:t xml:space="preserve"> </w:t>
      </w:r>
    </w:p>
    <w:p w:rsidR="007A4A6C" w:rsidRDefault="007A4A6C" w:rsidP="007A4A6C">
      <w:pPr>
        <w:autoSpaceDE w:val="0"/>
        <w:autoSpaceDN w:val="0"/>
        <w:adjustRightInd w:val="0"/>
        <w:spacing w:after="0" w:line="240" w:lineRule="auto"/>
      </w:pPr>
    </w:p>
    <w:p w:rsidR="005E3ABB" w:rsidRDefault="007A4A6C" w:rsidP="007A4A6C">
      <w:pPr>
        <w:autoSpaceDE w:val="0"/>
        <w:autoSpaceDN w:val="0"/>
        <w:adjustRightInd w:val="0"/>
        <w:spacing w:after="0" w:line="240" w:lineRule="auto"/>
      </w:pPr>
      <w:r>
        <w:t xml:space="preserve">Below is an example ROM which could be produced to support development of a ROM with additional detail. </w:t>
      </w:r>
    </w:p>
    <w:p w:rsidR="005E3ABB" w:rsidRDefault="005E3ABB" w:rsidP="007A4A6C">
      <w:pPr>
        <w:autoSpaceDE w:val="0"/>
        <w:autoSpaceDN w:val="0"/>
        <w:adjustRightInd w:val="0"/>
        <w:spacing w:after="0" w:line="240" w:lineRule="auto"/>
      </w:pPr>
      <w:r>
        <w:t>Points to note:</w:t>
      </w:r>
    </w:p>
    <w:p w:rsidR="007A4A6C" w:rsidRPr="005E3ABB" w:rsidRDefault="005E3ABB" w:rsidP="005E3ABB">
      <w:pPr>
        <w:pStyle w:val="ListParagraph"/>
        <w:numPr>
          <w:ilvl w:val="0"/>
          <w:numId w:val="3"/>
        </w:numPr>
        <w:autoSpaceDE w:val="0"/>
        <w:autoSpaceDN w:val="0"/>
        <w:adjustRightInd w:val="0"/>
        <w:spacing w:after="0"/>
        <w:rPr>
          <w:rFonts w:asciiTheme="minorHAnsi" w:eastAsiaTheme="minorHAnsi" w:hAnsiTheme="minorHAnsi" w:cstheme="minorBidi"/>
          <w:sz w:val="22"/>
          <w:szCs w:val="22"/>
        </w:rPr>
      </w:pPr>
      <w:r w:rsidRPr="005E3ABB">
        <w:rPr>
          <w:rFonts w:asciiTheme="minorHAnsi" w:eastAsiaTheme="minorHAnsi" w:hAnsiTheme="minorHAnsi" w:cstheme="minorBidi"/>
          <w:sz w:val="22"/>
          <w:szCs w:val="22"/>
        </w:rPr>
        <w:t>T</w:t>
      </w:r>
      <w:r w:rsidR="007A4A6C" w:rsidRPr="005E3ABB">
        <w:rPr>
          <w:rFonts w:asciiTheme="minorHAnsi" w:eastAsiaTheme="minorHAnsi" w:hAnsiTheme="minorHAnsi" w:cstheme="minorBidi"/>
          <w:sz w:val="22"/>
          <w:szCs w:val="22"/>
        </w:rPr>
        <w:t xml:space="preserve">he current timelines for </w:t>
      </w:r>
      <w:r w:rsidRPr="005E3ABB">
        <w:rPr>
          <w:rFonts w:asciiTheme="minorHAnsi" w:eastAsiaTheme="minorHAnsi" w:hAnsiTheme="minorHAnsi" w:cstheme="minorBidi"/>
          <w:sz w:val="22"/>
          <w:szCs w:val="22"/>
        </w:rPr>
        <w:t>delivery may exceed the 10 day SLA where additional detail is required</w:t>
      </w:r>
    </w:p>
    <w:p w:rsidR="005E3ABB" w:rsidRPr="005E3ABB" w:rsidRDefault="005E3ABB" w:rsidP="005E3ABB">
      <w:pPr>
        <w:pStyle w:val="ListParagraph"/>
        <w:numPr>
          <w:ilvl w:val="0"/>
          <w:numId w:val="3"/>
        </w:numPr>
        <w:autoSpaceDE w:val="0"/>
        <w:autoSpaceDN w:val="0"/>
        <w:adjustRightInd w:val="0"/>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There will need to be sufficient detail in the modification, including business rules and requirements that support the development of a detailed ROM</w:t>
      </w:r>
    </w:p>
    <w:p w:rsidR="007A4A6C" w:rsidRDefault="007A4A6C"/>
    <w:p w:rsidR="002E3F04" w:rsidRDefault="002E3F04"/>
    <w:p w:rsidR="002E3F04" w:rsidRDefault="002E3F04">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7A4A6C" w:rsidRPr="006E323D" w:rsidTr="004012A4">
        <w:trPr>
          <w:cantSplit/>
        </w:trPr>
        <w:tc>
          <w:tcPr>
            <w:tcW w:w="9889" w:type="dxa"/>
            <w:shd w:val="clear" w:color="auto" w:fill="CCFF99"/>
            <w:tcMar>
              <w:top w:w="28" w:type="dxa"/>
              <w:bottom w:w="28" w:type="dxa"/>
            </w:tcMar>
          </w:tcPr>
          <w:p w:rsidR="007A4A6C" w:rsidRPr="00C2627B" w:rsidRDefault="007A4A6C" w:rsidP="004012A4">
            <w:pPr>
              <w:pStyle w:val="Heading7"/>
              <w:spacing w:before="60" w:after="60"/>
              <w:jc w:val="center"/>
              <w:rPr>
                <w:rFonts w:ascii="Arial" w:hAnsi="Arial" w:cs="Arial"/>
                <w:color w:val="auto"/>
                <w:szCs w:val="20"/>
                <w:u w:val="none"/>
              </w:rPr>
            </w:pPr>
            <w:r w:rsidRPr="00C2627B">
              <w:rPr>
                <w:rFonts w:ascii="Arial" w:hAnsi="Arial" w:cs="Arial"/>
                <w:b w:val="0"/>
                <w:bCs w:val="0"/>
              </w:rPr>
              <w:lastRenderedPageBreak/>
              <w:br w:type="page"/>
            </w:r>
            <w:r w:rsidRPr="00C2627B">
              <w:rPr>
                <w:rFonts w:ascii="Arial" w:hAnsi="Arial" w:cs="Arial"/>
                <w:color w:val="auto"/>
                <w:szCs w:val="20"/>
                <w:u w:val="none"/>
              </w:rPr>
              <w:t xml:space="preserve">ROM </w:t>
            </w:r>
            <w:r>
              <w:rPr>
                <w:rFonts w:ascii="Arial" w:hAnsi="Arial" w:cs="Arial"/>
                <w:color w:val="auto"/>
                <w:szCs w:val="20"/>
                <w:u w:val="none"/>
              </w:rPr>
              <w:t>Analysis</w:t>
            </w:r>
          </w:p>
        </w:tc>
      </w:tr>
      <w:tr w:rsidR="007A4A6C" w:rsidRPr="006E323D" w:rsidTr="004012A4">
        <w:trPr>
          <w:cantSplit/>
        </w:trPr>
        <w:tc>
          <w:tcPr>
            <w:tcW w:w="9889" w:type="dxa"/>
            <w:tcMar>
              <w:top w:w="28" w:type="dxa"/>
              <w:bottom w:w="28" w:type="dxa"/>
            </w:tcMar>
          </w:tcPr>
          <w:p w:rsidR="007A4A6C" w:rsidRPr="00C2627B" w:rsidRDefault="007A4A6C" w:rsidP="004012A4">
            <w:pPr>
              <w:spacing w:before="60" w:after="60"/>
              <w:rPr>
                <w:rFonts w:cs="Arial"/>
                <w:b/>
                <w:bCs/>
              </w:rPr>
            </w:pPr>
            <w:r w:rsidRPr="00C2627B">
              <w:rPr>
                <w:rFonts w:cs="Arial"/>
                <w:b/>
                <w:bCs/>
              </w:rPr>
              <w:t>Change</w:t>
            </w:r>
            <w:r>
              <w:rPr>
                <w:rFonts w:cs="Arial"/>
                <w:b/>
                <w:bCs/>
              </w:rPr>
              <w:t xml:space="preserve"> Assessment</w:t>
            </w:r>
          </w:p>
          <w:p w:rsidR="007A4A6C" w:rsidRPr="005E3ABB" w:rsidRDefault="007A4A6C" w:rsidP="004012A4">
            <w:pPr>
              <w:spacing w:before="60" w:after="60"/>
              <w:rPr>
                <w:rFonts w:cs="Arial"/>
                <w:bCs/>
              </w:rPr>
            </w:pPr>
          </w:p>
          <w:p w:rsidR="007A4A6C" w:rsidRPr="005E3ABB" w:rsidRDefault="007A4A6C" w:rsidP="004012A4">
            <w:pPr>
              <w:spacing w:before="60" w:after="60"/>
              <w:rPr>
                <w:rFonts w:cs="Arial"/>
                <w:bCs/>
              </w:rPr>
            </w:pPr>
            <w:r w:rsidRPr="005E3ABB">
              <w:rPr>
                <w:rFonts w:cs="Arial"/>
                <w:bCs/>
              </w:rPr>
              <w:t>The modification proposal states that if ratchet charges remain disproportionate…</w:t>
            </w:r>
            <w:r w:rsidRPr="005E3ABB">
              <w:rPr>
                <w:rFonts w:cs="Arial"/>
                <w:bCs/>
              </w:rPr>
              <w:br/>
            </w:r>
            <w:r w:rsidRPr="005E3ABB">
              <w:rPr>
                <w:rFonts w:cs="Arial"/>
                <w:bCs/>
              </w:rPr>
              <w:br/>
              <w:t>[a]  The number of SMPs that may elect to become DM will be severely limited, reducing settlement accuracy and hampering the development of innovative granular market products.</w:t>
            </w:r>
            <w:r w:rsidRPr="005E3ABB">
              <w:rPr>
                <w:rFonts w:cs="Arial"/>
                <w:bCs/>
              </w:rPr>
              <w:br/>
            </w:r>
            <w:r w:rsidRPr="005E3ABB">
              <w:rPr>
                <w:rFonts w:cs="Arial"/>
                <w:bCs/>
              </w:rPr>
              <w:br/>
              <w:t>[b]  Shippers are incentivised to be risk averse and over-book their capacity resulting in an inflated and distorted view of peak system requirements with potential denial of constrained capacity to those who need it.</w:t>
            </w:r>
            <w:r w:rsidRPr="005E3ABB">
              <w:rPr>
                <w:rFonts w:cs="Arial"/>
                <w:bCs/>
              </w:rPr>
              <w:br/>
            </w:r>
          </w:p>
          <w:p w:rsidR="007A4A6C" w:rsidRPr="005E3ABB" w:rsidRDefault="007A4A6C" w:rsidP="004012A4">
            <w:pPr>
              <w:spacing w:beforeLines="40" w:before="96" w:afterLines="40" w:after="96"/>
              <w:rPr>
                <w:rFonts w:cs="Arial"/>
                <w:bCs/>
              </w:rPr>
            </w:pPr>
            <w:r w:rsidRPr="005E3ABB">
              <w:rPr>
                <w:rFonts w:cs="Arial"/>
                <w:bCs/>
              </w:rPr>
              <w:t xml:space="preserve">To make ratchet charges proportionate the proposer wishes to implement the principle that DNOs only  recover the capacity revenue that would have been payable had the quantity offtaken been the booked SMP capacity  from the start of the period that ratchets apply (i.e. since the most recent Oct 1st).  Where the SMP was not registered on Oct 1st the period will start on the first registration after that date.  For Seasonal SMPs the period will start from the Seasonal Contract start date. </w:t>
            </w:r>
            <w:r w:rsidRPr="005E3ABB">
              <w:rPr>
                <w:rFonts w:cs="Arial"/>
                <w:bCs/>
              </w:rPr>
              <w:br/>
              <w:t xml:space="preserve">  </w:t>
            </w:r>
            <w:r w:rsidRPr="005E3ABB">
              <w:rPr>
                <w:rFonts w:cs="Arial"/>
                <w:bCs/>
              </w:rPr>
              <w:br/>
              <w:t xml:space="preserve">Essentially; for each capacity charge type included in ratchet charges, which must now include the ECN charge type, the following daily ratchet charge must be billed for each day (inclusive) from the preceding October 1st to the last day the pre-ratchet SOQ was applicable for capacity charging.  </w:t>
            </w:r>
          </w:p>
          <w:p w:rsidR="007A4A6C" w:rsidRPr="005E3ABB" w:rsidRDefault="007A4A6C" w:rsidP="004012A4">
            <w:pPr>
              <w:spacing w:beforeLines="40" w:before="96" w:afterLines="40" w:after="96"/>
              <w:rPr>
                <w:rFonts w:cs="Arial"/>
                <w:bCs/>
              </w:rPr>
            </w:pPr>
            <w:r w:rsidRPr="005E3ABB">
              <w:rPr>
                <w:rFonts w:cs="Arial"/>
                <w:bCs/>
              </w:rPr>
              <w:t xml:space="preserve">Daily Ratchet Charge  =  </w:t>
            </w:r>
          </w:p>
          <w:p w:rsidR="007A4A6C" w:rsidRPr="005E3ABB" w:rsidRDefault="007A4A6C" w:rsidP="004012A4">
            <w:pPr>
              <w:spacing w:beforeLines="40" w:before="96" w:afterLines="40" w:after="96"/>
              <w:rPr>
                <w:rFonts w:cs="Arial"/>
                <w:bCs/>
              </w:rPr>
            </w:pPr>
            <w:r w:rsidRPr="005E3ABB">
              <w:rPr>
                <w:rFonts w:cs="Arial"/>
                <w:bCs/>
              </w:rPr>
              <w:t xml:space="preserve">    ( Quantity offtaken   *  Relevant Rate for Quantity offtaken )    minus   </w:t>
            </w:r>
          </w:p>
          <w:p w:rsidR="007A4A6C" w:rsidRPr="005E3ABB" w:rsidRDefault="007A4A6C" w:rsidP="004012A4">
            <w:pPr>
              <w:spacing w:beforeLines="40" w:before="96" w:afterLines="40" w:after="96"/>
              <w:rPr>
                <w:rFonts w:cs="Arial"/>
                <w:bCs/>
              </w:rPr>
            </w:pPr>
            <w:r w:rsidRPr="005E3ABB">
              <w:rPr>
                <w:rFonts w:cs="Arial"/>
                <w:bCs/>
              </w:rPr>
              <w:t xml:space="preserve">    ( Pre-ratchet SOQ   *  Relevant Rate for Pre-ratchet SOQ )  </w:t>
            </w:r>
          </w:p>
          <w:p w:rsidR="007A4A6C" w:rsidRPr="005E3ABB" w:rsidRDefault="007A4A6C" w:rsidP="004012A4">
            <w:pPr>
              <w:spacing w:beforeLines="40" w:before="96" w:afterLines="40" w:after="96"/>
              <w:rPr>
                <w:rFonts w:cs="Arial"/>
                <w:bCs/>
              </w:rPr>
            </w:pPr>
            <w:r w:rsidRPr="005E3ABB">
              <w:rPr>
                <w:rFonts w:cs="Arial"/>
                <w:bCs/>
              </w:rPr>
              <w:t xml:space="preserve">The above rule must also apply to Seasonal SMPs.  Note: The rules relating to Seasonal SMPs have been revised in the latest version of the MOD but too late to be the basis of cost estimation. </w:t>
            </w:r>
          </w:p>
          <w:p w:rsidR="007A4A6C" w:rsidRDefault="007A4A6C" w:rsidP="004012A4">
            <w:pPr>
              <w:spacing w:before="60" w:after="60"/>
              <w:rPr>
                <w:rFonts w:cs="Arial"/>
                <w:b/>
                <w:bCs/>
              </w:rPr>
            </w:pPr>
          </w:p>
          <w:p w:rsidR="007A4A6C" w:rsidRDefault="007A4A6C" w:rsidP="004012A4">
            <w:pPr>
              <w:spacing w:before="60" w:after="60"/>
              <w:rPr>
                <w:rFonts w:cs="Arial"/>
                <w:bCs/>
              </w:rPr>
            </w:pPr>
            <w:r w:rsidRPr="00177ACA">
              <w:rPr>
                <w:rFonts w:cs="Arial"/>
                <w:bCs/>
              </w:rPr>
              <w:t xml:space="preserve">The resultant charges would be then uplifted by an amendable </w:t>
            </w:r>
            <w:r>
              <w:rPr>
                <w:rFonts w:cs="Arial"/>
                <w:bCs/>
              </w:rPr>
              <w:t>multiplier that would initially set to 1.1</w:t>
            </w:r>
          </w:p>
          <w:p w:rsidR="007A4A6C" w:rsidRDefault="007A4A6C" w:rsidP="004012A4">
            <w:pPr>
              <w:spacing w:before="60" w:after="60"/>
              <w:rPr>
                <w:rFonts w:cs="Arial"/>
                <w:bCs/>
              </w:rPr>
            </w:pPr>
          </w:p>
          <w:p w:rsidR="007A4A6C" w:rsidRPr="00177ACA" w:rsidRDefault="007A4A6C" w:rsidP="004012A4">
            <w:pPr>
              <w:spacing w:before="60" w:after="60"/>
              <w:rPr>
                <w:rFonts w:cs="Arial"/>
                <w:bCs/>
              </w:rPr>
            </w:pPr>
            <w:r>
              <w:rPr>
                <w:rFonts w:cs="Arial"/>
                <w:bCs/>
              </w:rPr>
              <w:t xml:space="preserve">An annual Ratchet Performance report will be available </w:t>
            </w:r>
          </w:p>
        </w:tc>
      </w:tr>
      <w:tr w:rsidR="007A4A6C" w:rsidRPr="006E323D" w:rsidTr="00347A92">
        <w:trPr>
          <w:cantSplit/>
          <w:trHeight w:val="14705"/>
        </w:trPr>
        <w:tc>
          <w:tcPr>
            <w:tcW w:w="9889" w:type="dxa"/>
            <w:tcMar>
              <w:top w:w="28" w:type="dxa"/>
              <w:bottom w:w="28" w:type="dxa"/>
            </w:tcMar>
          </w:tcPr>
          <w:p w:rsidR="007A4A6C" w:rsidRPr="00347A92" w:rsidRDefault="007A4A6C" w:rsidP="004012A4">
            <w:pPr>
              <w:spacing w:before="60" w:after="60"/>
              <w:rPr>
                <w:rFonts w:cstheme="minorHAnsi"/>
                <w:b/>
                <w:bCs/>
                <w:szCs w:val="20"/>
              </w:rPr>
            </w:pPr>
            <w:r w:rsidRPr="00347A92">
              <w:rPr>
                <w:rFonts w:cstheme="minorHAnsi"/>
                <w:b/>
                <w:bCs/>
                <w:szCs w:val="20"/>
              </w:rPr>
              <w:lastRenderedPageBreak/>
              <w:t>Change Impact:</w:t>
            </w:r>
          </w:p>
          <w:p w:rsidR="00347A92" w:rsidRPr="00347A92" w:rsidRDefault="00347A92" w:rsidP="00347A92">
            <w:pPr>
              <w:autoSpaceDE w:val="0"/>
              <w:autoSpaceDN w:val="0"/>
              <w:adjustRightInd w:val="0"/>
              <w:spacing w:after="0"/>
              <w:rPr>
                <w:rFonts w:cstheme="minorHAnsi"/>
                <w:b/>
                <w:szCs w:val="20"/>
                <w:u w:val="single"/>
              </w:rPr>
            </w:pPr>
            <w:r w:rsidRPr="00347A92">
              <w:rPr>
                <w:rFonts w:cstheme="minorHAnsi"/>
                <w:b/>
                <w:szCs w:val="20"/>
                <w:u w:val="single"/>
              </w:rPr>
              <w:t xml:space="preserve">Invoicing changes to Ratchet charges  </w:t>
            </w:r>
          </w:p>
          <w:p w:rsidR="00347A92" w:rsidRPr="00347A92" w:rsidRDefault="00347A92" w:rsidP="00347A92">
            <w:pPr>
              <w:autoSpaceDE w:val="0"/>
              <w:autoSpaceDN w:val="0"/>
              <w:adjustRightInd w:val="0"/>
              <w:spacing w:after="0" w:line="240" w:lineRule="auto"/>
              <w:rPr>
                <w:rFonts w:cstheme="minorHAnsi"/>
                <w:szCs w:val="20"/>
              </w:rPr>
            </w:pPr>
            <w:r w:rsidRPr="00347A92">
              <w:rPr>
                <w:rFonts w:cstheme="minorHAnsi"/>
                <w:szCs w:val="20"/>
              </w:rPr>
              <w:t>Charges resulting from application of the new rules would be billed via the Capacity Invoice at M+2.</w:t>
            </w:r>
          </w:p>
          <w:p w:rsidR="00347A92" w:rsidRPr="00347A92" w:rsidRDefault="00347A92" w:rsidP="00347A92">
            <w:pPr>
              <w:autoSpaceDE w:val="0"/>
              <w:autoSpaceDN w:val="0"/>
              <w:adjustRightInd w:val="0"/>
              <w:spacing w:after="0" w:line="240" w:lineRule="auto"/>
              <w:rPr>
                <w:rFonts w:cstheme="minorHAnsi"/>
                <w:szCs w:val="20"/>
              </w:rPr>
            </w:pPr>
          </w:p>
          <w:p w:rsidR="00347A92" w:rsidRPr="00347A92" w:rsidRDefault="00347A92" w:rsidP="00347A92">
            <w:pPr>
              <w:autoSpaceDE w:val="0"/>
              <w:autoSpaceDN w:val="0"/>
              <w:adjustRightInd w:val="0"/>
              <w:spacing w:after="0" w:line="240" w:lineRule="auto"/>
              <w:rPr>
                <w:rFonts w:cstheme="minorHAnsi"/>
                <w:szCs w:val="20"/>
              </w:rPr>
            </w:pPr>
            <w:r w:rsidRPr="00347A92">
              <w:rPr>
                <w:rFonts w:cstheme="minorHAnsi"/>
                <w:szCs w:val="20"/>
              </w:rPr>
              <w:t>In the charge calculation example table in the MOD there is a separate row for “Ratchet Incentive Charge”.</w:t>
            </w:r>
          </w:p>
          <w:p w:rsidR="00347A92" w:rsidRPr="00347A92" w:rsidRDefault="00347A92" w:rsidP="00347A92">
            <w:pPr>
              <w:autoSpaceDE w:val="0"/>
              <w:autoSpaceDN w:val="0"/>
              <w:adjustRightInd w:val="0"/>
              <w:spacing w:after="0" w:line="240" w:lineRule="auto"/>
              <w:rPr>
                <w:rFonts w:cstheme="minorHAnsi"/>
                <w:szCs w:val="20"/>
              </w:rPr>
            </w:pPr>
          </w:p>
          <w:p w:rsidR="00347A92" w:rsidRPr="00347A92" w:rsidRDefault="00347A92" w:rsidP="00347A92">
            <w:pPr>
              <w:autoSpaceDE w:val="0"/>
              <w:autoSpaceDN w:val="0"/>
              <w:adjustRightInd w:val="0"/>
              <w:spacing w:after="0" w:line="240" w:lineRule="auto"/>
              <w:rPr>
                <w:rFonts w:cstheme="minorHAnsi"/>
                <w:szCs w:val="20"/>
              </w:rPr>
            </w:pPr>
            <w:r w:rsidRPr="00347A92">
              <w:rPr>
                <w:rFonts w:cstheme="minorHAnsi"/>
                <w:szCs w:val="20"/>
              </w:rPr>
              <w:t xml:space="preserve">Consideration was given to the increment by which charges are increased by application of the multiplier. The below options were considered.  </w:t>
            </w:r>
          </w:p>
          <w:p w:rsidR="00347A92" w:rsidRPr="00347A92" w:rsidRDefault="00347A92" w:rsidP="00347A92">
            <w:pPr>
              <w:pStyle w:val="ListParagraph"/>
              <w:numPr>
                <w:ilvl w:val="0"/>
                <w:numId w:val="4"/>
              </w:numPr>
              <w:autoSpaceDE w:val="0"/>
              <w:autoSpaceDN w:val="0"/>
              <w:adjustRightInd w:val="0"/>
              <w:spacing w:before="0" w:after="0"/>
              <w:contextualSpacing w:val="0"/>
              <w:rPr>
                <w:rFonts w:asciiTheme="minorHAnsi" w:hAnsiTheme="minorHAnsi" w:cstheme="minorHAnsi"/>
                <w:sz w:val="22"/>
                <w:szCs w:val="20"/>
              </w:rPr>
            </w:pPr>
            <w:r w:rsidRPr="00347A92">
              <w:rPr>
                <w:rFonts w:asciiTheme="minorHAnsi" w:hAnsiTheme="minorHAnsi" w:cstheme="minorHAnsi"/>
                <w:sz w:val="22"/>
                <w:szCs w:val="20"/>
              </w:rPr>
              <w:t>As a single separate charge (of a new charge type) based on the total charge amount for all ratchet charge types</w:t>
            </w:r>
          </w:p>
          <w:p w:rsidR="00347A92" w:rsidRPr="00347A92" w:rsidRDefault="00347A92" w:rsidP="00347A92">
            <w:pPr>
              <w:pStyle w:val="ListParagraph"/>
              <w:numPr>
                <w:ilvl w:val="0"/>
                <w:numId w:val="4"/>
              </w:numPr>
              <w:autoSpaceDE w:val="0"/>
              <w:autoSpaceDN w:val="0"/>
              <w:adjustRightInd w:val="0"/>
              <w:spacing w:before="0" w:after="0"/>
              <w:contextualSpacing w:val="0"/>
              <w:rPr>
                <w:rFonts w:asciiTheme="minorHAnsi" w:hAnsiTheme="minorHAnsi" w:cstheme="minorHAnsi"/>
                <w:sz w:val="22"/>
                <w:szCs w:val="20"/>
              </w:rPr>
            </w:pPr>
            <w:r w:rsidRPr="00347A92">
              <w:rPr>
                <w:rFonts w:asciiTheme="minorHAnsi" w:hAnsiTheme="minorHAnsi" w:cstheme="minorHAnsi"/>
                <w:sz w:val="22"/>
                <w:szCs w:val="20"/>
              </w:rPr>
              <w:t>As a separate charge (of a new charge type) for each ratchet charge type based on the charge amount for each ratchet charge type</w:t>
            </w:r>
          </w:p>
          <w:p w:rsidR="00347A92" w:rsidRPr="00347A92" w:rsidRDefault="00347A92" w:rsidP="00347A92">
            <w:pPr>
              <w:pStyle w:val="ListParagraph"/>
              <w:numPr>
                <w:ilvl w:val="0"/>
                <w:numId w:val="4"/>
              </w:numPr>
              <w:autoSpaceDE w:val="0"/>
              <w:autoSpaceDN w:val="0"/>
              <w:adjustRightInd w:val="0"/>
              <w:spacing w:before="0" w:after="0"/>
              <w:contextualSpacing w:val="0"/>
              <w:rPr>
                <w:rFonts w:asciiTheme="minorHAnsi" w:hAnsiTheme="minorHAnsi" w:cstheme="minorHAnsi"/>
                <w:sz w:val="22"/>
                <w:szCs w:val="20"/>
              </w:rPr>
            </w:pPr>
            <w:r w:rsidRPr="00347A92">
              <w:rPr>
                <w:rFonts w:asciiTheme="minorHAnsi" w:hAnsiTheme="minorHAnsi" w:cstheme="minorHAnsi"/>
                <w:sz w:val="22"/>
                <w:szCs w:val="20"/>
              </w:rPr>
              <w:t>As a separate charge (of the same ratchet charge type) for each ratchet charge type based on the charge amount for each ratchet charge type</w:t>
            </w:r>
          </w:p>
          <w:p w:rsidR="00347A92" w:rsidRPr="00347A92" w:rsidRDefault="00347A92" w:rsidP="00347A92">
            <w:pPr>
              <w:pStyle w:val="ListParagraph"/>
              <w:numPr>
                <w:ilvl w:val="0"/>
                <w:numId w:val="4"/>
              </w:numPr>
              <w:autoSpaceDE w:val="0"/>
              <w:autoSpaceDN w:val="0"/>
              <w:adjustRightInd w:val="0"/>
              <w:spacing w:before="0" w:after="0"/>
              <w:contextualSpacing w:val="0"/>
              <w:rPr>
                <w:rFonts w:asciiTheme="minorHAnsi" w:hAnsiTheme="minorHAnsi" w:cstheme="minorHAnsi"/>
                <w:sz w:val="22"/>
                <w:szCs w:val="20"/>
              </w:rPr>
            </w:pPr>
            <w:r w:rsidRPr="00347A92">
              <w:rPr>
                <w:rFonts w:asciiTheme="minorHAnsi" w:hAnsiTheme="minorHAnsi" w:cstheme="minorHAnsi"/>
                <w:sz w:val="22"/>
                <w:szCs w:val="20"/>
              </w:rPr>
              <w:t xml:space="preserve">As an increase to the charge amount invoiced for each current ratchet charge type based on the charge amount for each ratchet charge type   </w:t>
            </w:r>
            <w:r w:rsidRPr="00347A92">
              <w:rPr>
                <w:rFonts w:asciiTheme="minorHAnsi" w:hAnsiTheme="minorHAnsi" w:cstheme="minorHAnsi"/>
                <w:b/>
                <w:sz w:val="22"/>
                <w:szCs w:val="20"/>
              </w:rPr>
              <w:t>Note:</w:t>
            </w:r>
            <w:r w:rsidRPr="00347A92">
              <w:rPr>
                <w:rFonts w:asciiTheme="minorHAnsi" w:hAnsiTheme="minorHAnsi" w:cstheme="minorHAnsi"/>
                <w:sz w:val="22"/>
                <w:szCs w:val="20"/>
              </w:rPr>
              <w:t xml:space="preserve">  </w:t>
            </w:r>
            <w:r w:rsidRPr="00347A92">
              <w:rPr>
                <w:rFonts w:asciiTheme="minorHAnsi" w:hAnsiTheme="minorHAnsi" w:cstheme="minorHAnsi"/>
                <w:b/>
                <w:sz w:val="22"/>
                <w:szCs w:val="20"/>
              </w:rPr>
              <w:t>This would be the easiest to implement and has been assu</w:t>
            </w:r>
            <w:r>
              <w:rPr>
                <w:rFonts w:asciiTheme="minorHAnsi" w:hAnsiTheme="minorHAnsi" w:cstheme="minorHAnsi"/>
                <w:b/>
                <w:sz w:val="22"/>
                <w:szCs w:val="20"/>
              </w:rPr>
              <w:t xml:space="preserve">med for the purposes of the ROM and costs. </w:t>
            </w:r>
          </w:p>
          <w:p w:rsidR="007A4A6C" w:rsidRDefault="007A4A6C" w:rsidP="00347A92">
            <w:pPr>
              <w:spacing w:after="0" w:line="240" w:lineRule="auto"/>
              <w:rPr>
                <w:rFonts w:cstheme="minorHAnsi"/>
                <w:bCs/>
                <w:iCs/>
                <w:szCs w:val="20"/>
                <w:lang w:val="en-US"/>
              </w:rPr>
            </w:pPr>
          </w:p>
          <w:p w:rsidR="00347A92" w:rsidRPr="00347A92" w:rsidRDefault="00347A92" w:rsidP="00347A92">
            <w:pPr>
              <w:autoSpaceDE w:val="0"/>
              <w:autoSpaceDN w:val="0"/>
              <w:adjustRightInd w:val="0"/>
              <w:spacing w:after="0"/>
              <w:rPr>
                <w:rFonts w:ascii="Arial-BoldMT" w:hAnsi="Arial-BoldMT" w:cs="Arial-BoldMT"/>
                <w:b/>
                <w:bCs/>
                <w:sz w:val="20"/>
                <w:szCs w:val="20"/>
                <w:u w:val="single"/>
              </w:rPr>
            </w:pPr>
            <w:r w:rsidRPr="00347A92">
              <w:rPr>
                <w:b/>
                <w:u w:val="single"/>
              </w:rPr>
              <w:t>Ratchet Performance Reporting and Monitoring</w:t>
            </w:r>
          </w:p>
          <w:p w:rsidR="00347A92" w:rsidRDefault="00347A92" w:rsidP="00347A92">
            <w:pPr>
              <w:rPr>
                <w:rFonts w:ascii="Calibri" w:hAnsi="Calibri" w:cs="Times New Roman"/>
              </w:rPr>
            </w:pPr>
            <w:r>
              <w:t xml:space="preserve">To understand if the </w:t>
            </w:r>
            <w:r>
              <w:rPr>
                <w:i/>
              </w:rPr>
              <w:t>proposed measures</w:t>
            </w:r>
            <w:r>
              <w:t xml:space="preserve"> are appropriate or if the incentive charge needs to be increased or decreased, a monthly Ratchet Performance Report by shipper (anonymised), including Customer Count, Ratchet Count and Cumulative Ratchet Volume (kWh), is to be created before the 2018 gas year. (No obligation can be placed on PAC to view this report, but it is available if they wish to view ratchet performance).</w:t>
            </w:r>
          </w:p>
          <w:p w:rsidR="00347A92" w:rsidRDefault="00347A92" w:rsidP="00347A92">
            <w:pPr>
              <w:rPr>
                <w:b/>
              </w:rPr>
            </w:pPr>
            <w:r>
              <w:rPr>
                <w:b/>
              </w:rPr>
              <w:t>Report Usage</w:t>
            </w:r>
          </w:p>
          <w:p w:rsidR="00347A92" w:rsidRDefault="00347A92" w:rsidP="00347A92">
            <w:r>
              <w:t xml:space="preserve">A monthly report has been requested but it is unlikely that a decision to adjust the regime would be made based on the data for a single month.  </w:t>
            </w:r>
          </w:p>
          <w:p w:rsidR="00347A92" w:rsidRDefault="00347A92" w:rsidP="00347A92">
            <w:r>
              <w:t>If data was additionally provided by LDZ and by AQ band (and/or SOQ band) more detailed analysis would be possible.</w:t>
            </w:r>
          </w:p>
          <w:p w:rsidR="00347A92" w:rsidRDefault="00347A92" w:rsidP="00347A92">
            <w:pPr>
              <w:rPr>
                <w:b/>
              </w:rPr>
            </w:pPr>
            <w:r>
              <w:rPr>
                <w:b/>
              </w:rPr>
              <w:t>Terminology</w:t>
            </w:r>
          </w:p>
          <w:p w:rsidR="00347A92" w:rsidRDefault="00347A92" w:rsidP="00347A92">
            <w:r>
              <w:t>The term “ratchet volume” in the above MOD extract is an energy value not a volume value and so the term “ratchet quantity” will be used here.</w:t>
            </w:r>
          </w:p>
          <w:p w:rsidR="00347A92" w:rsidRDefault="00347A92" w:rsidP="00347A92">
            <w:pPr>
              <w:rPr>
                <w:b/>
              </w:rPr>
            </w:pPr>
            <w:r>
              <w:rPr>
                <w:b/>
              </w:rPr>
              <w:t>Trigger</w:t>
            </w:r>
          </w:p>
          <w:p w:rsidR="00347A92" w:rsidRDefault="00347A92" w:rsidP="00347A92">
            <w:r>
              <w:t xml:space="preserve">Each month produce a report for the previous month (October to May).  </w:t>
            </w:r>
          </w:p>
          <w:p w:rsidR="00347A92" w:rsidRDefault="00347A92" w:rsidP="00347A92">
            <w:r>
              <w:t>Triggered no earlier than “exit close out” plus 1day for the last day in each report month.</w:t>
            </w:r>
          </w:p>
          <w:p w:rsidR="00347A92" w:rsidRDefault="00347A92" w:rsidP="00347A92">
            <w:pPr>
              <w:rPr>
                <w:rFonts w:ascii="ArialMT" w:hAnsi="ArialMT" w:cs="ArialMT"/>
                <w:b/>
                <w:sz w:val="20"/>
                <w:szCs w:val="20"/>
              </w:rPr>
            </w:pPr>
            <w:r>
              <w:rPr>
                <w:rFonts w:ascii="ArialMT" w:hAnsi="ArialMT" w:cs="ArialMT"/>
                <w:b/>
                <w:sz w:val="20"/>
                <w:szCs w:val="20"/>
              </w:rPr>
              <w:t>Selection Criteria</w:t>
            </w:r>
          </w:p>
          <w:p w:rsidR="00347A92" w:rsidRDefault="00347A92" w:rsidP="00347A92">
            <w:pPr>
              <w:rPr>
                <w:rFonts w:ascii="Calibri" w:hAnsi="Calibri" w:cs="Times New Roman"/>
              </w:rPr>
            </w:pPr>
            <w:r>
              <w:t>All Gas Days in the relevant report month</w:t>
            </w:r>
          </w:p>
          <w:p w:rsidR="00347A92" w:rsidRDefault="00347A92" w:rsidP="00347A92"/>
          <w:p w:rsidR="00347A92" w:rsidRDefault="00347A92" w:rsidP="00347A92"/>
          <w:p w:rsidR="00347A92" w:rsidRDefault="00347A92" w:rsidP="00347A92">
            <w:r>
              <w:t>“Ratchet Quantity” for each Ratchet counted = Daily SMP offtake - (aggregate) Booked Daily Capacity at the SMP on that day the booked capacity is breached.</w:t>
            </w:r>
          </w:p>
          <w:p w:rsidR="00347A92" w:rsidRDefault="00347A92" w:rsidP="00347A92"/>
          <w:p w:rsidR="00347A92" w:rsidRDefault="00347A92" w:rsidP="00347A92">
            <w:r>
              <w:t xml:space="preserve">Assumptions:  </w:t>
            </w:r>
          </w:p>
          <w:p w:rsidR="00347A92" w:rsidRDefault="00347A92" w:rsidP="00347A92">
            <w:pPr>
              <w:pStyle w:val="ListParagraph"/>
              <w:numPr>
                <w:ilvl w:val="0"/>
                <w:numId w:val="5"/>
              </w:numPr>
              <w:spacing w:before="0" w:after="0"/>
              <w:contextualSpacing w:val="0"/>
            </w:pPr>
            <w:r>
              <w:t>“Cumulative Ratchet Volume” means the aggregate ratchet quantity for all ratchets counted in the relevant report month (and not the cumulative ratchet quantity for all ratchets counted so far in a gas year).</w:t>
            </w:r>
          </w:p>
          <w:p w:rsidR="00347A92" w:rsidRDefault="00347A92" w:rsidP="00347A92">
            <w:pPr>
              <w:pStyle w:val="ListParagraph"/>
              <w:numPr>
                <w:ilvl w:val="0"/>
                <w:numId w:val="5"/>
              </w:numPr>
              <w:spacing w:before="0" w:after="0"/>
              <w:contextualSpacing w:val="0"/>
            </w:pPr>
            <w:r>
              <w:t xml:space="preserve">“Customer Count” is the number of ratchets for each shipper in the relevant period </w:t>
            </w:r>
          </w:p>
          <w:p w:rsidR="00347A92" w:rsidRDefault="00347A92" w:rsidP="00347A92">
            <w:pPr>
              <w:pStyle w:val="ListParagraph"/>
              <w:numPr>
                <w:ilvl w:val="0"/>
                <w:numId w:val="5"/>
              </w:numPr>
              <w:spacing w:before="0" w:after="0"/>
              <w:contextualSpacing w:val="0"/>
            </w:pPr>
            <w:r>
              <w:t xml:space="preserve">“Ratchet Count” is the number of ratchets for all shippers in the same period </w:t>
            </w:r>
          </w:p>
          <w:p w:rsidR="00347A92" w:rsidRDefault="00347A92" w:rsidP="00347A92"/>
          <w:p w:rsidR="00347A92" w:rsidRDefault="00347A92" w:rsidP="00347A92">
            <w:r>
              <w:t xml:space="preserve">The reported count of Ratchets is one of the following… </w:t>
            </w:r>
          </w:p>
          <w:p w:rsidR="00347A92" w:rsidRDefault="00347A92" w:rsidP="00347A92"/>
          <w:p w:rsidR="00347A92" w:rsidRDefault="00347A92" w:rsidP="00347A92">
            <w:pPr>
              <w:pStyle w:val="ListParagraph"/>
              <w:numPr>
                <w:ilvl w:val="0"/>
                <w:numId w:val="6"/>
              </w:numPr>
              <w:spacing w:before="0" w:after="0"/>
              <w:contextualSpacing w:val="0"/>
            </w:pPr>
            <w:r>
              <w:rPr>
                <w:u w:val="single"/>
              </w:rPr>
              <w:t>The Number of Capacity Breaches</w:t>
            </w:r>
            <w:r>
              <w:t xml:space="preserve">:  The number of times a daily SMP offtake exceeded (aggregate) booked capacity at the SMP on that day (this count would include all capacity breaches).  </w:t>
            </w:r>
          </w:p>
          <w:p w:rsidR="00347A92" w:rsidRDefault="00347A92" w:rsidP="00347A92"/>
          <w:p w:rsidR="00347A92" w:rsidRDefault="00347A92" w:rsidP="00347A92">
            <w:pPr>
              <w:pStyle w:val="ListParagraph"/>
              <w:numPr>
                <w:ilvl w:val="0"/>
                <w:numId w:val="6"/>
              </w:numPr>
              <w:spacing w:before="0" w:after="0"/>
              <w:contextualSpacing w:val="0"/>
            </w:pPr>
            <w:r>
              <w:rPr>
                <w:u w:val="single"/>
              </w:rPr>
              <w:t>The Number of Capacity Ratchets</w:t>
            </w:r>
            <w:r>
              <w:t xml:space="preserve">:  The number of times the booked capacity at a SMP was “ratcheted” upwards.  This count would exclude all breaches that occurred at a SMP while the SMP capacity was already &gt;= 16 x SHQ.  </w:t>
            </w:r>
          </w:p>
          <w:p w:rsidR="00347A92" w:rsidRDefault="00347A92" w:rsidP="00347A92"/>
          <w:p w:rsidR="00347A92" w:rsidRDefault="00347A92" w:rsidP="00347A92">
            <w:pPr>
              <w:pStyle w:val="ListParagraph"/>
              <w:numPr>
                <w:ilvl w:val="0"/>
                <w:numId w:val="6"/>
              </w:numPr>
              <w:spacing w:before="0" w:after="0"/>
              <w:contextualSpacing w:val="0"/>
            </w:pPr>
            <w:r>
              <w:rPr>
                <w:u w:val="single"/>
              </w:rPr>
              <w:t>The Number of Billed Capacity Breaches</w:t>
            </w:r>
            <w:r>
              <w:t xml:space="preserve">:  The number of times a ratchet charges was billed.  This count would exclude all but one of the breaches that occurred in a month while the SMP capacity was already &gt;= 16 x SHQ.     </w:t>
            </w:r>
          </w:p>
          <w:p w:rsidR="00347A92" w:rsidRDefault="00347A92" w:rsidP="00347A92"/>
          <w:p w:rsidR="00347A92" w:rsidRDefault="00347A92" w:rsidP="00347A92">
            <w:r>
              <w:t xml:space="preserve">Recommended Option:  The Number of Capacity Breaches </w:t>
            </w:r>
          </w:p>
          <w:p w:rsidR="00347A92" w:rsidRDefault="00347A92" w:rsidP="00347A92">
            <w:pPr>
              <w:spacing w:after="0" w:line="240" w:lineRule="auto"/>
              <w:rPr>
                <w:rFonts w:cstheme="minorHAnsi"/>
                <w:bCs/>
                <w:iCs/>
                <w:szCs w:val="20"/>
                <w:lang w:val="en-US"/>
              </w:rPr>
            </w:pPr>
          </w:p>
          <w:p w:rsidR="00347A92" w:rsidRPr="00347A92" w:rsidRDefault="00347A92" w:rsidP="00347A92">
            <w:pPr>
              <w:spacing w:after="0" w:line="240" w:lineRule="auto"/>
              <w:rPr>
                <w:rFonts w:cstheme="minorHAnsi"/>
                <w:bCs/>
                <w:iCs/>
                <w:szCs w:val="20"/>
                <w:lang w:val="en-US"/>
              </w:rPr>
            </w:pPr>
          </w:p>
          <w:p w:rsidR="007A4A6C" w:rsidRPr="00C2627B" w:rsidRDefault="007A4A6C" w:rsidP="004012A4">
            <w:pPr>
              <w:spacing w:after="0"/>
              <w:rPr>
                <w:rFonts w:cs="Arial"/>
                <w:b/>
                <w:bCs/>
              </w:rPr>
            </w:pPr>
          </w:p>
        </w:tc>
      </w:tr>
      <w:tr w:rsidR="00347A92" w:rsidRPr="006E323D" w:rsidTr="00347A92">
        <w:trPr>
          <w:cantSplit/>
        </w:trPr>
        <w:tc>
          <w:tcPr>
            <w:tcW w:w="9889" w:type="dxa"/>
            <w:tcBorders>
              <w:top w:val="nil"/>
            </w:tcBorders>
            <w:tcMar>
              <w:top w:w="28" w:type="dxa"/>
              <w:bottom w:w="28" w:type="dxa"/>
            </w:tcMar>
          </w:tcPr>
          <w:p w:rsidR="00347A92" w:rsidRDefault="00347A92" w:rsidP="00347A92">
            <w:pPr>
              <w:spacing w:after="0"/>
              <w:rPr>
                <w:b/>
              </w:rPr>
            </w:pPr>
            <w:r>
              <w:rPr>
                <w:b/>
              </w:rPr>
              <w:lastRenderedPageBreak/>
              <w:t>Output rules</w:t>
            </w:r>
          </w:p>
          <w:p w:rsidR="00347A92" w:rsidRDefault="00347A92" w:rsidP="00347A92">
            <w:r>
              <w:t xml:space="preserve">For each Shipper (anonymised) on these gas days count the number of times there is a “Ratchet” and accumulates the “Ratchet Quantity (kwh)” for all counted ratchets.  </w:t>
            </w:r>
          </w:p>
          <w:p w:rsidR="00347A92" w:rsidRDefault="00347A92" w:rsidP="00347A92">
            <w:r>
              <w:t>“Ratchet Quantity” for each Ratchet counted = Daily SMP offtake - (aggregate) Booked Daily Capacity at the SMP on that day the booked capacity is breached.</w:t>
            </w:r>
          </w:p>
          <w:p w:rsidR="00347A92" w:rsidRPr="00347A92" w:rsidRDefault="00347A92" w:rsidP="00347A92">
            <w:pPr>
              <w:spacing w:after="0"/>
              <w:rPr>
                <w:b/>
              </w:rPr>
            </w:pPr>
            <w:r w:rsidRPr="00347A92">
              <w:rPr>
                <w:b/>
              </w:rPr>
              <w:t xml:space="preserve">Assumptions:  </w:t>
            </w:r>
          </w:p>
          <w:p w:rsidR="00347A92" w:rsidRPr="00347A92" w:rsidRDefault="00347A92" w:rsidP="00347A92">
            <w:pPr>
              <w:pStyle w:val="ListParagraph"/>
              <w:numPr>
                <w:ilvl w:val="0"/>
                <w:numId w:val="5"/>
              </w:numPr>
              <w:spacing w:before="0" w:after="0"/>
              <w:contextualSpacing w:val="0"/>
              <w:rPr>
                <w:rFonts w:asciiTheme="minorHAnsi" w:eastAsiaTheme="minorHAnsi" w:hAnsiTheme="minorHAnsi" w:cstheme="minorBidi"/>
                <w:sz w:val="22"/>
                <w:szCs w:val="22"/>
              </w:rPr>
            </w:pPr>
            <w:r w:rsidRPr="00347A92">
              <w:rPr>
                <w:rFonts w:asciiTheme="minorHAnsi" w:eastAsiaTheme="minorHAnsi" w:hAnsiTheme="minorHAnsi" w:cstheme="minorBidi"/>
                <w:sz w:val="22"/>
                <w:szCs w:val="22"/>
              </w:rPr>
              <w:t>“Cumulative Ratchet Volume” means the aggregate ratchet quantity for all ratchets counted in the relevant report month (and not the cumulative ratchet quantity for all ratchets counted so far in a gas year).</w:t>
            </w:r>
          </w:p>
          <w:p w:rsidR="00347A92" w:rsidRPr="00347A92" w:rsidRDefault="00347A92" w:rsidP="00347A92">
            <w:pPr>
              <w:pStyle w:val="ListParagraph"/>
              <w:numPr>
                <w:ilvl w:val="0"/>
                <w:numId w:val="5"/>
              </w:numPr>
              <w:spacing w:before="0" w:after="0"/>
              <w:contextualSpacing w:val="0"/>
              <w:rPr>
                <w:rFonts w:asciiTheme="minorHAnsi" w:eastAsiaTheme="minorHAnsi" w:hAnsiTheme="minorHAnsi" w:cstheme="minorBidi"/>
                <w:sz w:val="22"/>
                <w:szCs w:val="22"/>
              </w:rPr>
            </w:pPr>
            <w:r w:rsidRPr="00347A92">
              <w:rPr>
                <w:rFonts w:asciiTheme="minorHAnsi" w:eastAsiaTheme="minorHAnsi" w:hAnsiTheme="minorHAnsi" w:cstheme="minorBidi"/>
                <w:sz w:val="22"/>
                <w:szCs w:val="22"/>
              </w:rPr>
              <w:t xml:space="preserve">“Customer Count” is the number of ratchets for each shipper in the relevant period </w:t>
            </w:r>
          </w:p>
          <w:p w:rsidR="00347A92" w:rsidRPr="00347A92" w:rsidRDefault="00347A92" w:rsidP="00347A92">
            <w:pPr>
              <w:pStyle w:val="ListParagraph"/>
              <w:numPr>
                <w:ilvl w:val="0"/>
                <w:numId w:val="5"/>
              </w:numPr>
              <w:spacing w:before="0" w:after="0"/>
              <w:contextualSpacing w:val="0"/>
              <w:rPr>
                <w:rFonts w:asciiTheme="minorHAnsi" w:eastAsiaTheme="minorHAnsi" w:hAnsiTheme="minorHAnsi" w:cstheme="minorBidi"/>
                <w:sz w:val="22"/>
                <w:szCs w:val="22"/>
              </w:rPr>
            </w:pPr>
            <w:r w:rsidRPr="00347A92">
              <w:rPr>
                <w:rFonts w:asciiTheme="minorHAnsi" w:eastAsiaTheme="minorHAnsi" w:hAnsiTheme="minorHAnsi" w:cstheme="minorBidi"/>
                <w:sz w:val="22"/>
                <w:szCs w:val="22"/>
              </w:rPr>
              <w:t xml:space="preserve">“Ratchet Count” is the number of ratchets for all shippers in the same period </w:t>
            </w:r>
          </w:p>
          <w:p w:rsidR="00154EF2" w:rsidRDefault="00154EF2" w:rsidP="00347A92"/>
          <w:p w:rsidR="00347A92" w:rsidRDefault="00347A92" w:rsidP="00347A92">
            <w:r>
              <w:t>In producing this ROM the below 3 options have been considered:</w:t>
            </w:r>
          </w:p>
          <w:p w:rsidR="00347A92" w:rsidRPr="00347A92" w:rsidRDefault="00347A92" w:rsidP="00347A92">
            <w:pPr>
              <w:pStyle w:val="ListParagraph"/>
              <w:numPr>
                <w:ilvl w:val="0"/>
                <w:numId w:val="6"/>
              </w:numPr>
              <w:spacing w:before="0" w:after="0"/>
              <w:contextualSpacing w:val="0"/>
              <w:rPr>
                <w:rFonts w:asciiTheme="minorHAnsi" w:eastAsiaTheme="minorHAnsi" w:hAnsiTheme="minorHAnsi" w:cstheme="minorBidi"/>
                <w:sz w:val="22"/>
                <w:szCs w:val="22"/>
              </w:rPr>
            </w:pPr>
            <w:r w:rsidRPr="00347A92">
              <w:rPr>
                <w:rFonts w:asciiTheme="minorHAnsi" w:eastAsiaTheme="minorHAnsi" w:hAnsiTheme="minorHAnsi" w:cstheme="minorBidi"/>
                <w:sz w:val="22"/>
                <w:szCs w:val="22"/>
              </w:rPr>
              <w:t xml:space="preserve">The Number of Capacity Breaches:  The number of times a daily SMP offtake exceeded (aggregate) booked capacity at the SMP on that day (this count would include all capacity breaches).  </w:t>
            </w:r>
          </w:p>
          <w:p w:rsidR="00347A92" w:rsidRPr="00347A92" w:rsidRDefault="00347A92" w:rsidP="00347A92">
            <w:pPr>
              <w:pStyle w:val="ListParagraph"/>
              <w:numPr>
                <w:ilvl w:val="0"/>
                <w:numId w:val="6"/>
              </w:numPr>
              <w:spacing w:before="0" w:after="0"/>
              <w:contextualSpacing w:val="0"/>
              <w:rPr>
                <w:rFonts w:asciiTheme="minorHAnsi" w:eastAsiaTheme="minorHAnsi" w:hAnsiTheme="minorHAnsi" w:cstheme="minorBidi"/>
                <w:sz w:val="22"/>
                <w:szCs w:val="22"/>
              </w:rPr>
            </w:pPr>
            <w:r w:rsidRPr="00347A92">
              <w:rPr>
                <w:rFonts w:asciiTheme="minorHAnsi" w:eastAsiaTheme="minorHAnsi" w:hAnsiTheme="minorHAnsi" w:cstheme="minorBidi"/>
                <w:sz w:val="22"/>
                <w:szCs w:val="22"/>
              </w:rPr>
              <w:t xml:space="preserve">The Number of Capacity Ratchets:  The number of times the booked capacity at a SMP was “ratcheted” upwards.  This count would exclude all breaches that occurred at a SMP while the SMP capacity was already &gt;= 16 x SHQ.  </w:t>
            </w:r>
          </w:p>
          <w:p w:rsidR="00347A92" w:rsidRPr="00347A92" w:rsidRDefault="00347A92" w:rsidP="00347A92">
            <w:pPr>
              <w:pStyle w:val="ListParagraph"/>
              <w:numPr>
                <w:ilvl w:val="0"/>
                <w:numId w:val="6"/>
              </w:numPr>
              <w:spacing w:before="0" w:after="0"/>
              <w:contextualSpacing w:val="0"/>
              <w:rPr>
                <w:rFonts w:asciiTheme="minorHAnsi" w:eastAsiaTheme="minorHAnsi" w:hAnsiTheme="minorHAnsi" w:cstheme="minorBidi"/>
                <w:sz w:val="22"/>
                <w:szCs w:val="22"/>
              </w:rPr>
            </w:pPr>
            <w:r w:rsidRPr="00347A92">
              <w:rPr>
                <w:rFonts w:asciiTheme="minorHAnsi" w:eastAsiaTheme="minorHAnsi" w:hAnsiTheme="minorHAnsi" w:cstheme="minorBidi"/>
                <w:sz w:val="22"/>
                <w:szCs w:val="22"/>
              </w:rPr>
              <w:t xml:space="preserve">The Number of Billed Capacity Breaches:  The number of times a ratchet charges was billed.  This count would exclude all but one of the breaches that occurred in a month while the SMP capacity was already &gt;= 16 x SHQ.     </w:t>
            </w:r>
          </w:p>
          <w:p w:rsidR="00154EF2" w:rsidRDefault="00154EF2" w:rsidP="00347A92"/>
          <w:p w:rsidR="00347A92" w:rsidRDefault="00347A92" w:rsidP="00347A92">
            <w:r>
              <w:t xml:space="preserve">The recommended Option:  The Number of Capacity Breaches has been considered within producing this ROM. </w:t>
            </w:r>
          </w:p>
          <w:p w:rsidR="00347A92" w:rsidRPr="00C2627B" w:rsidRDefault="00154EF2" w:rsidP="004012A4">
            <w:pPr>
              <w:spacing w:before="60" w:after="60"/>
              <w:rPr>
                <w:rFonts w:cs="Arial"/>
                <w:b/>
                <w:bCs/>
              </w:rPr>
            </w:pPr>
            <w:r>
              <w:rPr>
                <w:rFonts w:cs="Arial"/>
                <w:b/>
                <w:bCs/>
              </w:rPr>
              <w:t xml:space="preserve">Alternative options can be considered and costed if required. </w:t>
            </w:r>
          </w:p>
        </w:tc>
      </w:tr>
      <w:tr w:rsidR="007A4A6C" w:rsidRPr="006E323D" w:rsidTr="004012A4">
        <w:trPr>
          <w:cantSplit/>
        </w:trPr>
        <w:tc>
          <w:tcPr>
            <w:tcW w:w="9889" w:type="dxa"/>
            <w:tcMar>
              <w:top w:w="28" w:type="dxa"/>
              <w:bottom w:w="28" w:type="dxa"/>
            </w:tcMar>
          </w:tcPr>
          <w:p w:rsidR="007A4A6C" w:rsidRPr="00C2627B" w:rsidRDefault="007A4A6C" w:rsidP="004012A4">
            <w:pPr>
              <w:spacing w:before="60" w:after="60"/>
              <w:rPr>
                <w:rFonts w:cs="Arial"/>
                <w:b/>
                <w:bCs/>
              </w:rPr>
            </w:pPr>
            <w:r w:rsidRPr="00C2627B">
              <w:rPr>
                <w:rFonts w:cs="Arial"/>
                <w:b/>
                <w:bCs/>
              </w:rPr>
              <w:t>Change Costs (</w:t>
            </w:r>
            <w:r>
              <w:rPr>
                <w:rFonts w:cs="Arial"/>
                <w:b/>
                <w:bCs/>
              </w:rPr>
              <w:t>implementation</w:t>
            </w:r>
            <w:r w:rsidRPr="00C2627B">
              <w:rPr>
                <w:rFonts w:cs="Arial"/>
                <w:b/>
                <w:bCs/>
              </w:rPr>
              <w:t>):</w:t>
            </w:r>
          </w:p>
          <w:p w:rsidR="007A4A6C" w:rsidRDefault="007A4A6C" w:rsidP="004012A4">
            <w:pPr>
              <w:keepNext/>
              <w:keepLines/>
              <w:rPr>
                <w:rFonts w:cs="Arial"/>
                <w:b/>
              </w:rPr>
            </w:pPr>
            <w:r w:rsidRPr="00B53BD2">
              <w:rPr>
                <w:rFonts w:cs="Arial"/>
              </w:rPr>
              <w:t xml:space="preserve">The solution will cost at least </w:t>
            </w:r>
            <w:r w:rsidRPr="00B53BD2">
              <w:rPr>
                <w:rFonts w:cs="Arial"/>
                <w:b/>
              </w:rPr>
              <w:t>£</w:t>
            </w:r>
            <w:r>
              <w:rPr>
                <w:rFonts w:cs="Arial"/>
                <w:b/>
              </w:rPr>
              <w:t>75,000</w:t>
            </w:r>
            <w:r w:rsidRPr="00B53BD2">
              <w:rPr>
                <w:rFonts w:cs="Arial"/>
              </w:rPr>
              <w:t xml:space="preserve">, but probably not more than </w:t>
            </w:r>
            <w:r w:rsidRPr="00B53BD2">
              <w:rPr>
                <w:rFonts w:cs="Arial"/>
                <w:b/>
              </w:rPr>
              <w:t>£</w:t>
            </w:r>
            <w:r>
              <w:rPr>
                <w:rFonts w:cs="Arial"/>
                <w:b/>
              </w:rPr>
              <w:t xml:space="preserve">115,000 </w:t>
            </w:r>
            <w:r w:rsidRPr="00F7139E">
              <w:rPr>
                <w:rFonts w:cs="Arial"/>
              </w:rPr>
              <w:t>to develop.</w:t>
            </w:r>
          </w:p>
          <w:p w:rsidR="007A4A6C" w:rsidRDefault="007A4A6C" w:rsidP="004012A4">
            <w:pPr>
              <w:keepNext/>
              <w:keepLines/>
              <w:rPr>
                <w:rFonts w:cs="Arial"/>
              </w:rPr>
            </w:pPr>
            <w:r>
              <w:rPr>
                <w:rFonts w:cs="Arial"/>
              </w:rPr>
              <w:t xml:space="preserve">The high end cost includes development of an additional interim operational solution that may be needed to bridge the gap from October 2018 to delivery of the enduring automated solution.  Note:  This accounts for only a portion of the difference between low and high end costs. </w:t>
            </w:r>
          </w:p>
          <w:p w:rsidR="007A4A6C" w:rsidRPr="003863E4" w:rsidRDefault="007A4A6C" w:rsidP="004012A4">
            <w:pPr>
              <w:rPr>
                <w:rFonts w:cs="Arial"/>
              </w:rPr>
            </w:pPr>
          </w:p>
        </w:tc>
      </w:tr>
      <w:tr w:rsidR="007A4A6C" w:rsidRPr="006E323D" w:rsidTr="004012A4">
        <w:trPr>
          <w:cantSplit/>
        </w:trPr>
        <w:tc>
          <w:tcPr>
            <w:tcW w:w="9889" w:type="dxa"/>
            <w:tcMar>
              <w:top w:w="28" w:type="dxa"/>
              <w:bottom w:w="28" w:type="dxa"/>
            </w:tcMar>
          </w:tcPr>
          <w:p w:rsidR="007A4A6C" w:rsidRPr="00C2627B" w:rsidRDefault="007A4A6C" w:rsidP="004012A4">
            <w:pPr>
              <w:spacing w:before="60" w:after="60"/>
              <w:rPr>
                <w:rFonts w:cs="Arial"/>
                <w:b/>
                <w:bCs/>
              </w:rPr>
            </w:pPr>
            <w:r w:rsidRPr="00C2627B">
              <w:rPr>
                <w:rFonts w:cs="Arial"/>
                <w:b/>
                <w:bCs/>
              </w:rPr>
              <w:lastRenderedPageBreak/>
              <w:t>Change Costs (on-going</w:t>
            </w:r>
            <w:r>
              <w:rPr>
                <w:rFonts w:cs="Arial"/>
                <w:b/>
                <w:bCs/>
              </w:rPr>
              <w:t>):</w:t>
            </w:r>
          </w:p>
          <w:p w:rsidR="007A4A6C" w:rsidRDefault="007A4A6C" w:rsidP="004012A4">
            <w:pPr>
              <w:spacing w:before="60" w:after="60"/>
              <w:rPr>
                <w:rFonts w:cs="Arial"/>
                <w:b/>
                <w:bCs/>
                <w:color w:val="0D0D0D" w:themeColor="text1" w:themeTint="F2"/>
              </w:rPr>
            </w:pPr>
          </w:p>
          <w:p w:rsidR="007A4A6C" w:rsidRPr="00F243DC" w:rsidRDefault="007A4A6C" w:rsidP="004012A4">
            <w:pPr>
              <w:spacing w:before="60" w:after="60"/>
              <w:rPr>
                <w:rFonts w:cs="Arial"/>
                <w:b/>
                <w:bCs/>
                <w:color w:val="0D0D0D" w:themeColor="text1" w:themeTint="F2"/>
              </w:rPr>
            </w:pPr>
            <w:r w:rsidRPr="00F243DC">
              <w:rPr>
                <w:rFonts w:cs="Arial"/>
                <w:b/>
                <w:bCs/>
                <w:color w:val="0D0D0D" w:themeColor="text1" w:themeTint="F2"/>
              </w:rPr>
              <w:t xml:space="preserve">Ratchet query management </w:t>
            </w:r>
          </w:p>
          <w:p w:rsidR="007A4A6C" w:rsidRDefault="007A4A6C" w:rsidP="004012A4">
            <w:pPr>
              <w:spacing w:before="60" w:after="60"/>
              <w:rPr>
                <w:rFonts w:cs="Arial"/>
                <w:bCs/>
                <w:color w:val="0D0D0D" w:themeColor="text1" w:themeTint="F2"/>
              </w:rPr>
            </w:pPr>
            <w:r>
              <w:rPr>
                <w:rFonts w:cs="Arial"/>
                <w:bCs/>
                <w:color w:val="0D0D0D" w:themeColor="text1" w:themeTint="F2"/>
              </w:rPr>
              <w:t>The cost of operational management of ratchet queries will depend on ratchet frequencies after MOD 619 is implemented.</w:t>
            </w:r>
          </w:p>
          <w:p w:rsidR="007A4A6C" w:rsidRDefault="007A4A6C" w:rsidP="004012A4">
            <w:pPr>
              <w:spacing w:before="60" w:after="60"/>
              <w:rPr>
                <w:rFonts w:cs="Arial"/>
                <w:bCs/>
                <w:color w:val="0D0D0D" w:themeColor="text1" w:themeTint="F2"/>
              </w:rPr>
            </w:pPr>
            <w:r>
              <w:rPr>
                <w:rFonts w:cs="Arial"/>
                <w:bCs/>
                <w:color w:val="0D0D0D" w:themeColor="text1" w:themeTint="F2"/>
              </w:rPr>
              <w:t xml:space="preserve">Assuming historic ratchet query and resolution rates, ongoing costs to manage queries resulting from 100 ratchets would </w:t>
            </w:r>
            <w:r w:rsidRPr="00C43A65">
              <w:rPr>
                <w:rFonts w:cs="Arial"/>
                <w:bCs/>
                <w:color w:val="0D0D0D" w:themeColor="text1" w:themeTint="F2"/>
              </w:rPr>
              <w:t xml:space="preserve">cost </w:t>
            </w:r>
            <w:r>
              <w:rPr>
                <w:rFonts w:cs="Arial"/>
                <w:bCs/>
                <w:color w:val="0D0D0D" w:themeColor="text1" w:themeTint="F2"/>
              </w:rPr>
              <w:t xml:space="preserve">approximately </w:t>
            </w:r>
            <w:r w:rsidRPr="001E634A">
              <w:rPr>
                <w:rFonts w:cs="Arial"/>
                <w:bCs/>
                <w:color w:val="0D0D0D" w:themeColor="text1" w:themeTint="F2"/>
              </w:rPr>
              <w:t>£650</w:t>
            </w:r>
            <w:r>
              <w:rPr>
                <w:rFonts w:cs="Arial"/>
                <w:bCs/>
                <w:color w:val="0D0D0D" w:themeColor="text1" w:themeTint="F2"/>
              </w:rPr>
              <w:t>.</w:t>
            </w:r>
          </w:p>
          <w:p w:rsidR="007A4A6C" w:rsidRDefault="007A4A6C" w:rsidP="004012A4">
            <w:pPr>
              <w:spacing w:before="60" w:after="60"/>
              <w:rPr>
                <w:rFonts w:cs="Arial"/>
                <w:bCs/>
                <w:color w:val="0D0D0D" w:themeColor="text1" w:themeTint="F2"/>
              </w:rPr>
            </w:pPr>
            <w:r>
              <w:rPr>
                <w:rFonts w:cs="Arial"/>
                <w:bCs/>
                <w:color w:val="0D0D0D" w:themeColor="text1" w:themeTint="F2"/>
              </w:rPr>
              <w:t>Actual ongoing costs will vary from the above depending on…</w:t>
            </w:r>
          </w:p>
          <w:p w:rsidR="007A4A6C" w:rsidRPr="00154EF2" w:rsidRDefault="007A4A6C" w:rsidP="007A4A6C">
            <w:pPr>
              <w:pStyle w:val="ListParagraph"/>
              <w:numPr>
                <w:ilvl w:val="0"/>
                <w:numId w:val="2"/>
              </w:numPr>
              <w:spacing w:before="60" w:after="60"/>
              <w:ind w:left="714" w:hanging="357"/>
              <w:contextualSpacing w:val="0"/>
              <w:rPr>
                <w:rFonts w:asciiTheme="minorHAnsi" w:eastAsiaTheme="minorHAnsi" w:hAnsiTheme="minorHAnsi" w:cs="Arial"/>
                <w:bCs/>
                <w:color w:val="0D0D0D" w:themeColor="text1" w:themeTint="F2"/>
                <w:sz w:val="22"/>
                <w:szCs w:val="22"/>
              </w:rPr>
            </w:pPr>
            <w:r w:rsidRPr="00154EF2">
              <w:rPr>
                <w:rFonts w:asciiTheme="minorHAnsi" w:eastAsiaTheme="minorHAnsi" w:hAnsiTheme="minorHAnsi" w:cs="Arial"/>
                <w:bCs/>
                <w:color w:val="0D0D0D" w:themeColor="text1" w:themeTint="F2"/>
                <w:sz w:val="22"/>
                <w:szCs w:val="22"/>
              </w:rPr>
              <w:t xml:space="preserve">Changes in the size of the DM SMP population, </w:t>
            </w:r>
          </w:p>
          <w:p w:rsidR="007A4A6C" w:rsidRPr="00154EF2" w:rsidRDefault="007A4A6C" w:rsidP="007A4A6C">
            <w:pPr>
              <w:pStyle w:val="ListParagraph"/>
              <w:numPr>
                <w:ilvl w:val="0"/>
                <w:numId w:val="2"/>
              </w:numPr>
              <w:spacing w:before="60" w:after="60"/>
              <w:ind w:left="714" w:hanging="357"/>
              <w:contextualSpacing w:val="0"/>
              <w:rPr>
                <w:rFonts w:asciiTheme="minorHAnsi" w:eastAsiaTheme="minorHAnsi" w:hAnsiTheme="minorHAnsi" w:cs="Arial"/>
                <w:bCs/>
                <w:color w:val="0D0D0D" w:themeColor="text1" w:themeTint="F2"/>
                <w:sz w:val="22"/>
                <w:szCs w:val="22"/>
              </w:rPr>
            </w:pPr>
            <w:r w:rsidRPr="00154EF2">
              <w:rPr>
                <w:rFonts w:asciiTheme="minorHAnsi" w:eastAsiaTheme="minorHAnsi" w:hAnsiTheme="minorHAnsi" w:cs="Arial"/>
                <w:bCs/>
                <w:color w:val="0D0D0D" w:themeColor="text1" w:themeTint="F2"/>
                <w:sz w:val="22"/>
                <w:szCs w:val="22"/>
              </w:rPr>
              <w:t xml:space="preserve">Changes in capacity booking behaviour and the effect this has on ratchet frequencies, </w:t>
            </w:r>
          </w:p>
          <w:p w:rsidR="007A4A6C" w:rsidRPr="00154EF2" w:rsidRDefault="007A4A6C" w:rsidP="007A4A6C">
            <w:pPr>
              <w:pStyle w:val="ListParagraph"/>
              <w:numPr>
                <w:ilvl w:val="0"/>
                <w:numId w:val="2"/>
              </w:numPr>
              <w:spacing w:before="60" w:after="60"/>
              <w:ind w:left="714" w:hanging="357"/>
              <w:contextualSpacing w:val="0"/>
              <w:rPr>
                <w:rFonts w:asciiTheme="minorHAnsi" w:eastAsiaTheme="minorHAnsi" w:hAnsiTheme="minorHAnsi" w:cs="Arial"/>
                <w:bCs/>
                <w:color w:val="0D0D0D" w:themeColor="text1" w:themeTint="F2"/>
                <w:sz w:val="22"/>
                <w:szCs w:val="22"/>
              </w:rPr>
            </w:pPr>
            <w:r w:rsidRPr="00154EF2">
              <w:rPr>
                <w:rFonts w:asciiTheme="minorHAnsi" w:eastAsiaTheme="minorHAnsi" w:hAnsiTheme="minorHAnsi" w:cs="Arial"/>
                <w:bCs/>
                <w:color w:val="0D0D0D" w:themeColor="text1" w:themeTint="F2"/>
                <w:sz w:val="22"/>
                <w:szCs w:val="22"/>
              </w:rPr>
              <w:t>Shipper query behaviour in response to such ratchets.</w:t>
            </w:r>
          </w:p>
          <w:p w:rsidR="007A4A6C" w:rsidRPr="00154EF2" w:rsidRDefault="007A4A6C" w:rsidP="004012A4">
            <w:pPr>
              <w:spacing w:before="60" w:after="60"/>
              <w:rPr>
                <w:rFonts w:cs="Arial"/>
                <w:bCs/>
                <w:color w:val="0D0D0D" w:themeColor="text1" w:themeTint="F2"/>
              </w:rPr>
            </w:pPr>
          </w:p>
          <w:p w:rsidR="007A4A6C" w:rsidRPr="00F243DC" w:rsidRDefault="007A4A6C" w:rsidP="004012A4">
            <w:pPr>
              <w:spacing w:before="60" w:after="60"/>
              <w:rPr>
                <w:rFonts w:cs="Arial"/>
                <w:bCs/>
              </w:rPr>
            </w:pPr>
            <w:r>
              <w:rPr>
                <w:rFonts w:cs="Arial"/>
                <w:b/>
                <w:bCs/>
              </w:rPr>
              <w:t>Cost of operating an interim solution</w:t>
            </w:r>
            <w:r w:rsidRPr="00F243DC">
              <w:rPr>
                <w:rFonts w:cs="Arial"/>
                <w:bCs/>
              </w:rPr>
              <w:t xml:space="preserve"> (if needed)</w:t>
            </w:r>
          </w:p>
          <w:p w:rsidR="007A4A6C" w:rsidRDefault="007A4A6C" w:rsidP="004012A4">
            <w:pPr>
              <w:spacing w:before="60" w:after="60"/>
              <w:rPr>
                <w:rFonts w:cs="Arial"/>
                <w:bCs/>
                <w:color w:val="0D0D0D" w:themeColor="text1" w:themeTint="F2"/>
              </w:rPr>
            </w:pPr>
            <w:r w:rsidRPr="00F243DC">
              <w:rPr>
                <w:rFonts w:cs="Arial"/>
                <w:b/>
                <w:bCs/>
                <w:color w:val="0D0D0D" w:themeColor="text1" w:themeTint="F2"/>
              </w:rPr>
              <w:t>£</w:t>
            </w:r>
            <w:r>
              <w:rPr>
                <w:rFonts w:cs="Arial"/>
                <w:b/>
                <w:bCs/>
                <w:color w:val="0D0D0D" w:themeColor="text1" w:themeTint="F2"/>
              </w:rPr>
              <w:t>12,000 to £24,000</w:t>
            </w:r>
            <w:r>
              <w:rPr>
                <w:rFonts w:cs="Arial"/>
                <w:bCs/>
                <w:color w:val="0D0D0D" w:themeColor="text1" w:themeTint="F2"/>
              </w:rPr>
              <w:t xml:space="preserve"> for every 100 ratchets that incurred charges under pre-MOD 619 rules.</w:t>
            </w:r>
          </w:p>
          <w:p w:rsidR="007A4A6C" w:rsidRPr="00C2627B" w:rsidRDefault="007A4A6C" w:rsidP="004012A4">
            <w:pPr>
              <w:spacing w:before="60" w:after="60"/>
              <w:rPr>
                <w:rFonts w:cs="Arial"/>
                <w:b/>
                <w:bCs/>
              </w:rPr>
            </w:pPr>
          </w:p>
        </w:tc>
      </w:tr>
      <w:tr w:rsidR="007A4A6C" w:rsidRPr="006E323D" w:rsidTr="004012A4">
        <w:trPr>
          <w:cantSplit/>
        </w:trPr>
        <w:tc>
          <w:tcPr>
            <w:tcW w:w="9889" w:type="dxa"/>
            <w:tcMar>
              <w:top w:w="28" w:type="dxa"/>
              <w:bottom w:w="28" w:type="dxa"/>
            </w:tcMar>
          </w:tcPr>
          <w:p w:rsidR="007A4A6C" w:rsidRPr="00C2627B" w:rsidRDefault="007A4A6C" w:rsidP="004012A4">
            <w:pPr>
              <w:spacing w:before="60" w:after="60"/>
              <w:rPr>
                <w:rFonts w:cs="Arial"/>
                <w:b/>
                <w:bCs/>
              </w:rPr>
            </w:pPr>
            <w:r w:rsidRPr="00C2627B">
              <w:rPr>
                <w:rFonts w:cs="Arial"/>
                <w:b/>
                <w:bCs/>
              </w:rPr>
              <w:t>Timescales</w:t>
            </w:r>
            <w:r>
              <w:rPr>
                <w:rFonts w:cs="Arial"/>
                <w:b/>
                <w:bCs/>
              </w:rPr>
              <w:t>:</w:t>
            </w:r>
          </w:p>
          <w:p w:rsidR="007A4A6C" w:rsidRPr="00AC14EF" w:rsidRDefault="007A4A6C" w:rsidP="004012A4">
            <w:pPr>
              <w:spacing w:before="60" w:after="60"/>
              <w:rPr>
                <w:rFonts w:cs="Arial"/>
                <w:bCs/>
                <w:color w:val="0D0D0D" w:themeColor="text1" w:themeTint="F2"/>
              </w:rPr>
            </w:pPr>
            <w:r w:rsidRPr="00AC14EF">
              <w:rPr>
                <w:rFonts w:cs="Arial"/>
                <w:bCs/>
                <w:color w:val="0D0D0D" w:themeColor="text1" w:themeTint="F2"/>
              </w:rPr>
              <w:t xml:space="preserve">The strategy adopted for Post Nexus change is a Release strategy (changes grouped and implemented together at a set date) and it is expected that this change would form part of a Release.  </w:t>
            </w:r>
          </w:p>
          <w:p w:rsidR="007A4A6C" w:rsidRPr="00AC14EF" w:rsidRDefault="007A4A6C" w:rsidP="004012A4">
            <w:pPr>
              <w:spacing w:before="60" w:after="60"/>
              <w:rPr>
                <w:rFonts w:cs="Arial"/>
                <w:bCs/>
                <w:color w:val="0D0D0D" w:themeColor="text1" w:themeTint="F2"/>
              </w:rPr>
            </w:pPr>
            <w:r w:rsidRPr="00AC14EF">
              <w:rPr>
                <w:rFonts w:cs="Arial"/>
                <w:bCs/>
                <w:color w:val="0D0D0D" w:themeColor="text1" w:themeTint="F2"/>
              </w:rPr>
              <w:t xml:space="preserve">The desire for an implementation in time for the ratchet period starting in October 2018 is understood.  </w:t>
            </w:r>
          </w:p>
          <w:p w:rsidR="007A4A6C" w:rsidRDefault="007A4A6C" w:rsidP="004012A4">
            <w:pPr>
              <w:spacing w:before="60" w:after="60"/>
              <w:rPr>
                <w:rFonts w:cs="Arial"/>
                <w:bCs/>
                <w:color w:val="0D0D0D" w:themeColor="text1" w:themeTint="F2"/>
              </w:rPr>
            </w:pPr>
            <w:r w:rsidRPr="00AC14EF">
              <w:rPr>
                <w:rFonts w:cs="Arial"/>
                <w:bCs/>
                <w:color w:val="0D0D0D" w:themeColor="text1" w:themeTint="F2"/>
              </w:rPr>
              <w:t>Whilst the change will be targeted at a release to achieve that aim, a target release ((or target release date) cannot be specified until a Change Proposal for delivery has been prioritised and agreed by the DSC Change Committee.</w:t>
            </w:r>
          </w:p>
          <w:p w:rsidR="007A4A6C" w:rsidRPr="00AC14EF" w:rsidRDefault="007A4A6C" w:rsidP="004012A4">
            <w:pPr>
              <w:spacing w:before="60" w:after="60"/>
              <w:rPr>
                <w:rFonts w:cs="Arial"/>
                <w:bCs/>
                <w:color w:val="0D0D0D" w:themeColor="text1" w:themeTint="F2"/>
              </w:rPr>
            </w:pPr>
            <w:r>
              <w:rPr>
                <w:rFonts w:cs="Arial"/>
                <w:bCs/>
                <w:color w:val="0D0D0D" w:themeColor="text1" w:themeTint="F2"/>
              </w:rPr>
              <w:t xml:space="preserve">Note:  Since ROMs are requested some way in advance of releases being scoped, </w:t>
            </w:r>
            <w:r w:rsidRPr="00AC14EF">
              <w:rPr>
                <w:rFonts w:cs="Arial"/>
                <w:bCs/>
                <w:color w:val="0D0D0D" w:themeColor="text1" w:themeTint="F2"/>
              </w:rPr>
              <w:t xml:space="preserve">costs quoted in a ROM </w:t>
            </w:r>
            <w:r>
              <w:rPr>
                <w:rFonts w:cs="Arial"/>
                <w:bCs/>
                <w:color w:val="0D0D0D" w:themeColor="text1" w:themeTint="F2"/>
              </w:rPr>
              <w:t xml:space="preserve">are </w:t>
            </w:r>
            <w:r w:rsidRPr="00AC14EF">
              <w:rPr>
                <w:rFonts w:cs="Arial"/>
                <w:bCs/>
                <w:color w:val="0D0D0D" w:themeColor="text1" w:themeTint="F2"/>
              </w:rPr>
              <w:t xml:space="preserve">based on implementing </w:t>
            </w:r>
            <w:r>
              <w:rPr>
                <w:rFonts w:cs="Arial"/>
                <w:bCs/>
                <w:color w:val="0D0D0D" w:themeColor="text1" w:themeTint="F2"/>
              </w:rPr>
              <w:t>the</w:t>
            </w:r>
            <w:r w:rsidRPr="00AC14EF">
              <w:rPr>
                <w:rFonts w:cs="Arial"/>
                <w:bCs/>
                <w:color w:val="0D0D0D" w:themeColor="text1" w:themeTint="F2"/>
              </w:rPr>
              <w:t xml:space="preserve"> solution in isolation.  When the change is implemented a portion of the </w:t>
            </w:r>
            <w:r>
              <w:rPr>
                <w:rFonts w:cs="Arial"/>
                <w:bCs/>
                <w:color w:val="0D0D0D" w:themeColor="text1" w:themeTint="F2"/>
              </w:rPr>
              <w:t xml:space="preserve">relevant </w:t>
            </w:r>
            <w:r w:rsidRPr="00AC14EF">
              <w:rPr>
                <w:rFonts w:cs="Arial"/>
                <w:bCs/>
                <w:color w:val="0D0D0D" w:themeColor="text1" w:themeTint="F2"/>
              </w:rPr>
              <w:t>release costs will attributed to this change and in doing so reflect the costs from implementing</w:t>
            </w:r>
            <w:r>
              <w:rPr>
                <w:rFonts w:cs="Arial"/>
                <w:bCs/>
                <w:color w:val="0D0D0D" w:themeColor="text1" w:themeTint="F2"/>
              </w:rPr>
              <w:t xml:space="preserve"> </w:t>
            </w:r>
            <w:r w:rsidRPr="00AC14EF">
              <w:rPr>
                <w:rFonts w:cs="Arial"/>
                <w:bCs/>
                <w:color w:val="0D0D0D" w:themeColor="text1" w:themeTint="F2"/>
              </w:rPr>
              <w:t>the change as part of a release.</w:t>
            </w:r>
          </w:p>
          <w:p w:rsidR="007A4A6C" w:rsidRPr="00C2627B" w:rsidRDefault="007A4A6C" w:rsidP="004012A4">
            <w:pPr>
              <w:spacing w:after="0"/>
              <w:rPr>
                <w:rFonts w:cs="Arial"/>
                <w:b/>
                <w:bCs/>
              </w:rPr>
            </w:pPr>
          </w:p>
        </w:tc>
      </w:tr>
      <w:tr w:rsidR="007A4A6C" w:rsidRPr="006E323D" w:rsidTr="004012A4">
        <w:trPr>
          <w:cantSplit/>
        </w:trPr>
        <w:tc>
          <w:tcPr>
            <w:tcW w:w="9889" w:type="dxa"/>
            <w:tcMar>
              <w:top w:w="28" w:type="dxa"/>
              <w:bottom w:w="28" w:type="dxa"/>
            </w:tcMar>
          </w:tcPr>
          <w:p w:rsidR="007A4A6C" w:rsidRPr="00C2627B" w:rsidRDefault="007A4A6C" w:rsidP="004012A4">
            <w:pPr>
              <w:spacing w:before="60" w:after="60"/>
              <w:rPr>
                <w:rFonts w:cs="Arial"/>
                <w:b/>
                <w:bCs/>
              </w:rPr>
            </w:pPr>
            <w:r w:rsidRPr="00C2627B">
              <w:rPr>
                <w:rFonts w:cs="Arial"/>
                <w:b/>
                <w:bCs/>
              </w:rPr>
              <w:t>Assumptions:</w:t>
            </w:r>
          </w:p>
          <w:p w:rsidR="007A4A6C" w:rsidRPr="00154EF2" w:rsidRDefault="007A4A6C" w:rsidP="007A4A6C">
            <w:pPr>
              <w:pStyle w:val="ListParagraph"/>
              <w:numPr>
                <w:ilvl w:val="0"/>
                <w:numId w:val="1"/>
              </w:numPr>
              <w:spacing w:after="0"/>
              <w:ind w:left="284" w:hanging="284"/>
              <w:contextualSpacing w:val="0"/>
              <w:rPr>
                <w:rFonts w:asciiTheme="minorHAnsi" w:eastAsiaTheme="minorHAnsi" w:hAnsiTheme="minorHAnsi" w:cs="Arial"/>
                <w:bCs/>
                <w:color w:val="0D0D0D" w:themeColor="text1" w:themeTint="F2"/>
                <w:sz w:val="22"/>
                <w:szCs w:val="22"/>
              </w:rPr>
            </w:pPr>
            <w:r w:rsidRPr="00154EF2">
              <w:rPr>
                <w:rFonts w:asciiTheme="minorHAnsi" w:eastAsiaTheme="minorHAnsi" w:hAnsiTheme="minorHAnsi" w:cs="Arial"/>
                <w:bCs/>
                <w:color w:val="0D0D0D" w:themeColor="text1" w:themeTint="F2"/>
                <w:sz w:val="22"/>
                <w:szCs w:val="22"/>
              </w:rPr>
              <w:t>The change applies to all DM SMPs, i.e. including Class 1 SMPs.</w:t>
            </w:r>
          </w:p>
          <w:p w:rsidR="007A4A6C" w:rsidRPr="00154EF2" w:rsidRDefault="007A4A6C" w:rsidP="007A4A6C">
            <w:pPr>
              <w:pStyle w:val="ListParagraph"/>
              <w:numPr>
                <w:ilvl w:val="0"/>
                <w:numId w:val="1"/>
              </w:numPr>
              <w:spacing w:after="0"/>
              <w:ind w:left="284" w:hanging="284"/>
              <w:contextualSpacing w:val="0"/>
              <w:rPr>
                <w:rFonts w:asciiTheme="minorHAnsi" w:eastAsiaTheme="minorHAnsi" w:hAnsiTheme="minorHAnsi" w:cs="Arial"/>
                <w:bCs/>
                <w:color w:val="0D0D0D" w:themeColor="text1" w:themeTint="F2"/>
                <w:sz w:val="22"/>
                <w:szCs w:val="22"/>
              </w:rPr>
            </w:pPr>
            <w:r w:rsidRPr="00154EF2">
              <w:rPr>
                <w:rFonts w:asciiTheme="minorHAnsi" w:eastAsiaTheme="minorHAnsi" w:hAnsiTheme="minorHAnsi" w:cs="Arial"/>
                <w:bCs/>
                <w:color w:val="0D0D0D" w:themeColor="text1" w:themeTint="F2"/>
                <w:sz w:val="22"/>
                <w:szCs w:val="22"/>
              </w:rPr>
              <w:t xml:space="preserve">The change will be implemented within the new UK Link SAP system </w:t>
            </w:r>
          </w:p>
          <w:p w:rsidR="007A4A6C" w:rsidRPr="00154EF2" w:rsidRDefault="007A4A6C" w:rsidP="007A4A6C">
            <w:pPr>
              <w:pStyle w:val="ListParagraph"/>
              <w:numPr>
                <w:ilvl w:val="0"/>
                <w:numId w:val="1"/>
              </w:numPr>
              <w:spacing w:after="0"/>
              <w:ind w:left="284" w:hanging="284"/>
              <w:contextualSpacing w:val="0"/>
              <w:rPr>
                <w:rFonts w:asciiTheme="minorHAnsi" w:eastAsiaTheme="minorHAnsi" w:hAnsiTheme="minorHAnsi" w:cs="Arial"/>
                <w:bCs/>
                <w:color w:val="0D0D0D" w:themeColor="text1" w:themeTint="F2"/>
                <w:sz w:val="22"/>
                <w:szCs w:val="22"/>
              </w:rPr>
            </w:pPr>
            <w:r w:rsidRPr="00154EF2">
              <w:rPr>
                <w:rFonts w:asciiTheme="minorHAnsi" w:eastAsiaTheme="minorHAnsi" w:hAnsiTheme="minorHAnsi" w:cs="Arial"/>
                <w:bCs/>
                <w:color w:val="0D0D0D" w:themeColor="text1" w:themeTint="F2"/>
                <w:sz w:val="22"/>
                <w:szCs w:val="22"/>
              </w:rPr>
              <w:t>The uplift in charges as a result of the applying the ratchet multiplier value of 1.1 will be billed as an increase to the charge amount for each charge type included in ratchet charges, i.e. the uplift will not be billed as a separate charge amount(s) or via new charge type(s).</w:t>
            </w:r>
          </w:p>
          <w:p w:rsidR="007A4A6C" w:rsidRPr="006D1C0F" w:rsidRDefault="007A4A6C" w:rsidP="004012A4">
            <w:pPr>
              <w:pStyle w:val="ListParagraph"/>
              <w:spacing w:after="0"/>
              <w:ind w:left="284"/>
              <w:contextualSpacing w:val="0"/>
              <w:rPr>
                <w:rFonts w:cs="Arial"/>
                <w:b/>
                <w:bCs/>
              </w:rPr>
            </w:pPr>
          </w:p>
        </w:tc>
      </w:tr>
      <w:tr w:rsidR="007A4A6C" w:rsidRPr="006E323D" w:rsidTr="004012A4">
        <w:trPr>
          <w:cantSplit/>
        </w:trPr>
        <w:tc>
          <w:tcPr>
            <w:tcW w:w="9889" w:type="dxa"/>
            <w:tcMar>
              <w:top w:w="28" w:type="dxa"/>
              <w:bottom w:w="28" w:type="dxa"/>
            </w:tcMar>
          </w:tcPr>
          <w:p w:rsidR="007A4A6C" w:rsidRPr="00C2627B" w:rsidRDefault="007A4A6C" w:rsidP="004012A4">
            <w:pPr>
              <w:spacing w:before="60" w:after="60"/>
              <w:rPr>
                <w:rFonts w:cs="Arial"/>
                <w:b/>
                <w:bCs/>
              </w:rPr>
            </w:pPr>
            <w:r w:rsidRPr="00C2627B">
              <w:rPr>
                <w:rFonts w:cs="Arial"/>
                <w:b/>
                <w:bCs/>
              </w:rPr>
              <w:t>Dependencies</w:t>
            </w:r>
            <w:r>
              <w:rPr>
                <w:rFonts w:cs="Arial"/>
                <w:b/>
                <w:bCs/>
              </w:rPr>
              <w:t>:</w:t>
            </w:r>
          </w:p>
          <w:p w:rsidR="007A4A6C" w:rsidRPr="00154EF2" w:rsidRDefault="007A4A6C" w:rsidP="007A4A6C">
            <w:pPr>
              <w:pStyle w:val="ListParagraph"/>
              <w:numPr>
                <w:ilvl w:val="0"/>
                <w:numId w:val="1"/>
              </w:numPr>
              <w:spacing w:after="0"/>
              <w:ind w:left="284" w:hanging="284"/>
              <w:contextualSpacing w:val="0"/>
              <w:rPr>
                <w:rFonts w:asciiTheme="minorHAnsi" w:eastAsiaTheme="minorHAnsi" w:hAnsiTheme="minorHAnsi" w:cs="Arial"/>
                <w:bCs/>
                <w:color w:val="0D0D0D" w:themeColor="text1" w:themeTint="F2"/>
                <w:sz w:val="22"/>
                <w:szCs w:val="22"/>
              </w:rPr>
            </w:pPr>
            <w:r w:rsidRPr="00154EF2">
              <w:rPr>
                <w:rFonts w:asciiTheme="minorHAnsi" w:eastAsiaTheme="minorHAnsi" w:hAnsiTheme="minorHAnsi" w:cs="Arial"/>
                <w:bCs/>
                <w:color w:val="0D0D0D" w:themeColor="text1" w:themeTint="F2"/>
                <w:sz w:val="22"/>
                <w:szCs w:val="22"/>
              </w:rPr>
              <w:t>No material dependencies have been identified at this time.</w:t>
            </w:r>
          </w:p>
          <w:p w:rsidR="007A4A6C" w:rsidRPr="00C2627B" w:rsidRDefault="007A4A6C" w:rsidP="004012A4">
            <w:pPr>
              <w:spacing w:before="60" w:after="60"/>
              <w:rPr>
                <w:rFonts w:cs="Arial"/>
                <w:color w:val="0000FF"/>
              </w:rPr>
            </w:pPr>
          </w:p>
        </w:tc>
      </w:tr>
      <w:tr w:rsidR="007A4A6C" w:rsidRPr="006E323D" w:rsidTr="004012A4">
        <w:trPr>
          <w:cantSplit/>
        </w:trPr>
        <w:tc>
          <w:tcPr>
            <w:tcW w:w="9889" w:type="dxa"/>
            <w:tcMar>
              <w:top w:w="28" w:type="dxa"/>
              <w:bottom w:w="28" w:type="dxa"/>
            </w:tcMar>
          </w:tcPr>
          <w:p w:rsidR="007A4A6C" w:rsidRPr="00154EF2" w:rsidRDefault="007A4A6C" w:rsidP="004012A4">
            <w:pPr>
              <w:spacing w:before="60" w:after="60"/>
              <w:rPr>
                <w:rFonts w:cs="Arial"/>
                <w:b/>
                <w:bCs/>
                <w:color w:val="0D0D0D" w:themeColor="text1" w:themeTint="F2"/>
              </w:rPr>
            </w:pPr>
            <w:r w:rsidRPr="00154EF2">
              <w:rPr>
                <w:rFonts w:cs="Arial"/>
                <w:b/>
                <w:bCs/>
                <w:color w:val="0D0D0D" w:themeColor="text1" w:themeTint="F2"/>
              </w:rPr>
              <w:lastRenderedPageBreak/>
              <w:t>Constraints:</w:t>
            </w:r>
          </w:p>
          <w:p w:rsidR="007A4A6C" w:rsidRPr="00154EF2" w:rsidRDefault="007A4A6C" w:rsidP="007A4A6C">
            <w:pPr>
              <w:pStyle w:val="ListParagraph"/>
              <w:numPr>
                <w:ilvl w:val="0"/>
                <w:numId w:val="1"/>
              </w:numPr>
              <w:spacing w:after="0"/>
              <w:ind w:left="284" w:hanging="284"/>
              <w:contextualSpacing w:val="0"/>
              <w:rPr>
                <w:rFonts w:asciiTheme="minorHAnsi" w:eastAsiaTheme="minorHAnsi" w:hAnsiTheme="minorHAnsi" w:cs="Arial"/>
                <w:bCs/>
                <w:color w:val="0D0D0D" w:themeColor="text1" w:themeTint="F2"/>
                <w:sz w:val="22"/>
                <w:szCs w:val="22"/>
              </w:rPr>
            </w:pPr>
            <w:r w:rsidRPr="00154EF2">
              <w:rPr>
                <w:rFonts w:asciiTheme="minorHAnsi" w:eastAsiaTheme="minorHAnsi" w:hAnsiTheme="minorHAnsi" w:cs="Arial"/>
                <w:bCs/>
                <w:color w:val="0D0D0D" w:themeColor="text1" w:themeTint="F2"/>
                <w:sz w:val="22"/>
                <w:szCs w:val="22"/>
              </w:rPr>
              <w:t>It has not been possible within the timescales of ROM analysis to determine if there is a frequency of ratchets which would result in higher system operation costs and/or the need for performance improvement measures.</w:t>
            </w:r>
          </w:p>
          <w:p w:rsidR="007A4A6C" w:rsidRPr="00154EF2" w:rsidRDefault="007A4A6C" w:rsidP="004012A4">
            <w:pPr>
              <w:spacing w:before="60" w:after="60"/>
              <w:rPr>
                <w:rFonts w:cs="Arial"/>
                <w:bCs/>
                <w:color w:val="0D0D0D" w:themeColor="text1" w:themeTint="F2"/>
              </w:rPr>
            </w:pPr>
          </w:p>
        </w:tc>
      </w:tr>
      <w:tr w:rsidR="007A4A6C" w:rsidRPr="006E323D" w:rsidTr="004012A4">
        <w:trPr>
          <w:cantSplit/>
        </w:trPr>
        <w:tc>
          <w:tcPr>
            <w:tcW w:w="9889" w:type="dxa"/>
            <w:tcMar>
              <w:top w:w="28" w:type="dxa"/>
              <w:bottom w:w="28" w:type="dxa"/>
            </w:tcMar>
          </w:tcPr>
          <w:p w:rsidR="007A4A6C" w:rsidRPr="00154EF2" w:rsidRDefault="007A4A6C" w:rsidP="004012A4">
            <w:pPr>
              <w:spacing w:after="0"/>
              <w:rPr>
                <w:rFonts w:cs="Arial"/>
                <w:b/>
                <w:bCs/>
                <w:color w:val="0D0D0D" w:themeColor="text1" w:themeTint="F2"/>
              </w:rPr>
            </w:pPr>
            <w:r w:rsidRPr="00154EF2">
              <w:rPr>
                <w:rFonts w:cs="Arial"/>
                <w:b/>
                <w:bCs/>
                <w:color w:val="0D0D0D" w:themeColor="text1" w:themeTint="F2"/>
              </w:rPr>
              <w:t>Observations:</w:t>
            </w:r>
          </w:p>
          <w:p w:rsidR="007A4A6C" w:rsidRPr="00154EF2" w:rsidRDefault="007A4A6C" w:rsidP="007A4A6C">
            <w:pPr>
              <w:pStyle w:val="ListParagraph"/>
              <w:numPr>
                <w:ilvl w:val="0"/>
                <w:numId w:val="1"/>
              </w:numPr>
              <w:spacing w:after="0"/>
              <w:ind w:left="284" w:hanging="284"/>
              <w:contextualSpacing w:val="0"/>
              <w:rPr>
                <w:rFonts w:asciiTheme="minorHAnsi" w:eastAsiaTheme="minorHAnsi" w:hAnsiTheme="minorHAnsi" w:cs="Arial"/>
                <w:bCs/>
                <w:color w:val="0D0D0D" w:themeColor="text1" w:themeTint="F2"/>
                <w:sz w:val="22"/>
                <w:szCs w:val="22"/>
              </w:rPr>
            </w:pPr>
            <w:r w:rsidRPr="00154EF2">
              <w:rPr>
                <w:rFonts w:asciiTheme="minorHAnsi" w:eastAsiaTheme="minorHAnsi" w:hAnsiTheme="minorHAnsi" w:cs="Arial"/>
                <w:bCs/>
                <w:color w:val="0D0D0D" w:themeColor="text1" w:themeTint="F2"/>
                <w:sz w:val="22"/>
                <w:szCs w:val="22"/>
              </w:rPr>
              <w:t>None</w:t>
            </w:r>
          </w:p>
          <w:p w:rsidR="007A4A6C" w:rsidRPr="00154EF2" w:rsidRDefault="007A4A6C" w:rsidP="004012A4">
            <w:pPr>
              <w:pStyle w:val="ListParagraph"/>
              <w:spacing w:after="0"/>
              <w:ind w:left="284"/>
              <w:contextualSpacing w:val="0"/>
              <w:rPr>
                <w:rFonts w:asciiTheme="minorHAnsi" w:eastAsiaTheme="minorHAnsi" w:hAnsiTheme="minorHAnsi" w:cs="Arial"/>
                <w:bCs/>
                <w:color w:val="0D0D0D" w:themeColor="text1" w:themeTint="F2"/>
                <w:sz w:val="22"/>
                <w:szCs w:val="22"/>
              </w:rPr>
            </w:pPr>
          </w:p>
        </w:tc>
      </w:tr>
    </w:tbl>
    <w:p w:rsidR="007A4A6C" w:rsidRDefault="007A4A6C" w:rsidP="007A4A6C">
      <w:pPr>
        <w:spacing w:after="0"/>
        <w:rPr>
          <w:rFonts w:cs="Arial"/>
        </w:rPr>
      </w:pPr>
    </w:p>
    <w:p w:rsidR="007A4A6C" w:rsidRDefault="007A4A6C" w:rsidP="007A4A6C">
      <w:pPr>
        <w:spacing w:after="0"/>
        <w:rPr>
          <w:rFonts w:cs="Arial"/>
        </w:rPr>
      </w:pPr>
    </w:p>
    <w:p w:rsidR="007A4A6C" w:rsidRDefault="007A4A6C" w:rsidP="007A4A6C">
      <w:pPr>
        <w:spacing w:after="0"/>
        <w:rPr>
          <w:rFonts w:cs="Arial"/>
        </w:rPr>
      </w:pPr>
    </w:p>
    <w:p w:rsidR="007A4A6C" w:rsidRDefault="007A4A6C" w:rsidP="007A4A6C">
      <w:pPr>
        <w:spacing w:after="0"/>
        <w:rPr>
          <w:rFonts w:cs="Arial"/>
        </w:rPr>
      </w:pPr>
    </w:p>
    <w:p w:rsidR="007A4A6C" w:rsidRDefault="007A4A6C" w:rsidP="007A4A6C">
      <w:pPr>
        <w:spacing w:after="0"/>
        <w:rPr>
          <w:rFonts w:cs="Arial"/>
        </w:rPr>
      </w:pPr>
    </w:p>
    <w:p w:rsidR="007A4A6C" w:rsidRDefault="007A4A6C" w:rsidP="007A4A6C">
      <w:pPr>
        <w:spacing w:after="0"/>
        <w:rPr>
          <w:rFonts w:cs="Arial"/>
        </w:rPr>
      </w:pPr>
    </w:p>
    <w:p w:rsidR="007A4A6C" w:rsidRDefault="007A4A6C" w:rsidP="007A4A6C">
      <w:pPr>
        <w:spacing w:after="0"/>
        <w:rPr>
          <w:rFonts w:cs="Arial"/>
        </w:rPr>
      </w:pPr>
    </w:p>
    <w:p w:rsidR="007A4A6C" w:rsidRDefault="007A4A6C" w:rsidP="007A4A6C">
      <w:pPr>
        <w:spacing w:after="0"/>
        <w:rPr>
          <w:rFonts w:cs="Arial"/>
        </w:rPr>
      </w:pPr>
      <w:r>
        <w:rPr>
          <w:rFonts w:cs="Arial"/>
        </w:rPr>
        <w:t>Please send the document to the following:</w:t>
      </w:r>
    </w:p>
    <w:p w:rsidR="007A4A6C" w:rsidRDefault="007A4A6C" w:rsidP="007A4A6C">
      <w:pPr>
        <w:spacing w:after="0"/>
        <w:rPr>
          <w:rFonts w:cs="Arial"/>
        </w:rPr>
      </w:pPr>
    </w:p>
    <w:tbl>
      <w:tblPr>
        <w:tblStyle w:val="TableGrid"/>
        <w:tblW w:w="9889" w:type="dxa"/>
        <w:tblLook w:val="04A0" w:firstRow="1" w:lastRow="0" w:firstColumn="1" w:lastColumn="0" w:noHBand="0" w:noVBand="1"/>
      </w:tblPr>
      <w:tblGrid>
        <w:gridCol w:w="4927"/>
        <w:gridCol w:w="4962"/>
      </w:tblGrid>
      <w:tr w:rsidR="007A4A6C" w:rsidTr="004012A4">
        <w:tc>
          <w:tcPr>
            <w:tcW w:w="4927" w:type="dxa"/>
            <w:shd w:val="clear" w:color="auto" w:fill="CCFF99"/>
          </w:tcPr>
          <w:p w:rsidR="007A4A6C" w:rsidRPr="003D1847" w:rsidRDefault="007A4A6C" w:rsidP="004012A4">
            <w:pPr>
              <w:rPr>
                <w:rFonts w:cs="Arial"/>
                <w:b/>
                <w:i/>
              </w:rPr>
            </w:pPr>
            <w:r w:rsidRPr="003D1847">
              <w:rPr>
                <w:rFonts w:cs="Arial"/>
                <w:b/>
                <w:i/>
              </w:rPr>
              <w:t>Recipient</w:t>
            </w:r>
          </w:p>
        </w:tc>
        <w:tc>
          <w:tcPr>
            <w:tcW w:w="4962" w:type="dxa"/>
            <w:shd w:val="clear" w:color="auto" w:fill="CCFF99"/>
          </w:tcPr>
          <w:p w:rsidR="007A4A6C" w:rsidRPr="003D1847" w:rsidRDefault="007A4A6C" w:rsidP="004012A4">
            <w:pPr>
              <w:rPr>
                <w:rFonts w:cs="Arial"/>
                <w:b/>
                <w:i/>
              </w:rPr>
            </w:pPr>
            <w:r w:rsidRPr="003D1847">
              <w:rPr>
                <w:rFonts w:cs="Arial"/>
                <w:b/>
                <w:i/>
              </w:rPr>
              <w:t>Email</w:t>
            </w:r>
          </w:p>
        </w:tc>
      </w:tr>
      <w:tr w:rsidR="007A4A6C" w:rsidTr="004012A4">
        <w:tc>
          <w:tcPr>
            <w:tcW w:w="4927" w:type="dxa"/>
          </w:tcPr>
          <w:p w:rsidR="007A4A6C" w:rsidRDefault="007A4A6C" w:rsidP="004012A4">
            <w:pPr>
              <w:rPr>
                <w:rFonts w:cs="Arial"/>
              </w:rPr>
            </w:pPr>
            <w:r>
              <w:rPr>
                <w:rFonts w:cs="Arial"/>
              </w:rPr>
              <w:t>Xoserve Portfolio Office</w:t>
            </w:r>
          </w:p>
        </w:tc>
        <w:tc>
          <w:tcPr>
            <w:tcW w:w="4962" w:type="dxa"/>
          </w:tcPr>
          <w:p w:rsidR="007A4A6C" w:rsidRDefault="007A4A6C" w:rsidP="004012A4">
            <w:pPr>
              <w:rPr>
                <w:rFonts w:cs="Arial"/>
              </w:rPr>
            </w:pPr>
            <w:r>
              <w:rPr>
                <w:rFonts w:cs="Arial"/>
              </w:rPr>
              <w:t>changeorders@xoserve.com</w:t>
            </w:r>
          </w:p>
        </w:tc>
      </w:tr>
      <w:tr w:rsidR="007A4A6C" w:rsidTr="004012A4">
        <w:tc>
          <w:tcPr>
            <w:tcW w:w="4927" w:type="dxa"/>
          </w:tcPr>
          <w:p w:rsidR="007A4A6C" w:rsidRDefault="007A4A6C" w:rsidP="004012A4">
            <w:pPr>
              <w:rPr>
                <w:rFonts w:cs="Arial"/>
              </w:rPr>
            </w:pPr>
            <w:r>
              <w:rPr>
                <w:rFonts w:cs="Arial"/>
              </w:rPr>
              <w:t>Requesting Party</w:t>
            </w:r>
          </w:p>
        </w:tc>
        <w:tc>
          <w:tcPr>
            <w:tcW w:w="4962" w:type="dxa"/>
          </w:tcPr>
          <w:p w:rsidR="007A4A6C" w:rsidRDefault="007A4A6C" w:rsidP="004012A4">
            <w:pPr>
              <w:rPr>
                <w:rFonts w:cs="Arial"/>
              </w:rPr>
            </w:pPr>
            <w:r>
              <w:rPr>
                <w:rFonts w:cs="Arial"/>
              </w:rPr>
              <w:t>As specified in ROM Request</w:t>
            </w:r>
          </w:p>
        </w:tc>
      </w:tr>
    </w:tbl>
    <w:p w:rsidR="007A4A6C" w:rsidRDefault="007A4A6C" w:rsidP="007A4A6C">
      <w:pPr>
        <w:spacing w:after="0"/>
        <w:rPr>
          <w:rFonts w:cs="Arial"/>
        </w:rPr>
      </w:pPr>
    </w:p>
    <w:p w:rsidR="007A4A6C" w:rsidRPr="00C2627B" w:rsidRDefault="007A4A6C" w:rsidP="007A4A6C">
      <w:pPr>
        <w:spacing w:after="0"/>
        <w:rPr>
          <w:rFonts w:cs="Arial"/>
        </w:rPr>
      </w:pPr>
      <w:r w:rsidRPr="00C2627B">
        <w:rPr>
          <w:rFonts w:cs="Arial"/>
        </w:rPr>
        <w:br w:type="page"/>
      </w:r>
    </w:p>
    <w:p w:rsidR="00677490" w:rsidRDefault="00E77FCB"/>
    <w:sectPr w:rsidR="00677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A2CBB"/>
    <w:multiLevelType w:val="hybridMultilevel"/>
    <w:tmpl w:val="57362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380420F6"/>
    <w:multiLevelType w:val="hybridMultilevel"/>
    <w:tmpl w:val="7D7CA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25C772D"/>
    <w:multiLevelType w:val="hybridMultilevel"/>
    <w:tmpl w:val="93C6A9D6"/>
    <w:lvl w:ilvl="0" w:tplc="0809000F">
      <w:start w:val="1"/>
      <w:numFmt w:val="decimal"/>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54157ACA"/>
    <w:multiLevelType w:val="hybridMultilevel"/>
    <w:tmpl w:val="DCEE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903FE6"/>
    <w:multiLevelType w:val="hybridMultilevel"/>
    <w:tmpl w:val="308CC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AA7351C"/>
    <w:multiLevelType w:val="hybridMultilevel"/>
    <w:tmpl w:val="5A5A8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6C"/>
    <w:rsid w:val="001347F8"/>
    <w:rsid w:val="00154EF2"/>
    <w:rsid w:val="00235F4E"/>
    <w:rsid w:val="002E3F04"/>
    <w:rsid w:val="00347A92"/>
    <w:rsid w:val="00347F97"/>
    <w:rsid w:val="003B6DB8"/>
    <w:rsid w:val="004414C0"/>
    <w:rsid w:val="005327A4"/>
    <w:rsid w:val="005E3ABB"/>
    <w:rsid w:val="006678F7"/>
    <w:rsid w:val="00696550"/>
    <w:rsid w:val="007A4A6C"/>
    <w:rsid w:val="00930F08"/>
    <w:rsid w:val="00957475"/>
    <w:rsid w:val="009A529D"/>
    <w:rsid w:val="00B02EB3"/>
    <w:rsid w:val="00BE7B06"/>
    <w:rsid w:val="00DB0798"/>
    <w:rsid w:val="00E7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4A6C"/>
    <w:pPr>
      <w:keepNext/>
      <w:framePr w:hSpace="180" w:wrap="around" w:vAnchor="page" w:hAnchor="margin" w:y="5221"/>
      <w:spacing w:before="60" w:after="60" w:line="240" w:lineRule="auto"/>
      <w:outlineLvl w:val="0"/>
    </w:pPr>
    <w:rPr>
      <w:rFonts w:ascii="Arial" w:eastAsia="Times New Roman" w:hAnsi="Arial" w:cs="Arial"/>
      <w:b/>
      <w:bCs/>
      <w:sz w:val="20"/>
      <w:szCs w:val="24"/>
    </w:rPr>
  </w:style>
  <w:style w:type="paragraph" w:styleId="Heading7">
    <w:name w:val="heading 7"/>
    <w:basedOn w:val="Normal"/>
    <w:next w:val="Normal"/>
    <w:link w:val="Heading7Char"/>
    <w:qFormat/>
    <w:rsid w:val="007A4A6C"/>
    <w:pPr>
      <w:keepNext/>
      <w:spacing w:before="120" w:after="120" w:line="240" w:lineRule="auto"/>
      <w:outlineLvl w:val="6"/>
    </w:pPr>
    <w:rPr>
      <w:rFonts w:ascii="Tahoma" w:eastAsia="Times New Roman" w:hAnsi="Tahoma" w:cs="Tahoma"/>
      <w:b/>
      <w:bCs/>
      <w:color w:val="0000FF"/>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6C"/>
    <w:rPr>
      <w:rFonts w:ascii="Arial" w:eastAsia="Times New Roman" w:hAnsi="Arial" w:cs="Arial"/>
      <w:b/>
      <w:bCs/>
      <w:sz w:val="20"/>
      <w:szCs w:val="24"/>
    </w:rPr>
  </w:style>
  <w:style w:type="character" w:customStyle="1" w:styleId="Heading7Char">
    <w:name w:val="Heading 7 Char"/>
    <w:basedOn w:val="DefaultParagraphFont"/>
    <w:link w:val="Heading7"/>
    <w:rsid w:val="007A4A6C"/>
    <w:rPr>
      <w:rFonts w:ascii="Tahoma" w:eastAsia="Times New Roman" w:hAnsi="Tahoma" w:cs="Tahoma"/>
      <w:b/>
      <w:bCs/>
      <w:color w:val="0000FF"/>
      <w:sz w:val="20"/>
      <w:szCs w:val="24"/>
      <w:u w:val="single"/>
    </w:rPr>
  </w:style>
  <w:style w:type="paragraph" w:styleId="BodyText">
    <w:name w:val="Body Text"/>
    <w:basedOn w:val="Normal"/>
    <w:link w:val="BodyTextChar"/>
    <w:rsid w:val="007A4A6C"/>
    <w:pPr>
      <w:spacing w:before="120"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7A4A6C"/>
    <w:rPr>
      <w:rFonts w:ascii="Arial" w:eastAsia="Times New Roman" w:hAnsi="Arial" w:cs="Times New Roman"/>
      <w:sz w:val="20"/>
      <w:szCs w:val="24"/>
    </w:rPr>
  </w:style>
  <w:style w:type="paragraph" w:styleId="BodyText2">
    <w:name w:val="Body Text 2"/>
    <w:basedOn w:val="Normal"/>
    <w:link w:val="BodyText2Char"/>
    <w:rsid w:val="007A4A6C"/>
    <w:pPr>
      <w:spacing w:before="120" w:after="120" w:line="240" w:lineRule="auto"/>
    </w:pPr>
    <w:rPr>
      <w:rFonts w:ascii="Arial" w:eastAsia="Times New Roman" w:hAnsi="Arial" w:cs="Arial"/>
      <w:b/>
      <w:bCs/>
      <w:sz w:val="20"/>
      <w:szCs w:val="24"/>
    </w:rPr>
  </w:style>
  <w:style w:type="character" w:customStyle="1" w:styleId="BodyText2Char">
    <w:name w:val="Body Text 2 Char"/>
    <w:basedOn w:val="DefaultParagraphFont"/>
    <w:link w:val="BodyText2"/>
    <w:rsid w:val="007A4A6C"/>
    <w:rPr>
      <w:rFonts w:ascii="Arial" w:eastAsia="Times New Roman" w:hAnsi="Arial" w:cs="Arial"/>
      <w:b/>
      <w:bCs/>
      <w:sz w:val="20"/>
      <w:szCs w:val="24"/>
    </w:rPr>
  </w:style>
  <w:style w:type="paragraph" w:styleId="BodyText3">
    <w:name w:val="Body Text 3"/>
    <w:basedOn w:val="Normal"/>
    <w:link w:val="BodyText3Char"/>
    <w:rsid w:val="007A4A6C"/>
    <w:pPr>
      <w:spacing w:before="120" w:after="120" w:line="240" w:lineRule="auto"/>
    </w:pPr>
    <w:rPr>
      <w:rFonts w:ascii="Tahoma" w:eastAsia="Times New Roman" w:hAnsi="Tahoma" w:cs="Tahoma"/>
      <w:sz w:val="20"/>
      <w:szCs w:val="24"/>
      <w:u w:val="dotted"/>
    </w:rPr>
  </w:style>
  <w:style w:type="character" w:customStyle="1" w:styleId="BodyText3Char">
    <w:name w:val="Body Text 3 Char"/>
    <w:basedOn w:val="DefaultParagraphFont"/>
    <w:link w:val="BodyText3"/>
    <w:rsid w:val="007A4A6C"/>
    <w:rPr>
      <w:rFonts w:ascii="Tahoma" w:eastAsia="Times New Roman" w:hAnsi="Tahoma" w:cs="Tahoma"/>
      <w:sz w:val="20"/>
      <w:szCs w:val="24"/>
      <w:u w:val="dotted"/>
    </w:rPr>
  </w:style>
  <w:style w:type="table" w:styleId="TableGrid">
    <w:name w:val="Table Grid"/>
    <w:basedOn w:val="TableNormal"/>
    <w:rsid w:val="007A4A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A6C"/>
    <w:pPr>
      <w:spacing w:before="120" w:after="120" w:line="240" w:lineRule="auto"/>
      <w:ind w:left="720"/>
      <w:contextualSpacing/>
    </w:pPr>
    <w:rPr>
      <w:rFonts w:ascii="Arial" w:eastAsia="Times New Roman" w:hAnsi="Arial" w:cs="Times New Roman"/>
      <w:sz w:val="20"/>
      <w:szCs w:val="24"/>
    </w:rPr>
  </w:style>
  <w:style w:type="paragraph" w:customStyle="1" w:styleId="TableText">
    <w:name w:val="Table Text"/>
    <w:basedOn w:val="Normal"/>
    <w:rsid w:val="007A4A6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4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4A6C"/>
    <w:pPr>
      <w:keepNext/>
      <w:framePr w:hSpace="180" w:wrap="around" w:vAnchor="page" w:hAnchor="margin" w:y="5221"/>
      <w:spacing w:before="60" w:after="60" w:line="240" w:lineRule="auto"/>
      <w:outlineLvl w:val="0"/>
    </w:pPr>
    <w:rPr>
      <w:rFonts w:ascii="Arial" w:eastAsia="Times New Roman" w:hAnsi="Arial" w:cs="Arial"/>
      <w:b/>
      <w:bCs/>
      <w:sz w:val="20"/>
      <w:szCs w:val="24"/>
    </w:rPr>
  </w:style>
  <w:style w:type="paragraph" w:styleId="Heading7">
    <w:name w:val="heading 7"/>
    <w:basedOn w:val="Normal"/>
    <w:next w:val="Normal"/>
    <w:link w:val="Heading7Char"/>
    <w:qFormat/>
    <w:rsid w:val="007A4A6C"/>
    <w:pPr>
      <w:keepNext/>
      <w:spacing w:before="120" w:after="120" w:line="240" w:lineRule="auto"/>
      <w:outlineLvl w:val="6"/>
    </w:pPr>
    <w:rPr>
      <w:rFonts w:ascii="Tahoma" w:eastAsia="Times New Roman" w:hAnsi="Tahoma" w:cs="Tahoma"/>
      <w:b/>
      <w:bCs/>
      <w:color w:val="0000FF"/>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6C"/>
    <w:rPr>
      <w:rFonts w:ascii="Arial" w:eastAsia="Times New Roman" w:hAnsi="Arial" w:cs="Arial"/>
      <w:b/>
      <w:bCs/>
      <w:sz w:val="20"/>
      <w:szCs w:val="24"/>
    </w:rPr>
  </w:style>
  <w:style w:type="character" w:customStyle="1" w:styleId="Heading7Char">
    <w:name w:val="Heading 7 Char"/>
    <w:basedOn w:val="DefaultParagraphFont"/>
    <w:link w:val="Heading7"/>
    <w:rsid w:val="007A4A6C"/>
    <w:rPr>
      <w:rFonts w:ascii="Tahoma" w:eastAsia="Times New Roman" w:hAnsi="Tahoma" w:cs="Tahoma"/>
      <w:b/>
      <w:bCs/>
      <w:color w:val="0000FF"/>
      <w:sz w:val="20"/>
      <w:szCs w:val="24"/>
      <w:u w:val="single"/>
    </w:rPr>
  </w:style>
  <w:style w:type="paragraph" w:styleId="BodyText">
    <w:name w:val="Body Text"/>
    <w:basedOn w:val="Normal"/>
    <w:link w:val="BodyTextChar"/>
    <w:rsid w:val="007A4A6C"/>
    <w:pPr>
      <w:spacing w:before="120"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7A4A6C"/>
    <w:rPr>
      <w:rFonts w:ascii="Arial" w:eastAsia="Times New Roman" w:hAnsi="Arial" w:cs="Times New Roman"/>
      <w:sz w:val="20"/>
      <w:szCs w:val="24"/>
    </w:rPr>
  </w:style>
  <w:style w:type="paragraph" w:styleId="BodyText2">
    <w:name w:val="Body Text 2"/>
    <w:basedOn w:val="Normal"/>
    <w:link w:val="BodyText2Char"/>
    <w:rsid w:val="007A4A6C"/>
    <w:pPr>
      <w:spacing w:before="120" w:after="120" w:line="240" w:lineRule="auto"/>
    </w:pPr>
    <w:rPr>
      <w:rFonts w:ascii="Arial" w:eastAsia="Times New Roman" w:hAnsi="Arial" w:cs="Arial"/>
      <w:b/>
      <w:bCs/>
      <w:sz w:val="20"/>
      <w:szCs w:val="24"/>
    </w:rPr>
  </w:style>
  <w:style w:type="character" w:customStyle="1" w:styleId="BodyText2Char">
    <w:name w:val="Body Text 2 Char"/>
    <w:basedOn w:val="DefaultParagraphFont"/>
    <w:link w:val="BodyText2"/>
    <w:rsid w:val="007A4A6C"/>
    <w:rPr>
      <w:rFonts w:ascii="Arial" w:eastAsia="Times New Roman" w:hAnsi="Arial" w:cs="Arial"/>
      <w:b/>
      <w:bCs/>
      <w:sz w:val="20"/>
      <w:szCs w:val="24"/>
    </w:rPr>
  </w:style>
  <w:style w:type="paragraph" w:styleId="BodyText3">
    <w:name w:val="Body Text 3"/>
    <w:basedOn w:val="Normal"/>
    <w:link w:val="BodyText3Char"/>
    <w:rsid w:val="007A4A6C"/>
    <w:pPr>
      <w:spacing w:before="120" w:after="120" w:line="240" w:lineRule="auto"/>
    </w:pPr>
    <w:rPr>
      <w:rFonts w:ascii="Tahoma" w:eastAsia="Times New Roman" w:hAnsi="Tahoma" w:cs="Tahoma"/>
      <w:sz w:val="20"/>
      <w:szCs w:val="24"/>
      <w:u w:val="dotted"/>
    </w:rPr>
  </w:style>
  <w:style w:type="character" w:customStyle="1" w:styleId="BodyText3Char">
    <w:name w:val="Body Text 3 Char"/>
    <w:basedOn w:val="DefaultParagraphFont"/>
    <w:link w:val="BodyText3"/>
    <w:rsid w:val="007A4A6C"/>
    <w:rPr>
      <w:rFonts w:ascii="Tahoma" w:eastAsia="Times New Roman" w:hAnsi="Tahoma" w:cs="Tahoma"/>
      <w:sz w:val="20"/>
      <w:szCs w:val="24"/>
      <w:u w:val="dotted"/>
    </w:rPr>
  </w:style>
  <w:style w:type="table" w:styleId="TableGrid">
    <w:name w:val="Table Grid"/>
    <w:basedOn w:val="TableNormal"/>
    <w:rsid w:val="007A4A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A6C"/>
    <w:pPr>
      <w:spacing w:before="120" w:after="120" w:line="240" w:lineRule="auto"/>
      <w:ind w:left="720"/>
      <w:contextualSpacing/>
    </w:pPr>
    <w:rPr>
      <w:rFonts w:ascii="Arial" w:eastAsia="Times New Roman" w:hAnsi="Arial" w:cs="Times New Roman"/>
      <w:sz w:val="20"/>
      <w:szCs w:val="24"/>
    </w:rPr>
  </w:style>
  <w:style w:type="paragraph" w:customStyle="1" w:styleId="TableText">
    <w:name w:val="Table Text"/>
    <w:basedOn w:val="Normal"/>
    <w:rsid w:val="007A4A6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4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500">
      <w:bodyDiv w:val="1"/>
      <w:marLeft w:val="0"/>
      <w:marRight w:val="0"/>
      <w:marTop w:val="0"/>
      <w:marBottom w:val="0"/>
      <w:divBdr>
        <w:top w:val="none" w:sz="0" w:space="0" w:color="auto"/>
        <w:left w:val="none" w:sz="0" w:space="0" w:color="auto"/>
        <w:bottom w:val="none" w:sz="0" w:space="0" w:color="auto"/>
        <w:right w:val="none" w:sz="0" w:space="0" w:color="auto"/>
      </w:divBdr>
    </w:div>
    <w:div w:id="759175789">
      <w:bodyDiv w:val="1"/>
      <w:marLeft w:val="0"/>
      <w:marRight w:val="0"/>
      <w:marTop w:val="0"/>
      <w:marBottom w:val="0"/>
      <w:divBdr>
        <w:top w:val="none" w:sz="0" w:space="0" w:color="auto"/>
        <w:left w:val="none" w:sz="0" w:space="0" w:color="auto"/>
        <w:bottom w:val="none" w:sz="0" w:space="0" w:color="auto"/>
        <w:right w:val="none" w:sz="0" w:space="0" w:color="auto"/>
      </w:divBdr>
    </w:div>
    <w:div w:id="9578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34C4-5A62-423F-A1D3-29869B68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8860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National Grid</cp:lastModifiedBy>
  <cp:revision>2</cp:revision>
  <dcterms:created xsi:type="dcterms:W3CDTF">2018-01-30T13:43:00Z</dcterms:created>
  <dcterms:modified xsi:type="dcterms:W3CDTF">2018-01-30T13:43:00Z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622896114</vt:i4>
  </property>
  <property fmtid="{D5CDD505-2E9C-101B-9397-08002B2CF9AE}" pid="3" name="_NewReviewCycle">
    <vt:lpwstr/>
  </property>
  <property fmtid="{D5CDD505-2E9C-101B-9397-08002B2CF9AE}" pid="4" name="_EmailSubject">
    <vt:lpwstr>Publications for ChMC</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8" name="_PreviousAdHocReviewCycleID">
    <vt:i4>1461871320</vt:i4>
  </property>
</Properties>
</file>