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0005A8" w:rsidP="00AF7358">
      <w:pPr>
        <w:keepNext/>
        <w:keepLines/>
        <w:jc w:val="center"/>
        <w:rPr>
          <w:rFonts w:cs="Arial"/>
          <w:color w:val="0066FF"/>
        </w:rPr>
      </w:pPr>
      <w:r>
        <w:rPr>
          <w:rFonts w:cs="Arial"/>
          <w:b/>
          <w:bCs/>
          <w:color w:val="0066FF"/>
          <w:sz w:val="36"/>
        </w:rPr>
        <w:t>Changes to the P</w:t>
      </w:r>
      <w:r w:rsidR="00D1254E">
        <w:rPr>
          <w:rFonts w:cs="Arial"/>
          <w:b/>
          <w:bCs/>
          <w:color w:val="0066FF"/>
          <w:sz w:val="36"/>
        </w:rPr>
        <w:t xml:space="preserve">ortfolio </w:t>
      </w:r>
      <w:r>
        <w:rPr>
          <w:rFonts w:cs="Arial"/>
          <w:b/>
          <w:bCs/>
          <w:color w:val="0066FF"/>
          <w:sz w:val="36"/>
        </w:rPr>
        <w:t>S</w:t>
      </w:r>
      <w:r w:rsidR="00D1254E">
        <w:rPr>
          <w:rFonts w:cs="Arial"/>
          <w:b/>
          <w:bCs/>
          <w:color w:val="0066FF"/>
          <w:sz w:val="36"/>
        </w:rPr>
        <w:t xml:space="preserve">ummary </w:t>
      </w:r>
      <w:r>
        <w:rPr>
          <w:rFonts w:cs="Arial"/>
          <w:b/>
          <w:bCs/>
          <w:color w:val="0066FF"/>
          <w:sz w:val="36"/>
        </w:rPr>
        <w:t>Report (new fields and removal of fields no longer applicable)</w:t>
      </w:r>
    </w:p>
    <w:p w:rsidR="00AF7358" w:rsidRPr="008422A8" w:rsidRDefault="00AF7358"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C27717">
        <w:rPr>
          <w:rFonts w:cs="Arial"/>
          <w:b/>
          <w:bCs/>
          <w:color w:val="000000" w:themeColor="text1"/>
          <w:sz w:val="36"/>
        </w:rPr>
        <w:t>4542</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3F7BDB" w:rsidP="001A3D51">
            <w:r>
              <w:t>0.1</w:t>
            </w:r>
          </w:p>
        </w:tc>
        <w:tc>
          <w:tcPr>
            <w:tcW w:w="1307" w:type="dxa"/>
          </w:tcPr>
          <w:p w:rsidR="00A96501" w:rsidRDefault="003F7BDB" w:rsidP="001A3D51">
            <w:r>
              <w:t>24/11/2017</w:t>
            </w:r>
          </w:p>
        </w:tc>
        <w:tc>
          <w:tcPr>
            <w:tcW w:w="2140" w:type="dxa"/>
          </w:tcPr>
          <w:p w:rsidR="00A96501" w:rsidRDefault="003F7BDB" w:rsidP="001A3D51">
            <w:r>
              <w:t xml:space="preserve">Steve </w:t>
            </w:r>
            <w:proofErr w:type="spellStart"/>
            <w:r>
              <w:t>Mullinganie</w:t>
            </w:r>
            <w:proofErr w:type="spellEnd"/>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3F7BDB" w:rsidP="001A3D51">
                <w:r>
                  <w:t>Submitted to Change Committee</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71411E" w:rsidP="005864A3">
            <w:r>
              <w:t xml:space="preserve">Steve </w:t>
            </w:r>
            <w:proofErr w:type="spellStart"/>
            <w:r>
              <w:t>Mullinganie</w:t>
            </w:r>
            <w:proofErr w:type="spellEnd"/>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0005A8" w:rsidP="005864A3">
            <w:r>
              <w:t>07990 972568</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0005A8" w:rsidP="005864A3">
            <w:r>
              <w:t>Steve.mulinganie@gazprom-energy.com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0005A8" w:rsidP="005864A3">
            <w:r>
              <w:t>Emma Smith</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0005A8" w:rsidP="005864A3">
            <w:r>
              <w:t>0121 623 2368</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0005A8" w:rsidP="005864A3">
            <w:r>
              <w:t>Emma.smith@xoserve.com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0005A8" w:rsidP="005864A3">
            <w:r>
              <w:t>Jon Harris</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0005A8" w:rsidP="000005A8">
            <w:r>
              <w:t>0121 623 2566</w:t>
            </w:r>
          </w:p>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0005A8" w:rsidP="005864A3">
            <w:r>
              <w:t>John.r.harris@xoserve.com</w:t>
            </w:r>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7C6E8E" w:rsidP="005864A3">
            <w:sdt>
              <w:sdtPr>
                <w:id w:val="-2140862440"/>
                <w14:checkbox>
                  <w14:checked w14:val="1"/>
                  <w14:checkedState w14:val="2612" w14:font="MS Gothic"/>
                  <w14:uncheckedState w14:val="2610" w14:font="MS Gothic"/>
                </w14:checkbox>
              </w:sdtPr>
              <w:sdtEndPr/>
              <w:sdtContent>
                <w:r w:rsidR="000005A8">
                  <w:rPr>
                    <w:rFonts w:ascii="MS Gothic" w:eastAsia="MS Gothic" w:hAnsi="MS Gothic" w:hint="eastAsia"/>
                  </w:rPr>
                  <w:t>☒</w:t>
                </w:r>
              </w:sdtContent>
            </w:sdt>
            <w:r w:rsidR="0081302A">
              <w:t xml:space="preserve"> Shipper</w:t>
            </w:r>
          </w:p>
          <w:p w:rsidR="005864A3" w:rsidRDefault="007C6E8E"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7C6E8E"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7C6E8E"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5864A3" w:rsidRDefault="000005A8">
            <w:pPr>
              <w:rPr>
                <w:rFonts w:cs="Arial"/>
                <w:bCs/>
                <w:color w:val="0000FF"/>
              </w:rPr>
            </w:pPr>
            <w:r>
              <w:rPr>
                <w:rFonts w:cs="Arial"/>
                <w:bCs/>
                <w:color w:val="0000FF"/>
              </w:rPr>
              <w:t>Fields to report on:</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Total</w:t>
            </w:r>
            <w:proofErr w:type="gramEnd"/>
            <w:r>
              <w:rPr>
                <w:rFonts w:ascii="Calibri" w:hAnsi="Calibri" w:cs="Calibri"/>
                <w:b/>
                <w:bCs/>
                <w:color w:val="1F497D"/>
                <w:sz w:val="22"/>
                <w:szCs w:val="22"/>
              </w:rPr>
              <w:t xml:space="preserve"> No. of Supply Points (SP) / Mkt Share % (SP &amp; Vol.)</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SP</w:t>
            </w:r>
            <w:proofErr w:type="gramEnd"/>
            <w:r>
              <w:rPr>
                <w:rFonts w:ascii="Calibri" w:hAnsi="Calibri" w:cs="Calibri"/>
                <w:b/>
                <w:bCs/>
                <w:color w:val="1F497D"/>
                <w:sz w:val="22"/>
                <w:szCs w:val="22"/>
              </w:rPr>
              <w:t xml:space="preserve"> in Class 1 / Mkt Share % (SP &amp; Vol.)</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SP</w:t>
            </w:r>
            <w:proofErr w:type="gramEnd"/>
            <w:r>
              <w:rPr>
                <w:rFonts w:ascii="Calibri" w:hAnsi="Calibri" w:cs="Calibri"/>
                <w:b/>
                <w:bCs/>
                <w:color w:val="1F497D"/>
                <w:sz w:val="22"/>
                <w:szCs w:val="22"/>
              </w:rPr>
              <w:t xml:space="preserve"> in Class 2 / Mkt Share % (SP &amp; Vol.)</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SP</w:t>
            </w:r>
            <w:proofErr w:type="gramEnd"/>
            <w:r>
              <w:rPr>
                <w:rFonts w:ascii="Calibri" w:hAnsi="Calibri" w:cs="Calibri"/>
                <w:b/>
                <w:bCs/>
                <w:color w:val="1F497D"/>
                <w:sz w:val="22"/>
                <w:szCs w:val="22"/>
              </w:rPr>
              <w:t xml:space="preserve"> in Class 3 / Mkt Share % (SP &amp; Vol.)</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SP</w:t>
            </w:r>
            <w:proofErr w:type="gramEnd"/>
            <w:r>
              <w:rPr>
                <w:rFonts w:ascii="Calibri" w:hAnsi="Calibri" w:cs="Calibri"/>
                <w:b/>
                <w:bCs/>
                <w:color w:val="1F497D"/>
                <w:sz w:val="22"/>
                <w:szCs w:val="22"/>
              </w:rPr>
              <w:t xml:space="preserve"> in Class 4 / Mkt Share % (SP &amp; Vol.)</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DM</w:t>
            </w:r>
            <w:proofErr w:type="gramEnd"/>
            <w:r>
              <w:rPr>
                <w:rFonts w:ascii="Calibri" w:hAnsi="Calibri" w:cs="Calibri"/>
                <w:b/>
                <w:bCs/>
                <w:color w:val="1F497D"/>
                <w:sz w:val="22"/>
                <w:szCs w:val="22"/>
              </w:rPr>
              <w:t xml:space="preserve"> SP / Mkt Share % (SP &amp; Vol.)</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LSP</w:t>
            </w:r>
            <w:proofErr w:type="gramEnd"/>
            <w:r>
              <w:rPr>
                <w:rFonts w:ascii="Calibri" w:hAnsi="Calibri" w:cs="Calibri"/>
                <w:b/>
                <w:bCs/>
                <w:color w:val="1F497D"/>
                <w:sz w:val="22"/>
                <w:szCs w:val="22"/>
              </w:rPr>
              <w:t xml:space="preserve"> SP / Mkt Share % (SP &amp; Vol.)</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SSP</w:t>
            </w:r>
            <w:proofErr w:type="gramEnd"/>
            <w:r>
              <w:rPr>
                <w:rFonts w:ascii="Calibri" w:hAnsi="Calibri" w:cs="Calibri"/>
                <w:b/>
                <w:bCs/>
                <w:color w:val="1F497D"/>
                <w:sz w:val="22"/>
                <w:szCs w:val="22"/>
              </w:rPr>
              <w:t xml:space="preserve"> SP / Mkt Share % (SP &amp; Vol.)</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No. of SP Rolling AQ recalculations (previous months)</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No</w:t>
            </w:r>
            <w:proofErr w:type="gramEnd"/>
            <w:r>
              <w:rPr>
                <w:rFonts w:ascii="Calibri" w:hAnsi="Calibri" w:cs="Calibri"/>
                <w:b/>
                <w:bCs/>
                <w:color w:val="1F497D"/>
                <w:sz w:val="22"/>
                <w:szCs w:val="22"/>
              </w:rPr>
              <w:t>. SP subject to Ratchet (previous month and a total for the ratchet period)</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No</w:t>
            </w:r>
            <w:proofErr w:type="gramEnd"/>
            <w:r>
              <w:rPr>
                <w:rFonts w:ascii="Calibri" w:hAnsi="Calibri" w:cs="Calibri"/>
                <w:b/>
                <w:bCs/>
                <w:color w:val="1F497D"/>
                <w:sz w:val="22"/>
                <w:szCs w:val="22"/>
              </w:rPr>
              <w:t>. SP Seasonally Large</w:t>
            </w:r>
          </w:p>
          <w:p w:rsidR="000005A8" w:rsidRDefault="000005A8" w:rsidP="000005A8">
            <w:pPr>
              <w:ind w:left="360" w:hanging="360"/>
              <w:rPr>
                <w:rFonts w:ascii="Calibri" w:hAnsi="Calibri" w:cs="Calibri"/>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No</w:t>
            </w:r>
            <w:proofErr w:type="gramEnd"/>
            <w:r>
              <w:rPr>
                <w:rFonts w:ascii="Calibri" w:hAnsi="Calibri" w:cs="Calibri"/>
                <w:b/>
                <w:bCs/>
                <w:color w:val="1F497D"/>
                <w:sz w:val="22"/>
                <w:szCs w:val="22"/>
              </w:rPr>
              <w:t>. SP with AMR</w:t>
            </w:r>
          </w:p>
          <w:p w:rsidR="00700F01" w:rsidRPr="00700F01" w:rsidRDefault="000005A8" w:rsidP="00700F01">
            <w:pPr>
              <w:ind w:left="360" w:hanging="360"/>
              <w:rPr>
                <w:rFonts w:ascii="Calibri" w:hAnsi="Calibri" w:cs="Calibri"/>
                <w:b/>
                <w:bCs/>
                <w:color w:val="1F497D"/>
                <w:sz w:val="22"/>
                <w:szCs w:val="22"/>
              </w:rPr>
            </w:pPr>
            <w:r>
              <w:rPr>
                <w:rFonts w:ascii="Wingdings" w:hAnsi="Wingdings"/>
                <w:color w:val="1F497D"/>
                <w:sz w:val="22"/>
                <w:szCs w:val="22"/>
              </w:rPr>
              <w:t></w:t>
            </w:r>
            <w:proofErr w:type="gramStart"/>
            <w:r>
              <w:rPr>
                <w:color w:val="1F497D"/>
                <w:sz w:val="14"/>
                <w:szCs w:val="14"/>
              </w:rPr>
              <w:t xml:space="preserve">  </w:t>
            </w:r>
            <w:r>
              <w:rPr>
                <w:rFonts w:ascii="Calibri" w:hAnsi="Calibri" w:cs="Calibri"/>
                <w:b/>
                <w:bCs/>
                <w:color w:val="1F497D"/>
                <w:sz w:val="22"/>
                <w:szCs w:val="22"/>
              </w:rPr>
              <w:t>No</w:t>
            </w:r>
            <w:proofErr w:type="gramEnd"/>
            <w:r>
              <w:rPr>
                <w:rFonts w:ascii="Calibri" w:hAnsi="Calibri" w:cs="Calibri"/>
                <w:b/>
                <w:bCs/>
                <w:color w:val="1F497D"/>
                <w:sz w:val="22"/>
                <w:szCs w:val="22"/>
              </w:rPr>
              <w:t>. SP with Smart</w:t>
            </w:r>
          </w:p>
          <w:p w:rsidR="000005A8" w:rsidRDefault="000005A8" w:rsidP="000005A8">
            <w:pPr>
              <w:ind w:left="360" w:hanging="360"/>
              <w:rPr>
                <w:rFonts w:ascii="Calibri" w:hAnsi="Calibri" w:cs="Calibri"/>
                <w:b/>
                <w:bCs/>
                <w:color w:val="1F497D"/>
                <w:sz w:val="22"/>
                <w:szCs w:val="22"/>
              </w:rPr>
            </w:pPr>
            <w:r>
              <w:rPr>
                <w:rFonts w:ascii="Wingdings" w:hAnsi="Wingdings"/>
                <w:color w:val="1F497D"/>
                <w:sz w:val="22"/>
                <w:szCs w:val="22"/>
              </w:rPr>
              <w:t></w:t>
            </w:r>
            <w:r>
              <w:rPr>
                <w:color w:val="1F497D"/>
                <w:sz w:val="14"/>
                <w:szCs w:val="14"/>
              </w:rPr>
              <w:t xml:space="preserve">  </w:t>
            </w:r>
            <w:r>
              <w:rPr>
                <w:rFonts w:ascii="Calibri" w:hAnsi="Calibri" w:cs="Calibri"/>
                <w:b/>
                <w:bCs/>
                <w:color w:val="1F497D"/>
                <w:sz w:val="22"/>
                <w:szCs w:val="22"/>
              </w:rPr>
              <w:t>No of SP Isolated not withdrawn</w:t>
            </w:r>
          </w:p>
          <w:p w:rsidR="00700F01" w:rsidRPr="00700F01" w:rsidRDefault="00700F01" w:rsidP="00700F01">
            <w:pPr>
              <w:pStyle w:val="ListParagraph"/>
              <w:numPr>
                <w:ilvl w:val="0"/>
                <w:numId w:val="50"/>
              </w:numPr>
              <w:ind w:left="360"/>
              <w:rPr>
                <w:rFonts w:ascii="Calibri" w:hAnsi="Calibri" w:cs="Calibri"/>
                <w:b/>
                <w:bCs/>
                <w:color w:val="1F497D"/>
                <w:sz w:val="22"/>
                <w:szCs w:val="22"/>
              </w:rPr>
            </w:pPr>
            <w:r>
              <w:rPr>
                <w:rFonts w:ascii="Calibri" w:hAnsi="Calibri" w:cs="Calibri"/>
                <w:b/>
                <w:bCs/>
                <w:color w:val="1F497D"/>
                <w:sz w:val="22"/>
                <w:szCs w:val="22"/>
              </w:rPr>
              <w:t>No of SP with interruption contract</w:t>
            </w:r>
          </w:p>
          <w:p w:rsidR="00700F01" w:rsidRDefault="00700F01" w:rsidP="00700F01">
            <w:pPr>
              <w:pStyle w:val="ListParagraph"/>
              <w:numPr>
                <w:ilvl w:val="0"/>
                <w:numId w:val="50"/>
              </w:numPr>
              <w:ind w:left="360"/>
              <w:rPr>
                <w:rFonts w:ascii="Calibri" w:hAnsi="Calibri" w:cs="Calibri"/>
                <w:b/>
                <w:color w:val="1F497D"/>
                <w:sz w:val="22"/>
                <w:szCs w:val="22"/>
              </w:rPr>
            </w:pPr>
            <w:r w:rsidRPr="00700F01">
              <w:rPr>
                <w:rFonts w:ascii="Calibri" w:hAnsi="Calibri" w:cs="Calibri"/>
                <w:b/>
                <w:color w:val="1F497D"/>
                <w:sz w:val="22"/>
                <w:szCs w:val="22"/>
              </w:rPr>
              <w:t>No</w:t>
            </w:r>
            <w:r>
              <w:rPr>
                <w:rFonts w:ascii="Calibri" w:hAnsi="Calibri" w:cs="Calibri"/>
                <w:b/>
                <w:color w:val="1F497D"/>
                <w:sz w:val="22"/>
                <w:szCs w:val="22"/>
              </w:rPr>
              <w:t xml:space="preserve"> of SP unregistered</w:t>
            </w:r>
          </w:p>
          <w:p w:rsidR="00700F01" w:rsidRPr="00700F01" w:rsidRDefault="00700F01" w:rsidP="00700F01">
            <w:pPr>
              <w:pStyle w:val="ListParagraph"/>
              <w:numPr>
                <w:ilvl w:val="0"/>
                <w:numId w:val="50"/>
              </w:numPr>
              <w:ind w:left="360"/>
              <w:rPr>
                <w:rFonts w:ascii="Calibri" w:hAnsi="Calibri" w:cs="Calibri"/>
                <w:b/>
                <w:color w:val="1F497D"/>
                <w:sz w:val="22"/>
                <w:szCs w:val="22"/>
              </w:rPr>
            </w:pPr>
            <w:r>
              <w:rPr>
                <w:rFonts w:ascii="Calibri" w:hAnsi="Calibri" w:cs="Calibri"/>
                <w:b/>
                <w:color w:val="1F497D"/>
                <w:sz w:val="22"/>
                <w:szCs w:val="22"/>
              </w:rPr>
              <w:t xml:space="preserve">No of SP </w:t>
            </w:r>
            <w:proofErr w:type="spellStart"/>
            <w:r>
              <w:rPr>
                <w:rFonts w:ascii="Calibri" w:hAnsi="Calibri" w:cs="Calibri"/>
                <w:b/>
                <w:color w:val="1F497D"/>
                <w:sz w:val="22"/>
                <w:szCs w:val="22"/>
              </w:rPr>
              <w:t>Shipperless</w:t>
            </w:r>
            <w:proofErr w:type="spellEnd"/>
          </w:p>
          <w:p w:rsidR="000005A8" w:rsidRDefault="000005A8" w:rsidP="000005A8">
            <w:pPr>
              <w:ind w:left="360" w:hanging="360"/>
              <w:rPr>
                <w:rFonts w:ascii="Calibri" w:hAnsi="Calibri" w:cs="Calibri"/>
                <w:color w:val="1F497D"/>
                <w:sz w:val="22"/>
                <w:szCs w:val="22"/>
              </w:rPr>
            </w:pPr>
          </w:p>
          <w:p w:rsidR="000005A8" w:rsidRDefault="000005A8">
            <w:pPr>
              <w:rPr>
                <w:rFonts w:cs="Arial"/>
                <w:bCs/>
                <w:color w:val="0000FF"/>
              </w:rPr>
            </w:pPr>
            <w:r>
              <w:rPr>
                <w:rFonts w:cs="Arial"/>
                <w:bCs/>
                <w:color w:val="0000FF"/>
              </w:rPr>
              <w:t>Remove all other fields in current PSR report</w:t>
            </w:r>
          </w:p>
          <w:p w:rsidR="000005A8" w:rsidRDefault="000005A8">
            <w:pPr>
              <w:rPr>
                <w:rFonts w:ascii="MS Gothic" w:eastAsia="MS Gothic" w:hAnsi="MS Gothic"/>
              </w:rPr>
            </w:pPr>
          </w:p>
        </w:tc>
      </w:tr>
      <w:tr w:rsidR="005864A3" w:rsidTr="005864A3">
        <w:tc>
          <w:tcPr>
            <w:tcW w:w="3227" w:type="dxa"/>
            <w:gridSpan w:val="2"/>
            <w:shd w:val="clear" w:color="auto" w:fill="B8CCE4" w:themeFill="accent1" w:themeFillTint="66"/>
          </w:tcPr>
          <w:p w:rsidR="005864A3" w:rsidRDefault="00FC6595" w:rsidP="005864A3">
            <w:pPr>
              <w:rPr>
                <w:b/>
              </w:rPr>
            </w:pPr>
            <w:r>
              <w:rPr>
                <w:b/>
              </w:rPr>
              <w:t>Reason(s) for proposed service change</w:t>
            </w:r>
          </w:p>
          <w:p w:rsidR="000B0E56" w:rsidRPr="00C2627B" w:rsidRDefault="000B0E56" w:rsidP="005864A3"/>
        </w:tc>
        <w:tc>
          <w:tcPr>
            <w:tcW w:w="6520" w:type="dxa"/>
            <w:gridSpan w:val="3"/>
          </w:tcPr>
          <w:p w:rsidR="005864A3" w:rsidRDefault="00DE3DA4" w:rsidP="00D232CA">
            <w:pPr>
              <w:rPr>
                <w:rFonts w:ascii="MS Gothic" w:eastAsia="MS Gothic" w:hAnsi="MS Gothic"/>
              </w:rPr>
            </w:pPr>
            <w:r>
              <w:rPr>
                <w:rFonts w:cs="Arial"/>
                <w:color w:val="0000FF"/>
              </w:rPr>
              <w:t>Current PSR report was introduced some time back and many of fields supplie</w:t>
            </w:r>
            <w:r w:rsidR="00D232CA">
              <w:rPr>
                <w:rFonts w:cs="Arial"/>
                <w:color w:val="0000FF"/>
              </w:rPr>
              <w:t xml:space="preserve">d are no longer relevant due to industry change i.e. removal of interruptible supply </w:t>
            </w:r>
            <w:proofErr w:type="gramStart"/>
            <w:r w:rsidR="00D232CA">
              <w:rPr>
                <w:rFonts w:cs="Arial"/>
                <w:color w:val="0000FF"/>
              </w:rPr>
              <w:t>points  (</w:t>
            </w:r>
            <w:proofErr w:type="gramEnd"/>
            <w:r w:rsidR="00D232CA">
              <w:rPr>
                <w:rFonts w:cs="Arial"/>
                <w:color w:val="0000FF"/>
              </w:rPr>
              <w:t>so blank). As Nexus is now implemented the PSR report needs to provide information relevant to Supply Point Class.  Also provide information around AMR equipment and Smart Meters recorded on the register</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DE3DA4" w:rsidP="005864A3">
            <w:pPr>
              <w:rPr>
                <w:rFonts w:cs="Arial"/>
              </w:rPr>
            </w:pPr>
            <w:r>
              <w:rPr>
                <w:rFonts w:cs="Arial"/>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DE3DA4" w:rsidP="005864A3">
            <w:pPr>
              <w:rPr>
                <w:rFonts w:cs="Arial"/>
              </w:rPr>
            </w:pPr>
            <w:r>
              <w:rPr>
                <w:rFonts w:cs="Arial"/>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Default="00DE3DA4" w:rsidP="00C2627B">
            <w:pPr>
              <w:spacing w:before="60" w:after="60"/>
              <w:rPr>
                <w:rFonts w:ascii="MS Gothic" w:eastAsia="MS Gothic" w:hAnsi="MS Gothic"/>
              </w:rPr>
            </w:pPr>
            <w:r>
              <w:rPr>
                <w:rFonts w:cs="Arial"/>
                <w:bCs/>
                <w:color w:val="0000FF"/>
              </w:rPr>
              <w:t xml:space="preserve">Provides relevant </w:t>
            </w:r>
            <w:r w:rsidR="00D232CA">
              <w:rPr>
                <w:rFonts w:cs="Arial"/>
                <w:bCs/>
                <w:color w:val="0000FF"/>
              </w:rPr>
              <w:t xml:space="preserve">and useful </w:t>
            </w:r>
            <w:r>
              <w:rPr>
                <w:rFonts w:cs="Arial"/>
                <w:bCs/>
                <w:color w:val="0000FF"/>
              </w:rPr>
              <w:t>information to the industry.</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Default="00C433CA" w:rsidP="005864A3">
            <w:pPr>
              <w:rPr>
                <w:rFonts w:ascii="MS Gothic" w:eastAsia="MS Gothic" w:hAnsi="MS Gothic"/>
              </w:rPr>
            </w:pPr>
            <w:r>
              <w:rPr>
                <w:rFonts w:ascii="MS Gothic" w:eastAsia="MS Gothic" w:hAnsi="MS Gothic"/>
              </w:rPr>
              <w:t>November 2018</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7C6E8E"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rsidR="00B718F1" w:rsidRDefault="007C6E8E" w:rsidP="004363D0">
            <w:sdt>
              <w:sdtPr>
                <w:id w:val="-918560144"/>
                <w14:checkbox>
                  <w14:checked w14:val="1"/>
                  <w14:checkedState w14:val="2612" w14:font="MS Gothic"/>
                  <w14:uncheckedState w14:val="2610" w14:font="MS Gothic"/>
                </w14:checkbox>
              </w:sdtPr>
              <w:sdtEndPr/>
              <w:sdtContent>
                <w:r w:rsidR="00D232CA">
                  <w:rPr>
                    <w:rFonts w:ascii="MS Gothic" w:eastAsia="MS Gothic" w:hAnsi="MS Gothic" w:hint="eastAsia"/>
                  </w:rPr>
                  <w:t>☒</w:t>
                </w:r>
              </w:sdtContent>
            </w:sdt>
            <w:r w:rsidR="00B718F1">
              <w:t>Medium</w:t>
            </w:r>
          </w:p>
          <w:p w:rsidR="00B718F1" w:rsidRDefault="007C6E8E"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B718F1" w:rsidRDefault="00B718F1" w:rsidP="005864A3">
            <w:pPr>
              <w:rPr>
                <w:rFonts w:ascii="MS Gothic" w:eastAsia="MS Gothic" w:hAnsi="MS Gothic"/>
              </w:rPr>
            </w:pPr>
            <w:r w:rsidRPr="0092424D">
              <w:t>Rationale for assessment:</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3F7BDB" w:rsidRDefault="00C22C88" w:rsidP="004363D0">
            <w:pPr>
              <w:rPr>
                <w:b/>
              </w:rPr>
            </w:pPr>
            <w:r w:rsidRPr="003F7BDB">
              <w:rPr>
                <w:b/>
              </w:rPr>
              <w:t>Service Level of Quote/Estimate Robustness Requested</w:t>
            </w:r>
          </w:p>
          <w:p w:rsidR="00C22C88" w:rsidRPr="00DD18FC" w:rsidRDefault="00C22C88" w:rsidP="004363D0">
            <w:pPr>
              <w:rPr>
                <w:b/>
                <w:highlight w:val="yellow"/>
              </w:rPr>
            </w:pPr>
          </w:p>
          <w:p w:rsidR="00C22C88" w:rsidRPr="00DD18FC" w:rsidRDefault="00C22C88" w:rsidP="004363D0">
            <w:pPr>
              <w:rPr>
                <w:b/>
                <w:highlight w:val="yellow"/>
              </w:rPr>
            </w:pPr>
          </w:p>
        </w:tc>
        <w:tc>
          <w:tcPr>
            <w:tcW w:w="6520" w:type="dxa"/>
          </w:tcPr>
          <w:p w:rsidR="00C22C88" w:rsidRPr="003F7BDB" w:rsidRDefault="00C22C88" w:rsidP="004363D0">
            <w:pPr>
              <w:rPr>
                <w:b/>
              </w:rPr>
            </w:pPr>
            <w:r w:rsidRPr="003F7BDB">
              <w:rPr>
                <w:b/>
              </w:rPr>
              <w:t>Evaluation Services</w:t>
            </w:r>
          </w:p>
          <w:p w:rsidR="00E6438A" w:rsidRPr="003F7BDB" w:rsidRDefault="007C6E8E" w:rsidP="004363D0">
            <w:sdt>
              <w:sdtPr>
                <w:id w:val="-686213400"/>
                <w14:checkbox>
                  <w14:checked w14:val="0"/>
                  <w14:checkedState w14:val="2612" w14:font="MS Gothic"/>
                  <w14:uncheckedState w14:val="2610" w14:font="MS Gothic"/>
                </w14:checkbox>
              </w:sdtPr>
              <w:sdtEndPr/>
              <w:sdtContent>
                <w:r w:rsidR="00C22C88" w:rsidRPr="003F7BDB">
                  <w:rPr>
                    <w:rFonts w:ascii="MS Gothic" w:eastAsia="MS Gothic" w:hAnsi="MS Gothic" w:hint="eastAsia"/>
                  </w:rPr>
                  <w:t>☐</w:t>
                </w:r>
              </w:sdtContent>
            </w:sdt>
            <w:r w:rsidR="00E6438A" w:rsidRPr="003F7BDB">
              <w:t>Initial Assessment</w:t>
            </w:r>
            <w:r w:rsidR="00CB0C1B" w:rsidRPr="003F7BDB">
              <w:t xml:space="preserve"> </w:t>
            </w:r>
            <w:r w:rsidR="00CB0C1B" w:rsidRPr="003F7BDB">
              <w:rPr>
                <w:i/>
              </w:rPr>
              <w:t>(Mod related changes only)</w:t>
            </w:r>
          </w:p>
          <w:p w:rsidR="00C22C88" w:rsidRPr="003F7BDB" w:rsidRDefault="007C6E8E" w:rsidP="004363D0">
            <w:sdt>
              <w:sdtPr>
                <w:id w:val="1331867645"/>
                <w14:checkbox>
                  <w14:checked w14:val="0"/>
                  <w14:checkedState w14:val="2612" w14:font="MS Gothic"/>
                  <w14:uncheckedState w14:val="2610" w14:font="MS Gothic"/>
                </w14:checkbox>
              </w:sdtPr>
              <w:sdtEndPr/>
              <w:sdtContent>
                <w:r w:rsidR="00E6438A" w:rsidRPr="003F7BDB">
                  <w:rPr>
                    <w:rFonts w:ascii="MS Gothic" w:eastAsia="MS Gothic" w:hAnsi="MS Gothic" w:hint="eastAsia"/>
                  </w:rPr>
                  <w:t>☐</w:t>
                </w:r>
              </w:sdtContent>
            </w:sdt>
            <w:r w:rsidR="00E6438A" w:rsidRPr="003F7BDB">
              <w:t>ROM estimate for Analysis and Delivery</w:t>
            </w:r>
          </w:p>
          <w:p w:rsidR="00C22C88" w:rsidRPr="003F7BDB" w:rsidRDefault="00C22C88" w:rsidP="004363D0">
            <w:pPr>
              <w:rPr>
                <w:b/>
              </w:rPr>
            </w:pPr>
            <w:r w:rsidRPr="003F7BDB">
              <w:rPr>
                <w:b/>
              </w:rPr>
              <w:t>CDSP Change Services</w:t>
            </w:r>
          </w:p>
          <w:p w:rsidR="00C22C88" w:rsidRPr="003F7BDB" w:rsidRDefault="007C6E8E" w:rsidP="004363D0">
            <w:sdt>
              <w:sdtPr>
                <w:id w:val="851376898"/>
                <w14:checkbox>
                  <w14:checked w14:val="0"/>
                  <w14:checkedState w14:val="2612" w14:font="MS Gothic"/>
                  <w14:uncheckedState w14:val="2610" w14:font="MS Gothic"/>
                </w14:checkbox>
              </w:sdtPr>
              <w:sdtEndPr/>
              <w:sdtContent>
                <w:r w:rsidR="00C22C88" w:rsidRPr="003F7BDB">
                  <w:rPr>
                    <w:rFonts w:ascii="MS Gothic" w:eastAsia="MS Gothic" w:hAnsi="MS Gothic" w:hint="eastAsia"/>
                  </w:rPr>
                  <w:t>☐</w:t>
                </w:r>
              </w:sdtContent>
            </w:sdt>
            <w:r w:rsidR="00C22C88" w:rsidRPr="003F7BDB">
              <w:t>Firm Quote for Analysis</w:t>
            </w:r>
          </w:p>
          <w:p w:rsidR="00C22C88" w:rsidRPr="00DD18FC" w:rsidRDefault="007C6E8E" w:rsidP="004363D0">
            <w:pPr>
              <w:rPr>
                <w:color w:val="0070C0"/>
                <w:highlight w:val="yellow"/>
              </w:rPr>
            </w:pPr>
            <w:sdt>
              <w:sdtPr>
                <w:id w:val="-58095995"/>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C22C88" w:rsidRPr="003F7BDB">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Pr="003F7BDB" w:rsidRDefault="007C6E8E" w:rsidP="004363D0">
            <w:sdt>
              <w:sdtPr>
                <w:id w:val="1696040279"/>
                <w14:checkbox>
                  <w14:checked w14:val="1"/>
                  <w14:checkedState w14:val="2612" w14:font="MS Gothic"/>
                  <w14:uncheckedState w14:val="2610" w14:font="MS Gothic"/>
                </w14:checkbox>
              </w:sdtPr>
              <w:sdtEndPr/>
              <w:sdtContent>
                <w:r w:rsidR="00DD18FC" w:rsidRPr="003F7BDB">
                  <w:rPr>
                    <w:rFonts w:ascii="MS Gothic" w:eastAsia="MS Gothic" w:hAnsi="MS Gothic" w:hint="eastAsia"/>
                  </w:rPr>
                  <w:t>☒</w:t>
                </w:r>
              </w:sdtContent>
            </w:sdt>
            <w:r w:rsidR="00B718F1" w:rsidRPr="003F7BDB">
              <w:t>Yes</w:t>
            </w:r>
          </w:p>
          <w:p w:rsidR="00B718F1" w:rsidRPr="003F7BDB" w:rsidRDefault="007C6E8E" w:rsidP="004363D0">
            <w:pPr>
              <w:rPr>
                <w:b/>
              </w:rPr>
            </w:pPr>
            <w:sdt>
              <w:sdtPr>
                <w:id w:val="-1390867403"/>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B718F1" w:rsidRPr="003F7BDB">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Pr="003F7BDB" w:rsidRDefault="007C6E8E" w:rsidP="000B0E56">
            <w:sdt>
              <w:sdtPr>
                <w:id w:val="1160112140"/>
                <w14:checkbox>
                  <w14:checked w14:val="0"/>
                  <w14:checkedState w14:val="2612" w14:font="MS Gothic"/>
                  <w14:uncheckedState w14:val="2610" w14:font="MS Gothic"/>
                </w14:checkbox>
              </w:sdtPr>
              <w:sdtEndPr/>
              <w:sdtContent>
                <w:r w:rsidR="000B0E56" w:rsidRPr="003F7BDB">
                  <w:rPr>
                    <w:rFonts w:ascii="MS Gothic" w:eastAsia="MS Gothic" w:hAnsi="MS Gothic" w:hint="eastAsia"/>
                  </w:rPr>
                  <w:t>☐</w:t>
                </w:r>
              </w:sdtContent>
            </w:sdt>
            <w:r w:rsidR="000B0E56" w:rsidRPr="003F7BDB">
              <w:t xml:space="preserve">Yes </w:t>
            </w:r>
            <w:r w:rsidR="00B718F1" w:rsidRPr="003F7BDB">
              <w:t>(Mod Related)</w:t>
            </w:r>
          </w:p>
          <w:p w:rsidR="00B718F1" w:rsidRPr="003F7BDB" w:rsidRDefault="007C6E8E" w:rsidP="00B718F1">
            <w:sdt>
              <w:sdtPr>
                <w:id w:val="-40365571"/>
                <w14:checkbox>
                  <w14:checked w14:val="0"/>
                  <w14:checkedState w14:val="2612" w14:font="MS Gothic"/>
                  <w14:uncheckedState w14:val="2610" w14:font="MS Gothic"/>
                </w14:checkbox>
              </w:sdtPr>
              <w:sdtEndPr/>
              <w:sdtContent>
                <w:r w:rsidR="00B718F1" w:rsidRPr="003F7BDB">
                  <w:rPr>
                    <w:rFonts w:ascii="MS Gothic" w:eastAsia="MS Gothic" w:hAnsi="MS Gothic" w:hint="eastAsia"/>
                  </w:rPr>
                  <w:t>☐</w:t>
                </w:r>
              </w:sdtContent>
            </w:sdt>
            <w:r w:rsidR="00B718F1" w:rsidRPr="003F7BDB">
              <w:t>Yes (Legislati</w:t>
            </w:r>
            <w:r w:rsidR="009E710C" w:rsidRPr="003F7BDB">
              <w:t>on</w:t>
            </w:r>
            <w:r w:rsidR="00B718F1" w:rsidRPr="003F7BDB">
              <w:t xml:space="preserve"> Change Related)</w:t>
            </w:r>
          </w:p>
          <w:p w:rsidR="000B0E56" w:rsidRPr="003F7BDB" w:rsidRDefault="007C6E8E"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0B0E56" w:rsidRPr="003F7BDB">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Pr="003F7BDB" w:rsidRDefault="007C6E8E" w:rsidP="00B174A5">
            <w:pPr>
              <w:rPr>
                <w:rFonts w:cs="Arial"/>
              </w:rPr>
            </w:pPr>
            <w:sdt>
              <w:sdtPr>
                <w:id w:val="-1112436449"/>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0B0E56" w:rsidRPr="003F7BDB">
              <w:rPr>
                <w:rFonts w:cs="Arial"/>
              </w:rPr>
              <w:t>Yes (</w:t>
            </w:r>
            <w:r w:rsidR="000B0E56" w:rsidRPr="003F7BDB">
              <w:t>please mark the customer class(</w:t>
            </w:r>
            <w:proofErr w:type="spellStart"/>
            <w:r w:rsidR="000B0E56" w:rsidRPr="003F7BDB">
              <w:t>es</w:t>
            </w:r>
            <w:proofErr w:type="spellEnd"/>
            <w:r w:rsidR="000B0E56" w:rsidRPr="003F7BDB">
              <w:t>) to whom this is restricted)</w:t>
            </w:r>
          </w:p>
          <w:p w:rsidR="000B0E56" w:rsidRPr="003F7BDB" w:rsidRDefault="007C6E8E" w:rsidP="00B174A5">
            <w:sdt>
              <w:sdtPr>
                <w:id w:val="-1422410739"/>
                <w14:checkbox>
                  <w14:checked w14:val="0"/>
                  <w14:checkedState w14:val="2612" w14:font="MS Gothic"/>
                  <w14:uncheckedState w14:val="2610" w14:font="MS Gothic"/>
                </w14:checkbox>
              </w:sdtPr>
              <w:sdtEndPr/>
              <w:sdtContent>
                <w:r w:rsidR="000B0E56" w:rsidRPr="003F7BDB">
                  <w:rPr>
                    <w:rFonts w:ascii="MS Gothic" w:eastAsia="MS Gothic" w:hAnsi="MS Gothic" w:hint="eastAsia"/>
                  </w:rPr>
                  <w:t>☐</w:t>
                </w:r>
              </w:sdtContent>
            </w:sdt>
            <w:r w:rsidR="000B0E56" w:rsidRPr="003F7BDB">
              <w:t>No</w:t>
            </w:r>
          </w:p>
          <w:p w:rsidR="000B0E56" w:rsidRPr="003F7BDB" w:rsidRDefault="000B0E56" w:rsidP="00B174A5">
            <w:r w:rsidRPr="003F7BDB">
              <w:t>--------------------------------------------------------</w:t>
            </w:r>
            <w:r w:rsidR="009E710C" w:rsidRPr="003F7BDB">
              <w:t>---------------------</w:t>
            </w:r>
          </w:p>
          <w:p w:rsidR="000B0E56" w:rsidRPr="003F7BDB" w:rsidRDefault="007C6E8E" w:rsidP="00B174A5">
            <w:pPr>
              <w:rPr>
                <w:rFonts w:cs="Arial"/>
              </w:rPr>
            </w:pPr>
            <w:sdt>
              <w:sdtPr>
                <w:id w:val="-1657831250"/>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0B0E56" w:rsidRPr="003F7BDB">
              <w:rPr>
                <w:rFonts w:cs="Arial"/>
              </w:rPr>
              <w:t>Shippers</w:t>
            </w:r>
          </w:p>
          <w:p w:rsidR="000B0E56" w:rsidRPr="003F7BDB" w:rsidRDefault="007C6E8E" w:rsidP="00B174A5">
            <w:pPr>
              <w:rPr>
                <w:rFonts w:cs="Arial"/>
              </w:rPr>
            </w:pPr>
            <w:sdt>
              <w:sdtPr>
                <w:id w:val="-87461523"/>
                <w14:checkbox>
                  <w14:checked w14:val="0"/>
                  <w14:checkedState w14:val="2612" w14:font="MS Gothic"/>
                  <w14:uncheckedState w14:val="2610" w14:font="MS Gothic"/>
                </w14:checkbox>
              </w:sdtPr>
              <w:sdtEndPr/>
              <w:sdtContent>
                <w:r w:rsidR="000B0E56" w:rsidRPr="003F7BDB">
                  <w:rPr>
                    <w:rFonts w:ascii="MS Gothic" w:eastAsia="MS Gothic" w:hAnsi="MS Gothic"/>
                  </w:rPr>
                  <w:t>☐</w:t>
                </w:r>
              </w:sdtContent>
            </w:sdt>
            <w:r w:rsidR="000B0E56" w:rsidRPr="003F7BDB">
              <w:t>National Grid Transmission</w:t>
            </w:r>
          </w:p>
          <w:p w:rsidR="000B0E56" w:rsidRPr="003F7BDB" w:rsidRDefault="007C6E8E"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3F7BDB">
                  <w:rPr>
                    <w:rFonts w:ascii="MS Gothic" w:eastAsia="MS Gothic" w:hAnsi="MS Gothic"/>
                  </w:rPr>
                  <w:t>☐</w:t>
                </w:r>
              </w:sdtContent>
            </w:sdt>
            <w:r w:rsidR="00D01653" w:rsidRPr="003F7BDB">
              <w:rPr>
                <w:rFonts w:cs="Arial"/>
                <w:bCs/>
                <w:szCs w:val="20"/>
              </w:rPr>
              <w:t>Distribution Network Operators</w:t>
            </w:r>
          </w:p>
          <w:p w:rsidR="00D01653" w:rsidRPr="003F7BDB" w:rsidRDefault="007C6E8E" w:rsidP="000B0E56">
            <w:sdt>
              <w:sdtPr>
                <w:id w:val="719947979"/>
                <w14:checkbox>
                  <w14:checked w14:val="0"/>
                  <w14:checkedState w14:val="2612" w14:font="MS Gothic"/>
                  <w14:uncheckedState w14:val="2610" w14:font="MS Gothic"/>
                </w14:checkbox>
              </w:sdtPr>
              <w:sdtEndPr/>
              <w:sdtContent>
                <w:r w:rsidR="00D01653" w:rsidRPr="003F7BDB">
                  <w:rPr>
                    <w:rFonts w:ascii="MS Gothic" w:eastAsia="MS Gothic" w:hAnsi="MS Gothic"/>
                  </w:rPr>
                  <w:t>☐</w:t>
                </w:r>
              </w:sdtContent>
            </w:sdt>
            <w:proofErr w:type="spellStart"/>
            <w:r w:rsidR="00D01653" w:rsidRPr="003F7BDB">
              <w:rPr>
                <w:rFonts w:cs="Arial"/>
                <w:bCs/>
                <w:szCs w:val="20"/>
              </w:rPr>
              <w:t>iGT’s</w:t>
            </w:r>
            <w:proofErr w:type="spellEnd"/>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Pr="003F7BDB" w:rsidRDefault="007C6E8E" w:rsidP="00B174A5">
            <w:pPr>
              <w:rPr>
                <w:rFonts w:cs="Arial"/>
              </w:rPr>
            </w:pPr>
            <w:sdt>
              <w:sdtPr>
                <w:id w:val="1809434693"/>
                <w14:checkbox>
                  <w14:checked w14:val="1"/>
                  <w14:checkedState w14:val="2612" w14:font="MS Gothic"/>
                  <w14:uncheckedState w14:val="2610" w14:font="MS Gothic"/>
                </w14:checkbox>
              </w:sdtPr>
              <w:sdtEndPr/>
              <w:sdtContent>
                <w:r w:rsidR="00DD18FC" w:rsidRPr="003F7BDB">
                  <w:rPr>
                    <w:rFonts w:ascii="MS Gothic" w:eastAsia="MS Gothic" w:hAnsi="MS Gothic" w:hint="eastAsia"/>
                  </w:rPr>
                  <w:t>☒</w:t>
                </w:r>
              </w:sdtContent>
            </w:sdt>
            <w:r w:rsidR="000B0E56" w:rsidRPr="003F7BDB">
              <w:rPr>
                <w:rFonts w:cs="Arial"/>
              </w:rPr>
              <w:t>Yes (please give details)</w:t>
            </w:r>
          </w:p>
          <w:p w:rsidR="000B0E56" w:rsidRPr="003F7BDB" w:rsidRDefault="007C6E8E" w:rsidP="00B174A5">
            <w:pPr>
              <w:rPr>
                <w:rFonts w:cs="Arial"/>
              </w:rPr>
            </w:pPr>
            <w:sdt>
              <w:sdtPr>
                <w:id w:val="1923596732"/>
                <w14:checkbox>
                  <w14:checked w14:val="1"/>
                  <w14:checkedState w14:val="2612" w14:font="MS Gothic"/>
                  <w14:uncheckedState w14:val="2610" w14:font="MS Gothic"/>
                </w14:checkbox>
              </w:sdtPr>
              <w:sdtEndPr/>
              <w:sdtContent>
                <w:r w:rsidR="00C433CA" w:rsidRPr="003F7BDB">
                  <w:rPr>
                    <w:rFonts w:ascii="MS Gothic" w:eastAsia="MS Gothic" w:hAnsi="MS Gothic" w:hint="eastAsia"/>
                  </w:rPr>
                  <w:t>☒</w:t>
                </w:r>
              </w:sdtContent>
            </w:sdt>
            <w:r w:rsidR="000B0E56" w:rsidRPr="003F7BDB">
              <w:t>No</w:t>
            </w:r>
          </w:p>
          <w:p w:rsidR="000B0E56" w:rsidRPr="003F7BDB"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8E51D1" w:rsidTr="00C2627B">
        <w:tc>
          <w:tcPr>
            <w:tcW w:w="9747" w:type="dxa"/>
            <w:gridSpan w:val="2"/>
            <w:shd w:val="clear" w:color="auto" w:fill="B8CCE4" w:themeFill="accent1" w:themeFillTint="66"/>
          </w:tcPr>
          <w:p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8E51D1" w:rsidP="00B174A5">
            <w:pPr>
              <w:rPr>
                <w:rFonts w:ascii="MS Gothic" w:eastAsia="MS Gothic" w:hAnsi="MS Gothic"/>
              </w:rPr>
            </w:pP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C2627B">
        <w:tc>
          <w:tcPr>
            <w:tcW w:w="9747" w:type="dxa"/>
            <w:gridSpan w:val="2"/>
            <w:shd w:val="clear" w:color="auto" w:fill="FFFFFF" w:themeFill="background1"/>
          </w:tcPr>
          <w:p w:rsidR="00C15A8F" w:rsidRPr="00DE0824" w:rsidRDefault="00C15A8F" w:rsidP="00B174A5">
            <w:pPr>
              <w:rPr>
                <w:rFonts w:cs="Arial"/>
                <w:szCs w:val="20"/>
              </w:rPr>
            </w:pP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rsidTr="00C2627B">
        <w:tc>
          <w:tcPr>
            <w:tcW w:w="9747" w:type="dxa"/>
            <w:gridSpan w:val="2"/>
            <w:shd w:val="clear" w:color="auto" w:fill="auto"/>
          </w:tcPr>
          <w:p w:rsidR="00C15A8F" w:rsidRPr="00201A44" w:rsidRDefault="00C433CA" w:rsidP="00C15A8F">
            <w:pPr>
              <w:spacing w:before="60" w:after="60"/>
              <w:rPr>
                <w:rFonts w:cs="Arial"/>
                <w:color w:val="0000FF"/>
              </w:rPr>
            </w:pPr>
            <w:r>
              <w:rPr>
                <w:rFonts w:cs="Arial"/>
                <w:color w:val="0000FF"/>
              </w:rPr>
              <w:t>None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C433CA" w:rsidP="00B174A5">
            <w:pPr>
              <w:rPr>
                <w:rFonts w:cs="Arial"/>
                <w:color w:val="0000FF"/>
              </w:rPr>
            </w:pPr>
            <w:r>
              <w:rPr>
                <w:rFonts w:cs="Arial"/>
                <w:color w:val="0000FF"/>
              </w:rPr>
              <w:t>none</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C433CA" w:rsidP="004363D0">
            <w:pPr>
              <w:spacing w:before="0" w:after="0"/>
              <w:rPr>
                <w:b/>
              </w:rPr>
            </w:pPr>
            <w:r>
              <w:rPr>
                <w:b/>
              </w:rPr>
              <w:t>None</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C15A8F" w:rsidP="00C2627B">
            <w:pPr>
              <w:rPr>
                <w:rFonts w:cs="Arial"/>
                <w:color w:val="0000FF"/>
              </w:rPr>
            </w:pPr>
          </w:p>
        </w:tc>
      </w:tr>
      <w:bookmarkEnd w:id="0"/>
      <w:bookmarkEnd w:id="1"/>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proofErr w:type="spellStart"/>
            <w:r>
              <w:rPr>
                <w:rFonts w:cs="Arial"/>
              </w:rPr>
              <w:t>Xoserve</w:t>
            </w:r>
            <w:proofErr w:type="spellEnd"/>
            <w:r>
              <w:rPr>
                <w:rFonts w:cs="Arial"/>
              </w:rPr>
              <w:t xml:space="pre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7C6E8E"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7C6E8E"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2" w:name="_Toc478979672"/>
      <w:bookmarkStart w:id="3" w:name="_Toc479163249"/>
      <w:r w:rsidRPr="00C2627B">
        <w:rPr>
          <w:i/>
          <w:sz w:val="40"/>
          <w:szCs w:val="40"/>
        </w:rPr>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2"/>
      <w:bookmarkEnd w:id="3"/>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 xml:space="preserve">This ROM Analysis has been prepared in good faith by </w:t>
      </w:r>
      <w:proofErr w:type="spellStart"/>
      <w:r w:rsidRPr="00C2627B">
        <w:rPr>
          <w:rFonts w:cs="Arial"/>
          <w:iCs/>
          <w:szCs w:val="20"/>
        </w:rPr>
        <w:t>Xoserve</w:t>
      </w:r>
      <w:proofErr w:type="spellEnd"/>
      <w:r w:rsidRPr="00C2627B">
        <w:rPr>
          <w:rFonts w:cs="Arial"/>
          <w:iCs/>
          <w:szCs w:val="20"/>
        </w:rPr>
        <w:t xml:space="preserve"> Limited but by its very nature is only able to contain indicative information and estimates (including without limitation those of time, resource and cost) based on the circumstances known to </w:t>
      </w:r>
      <w:proofErr w:type="spellStart"/>
      <w:r w:rsidRPr="00C2627B">
        <w:rPr>
          <w:rFonts w:cs="Arial"/>
          <w:iCs/>
          <w:szCs w:val="20"/>
        </w:rPr>
        <w:t>Xoserve</w:t>
      </w:r>
      <w:proofErr w:type="spellEnd"/>
      <w:r w:rsidRPr="00C2627B">
        <w:rPr>
          <w:rFonts w:cs="Arial"/>
          <w:iCs/>
          <w:szCs w:val="20"/>
        </w:rPr>
        <w:t xml:space="preserve"> at the time of its preparation.  </w:t>
      </w:r>
      <w:proofErr w:type="spellStart"/>
      <w:r w:rsidRPr="00C2627B">
        <w:rPr>
          <w:rFonts w:cs="Arial"/>
          <w:iCs/>
          <w:szCs w:val="20"/>
        </w:rPr>
        <w:t>Xoserve</w:t>
      </w:r>
      <w:proofErr w:type="spellEnd"/>
      <w:r w:rsidRPr="00C2627B">
        <w:rPr>
          <w:rFonts w:cs="Arial"/>
          <w:iCs/>
          <w:szCs w:val="20"/>
        </w:rPr>
        <w:t xml:space="pre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w:t>
      </w:r>
      <w:proofErr w:type="spellStart"/>
      <w:r w:rsidRPr="00C2627B">
        <w:rPr>
          <w:rFonts w:ascii="Arial" w:hAnsi="Arial" w:cs="Arial"/>
          <w:iCs/>
          <w:szCs w:val="20"/>
        </w:rPr>
        <w:t>Xoserve</w:t>
      </w:r>
      <w:proofErr w:type="spellEnd"/>
      <w:r w:rsidRPr="00C2627B">
        <w:rPr>
          <w:rFonts w:ascii="Arial" w:hAnsi="Arial" w:cs="Arial"/>
          <w:iCs/>
          <w:szCs w:val="20"/>
        </w:rPr>
        <w:t xml:space="preserve"> becomes aware of any inaccuracies or omissions in, or updates required to, this Report it shall notify the Network Operators’ Representative as soon as reasonably practicable but </w:t>
      </w:r>
      <w:proofErr w:type="spellStart"/>
      <w:r w:rsidRPr="00C2627B">
        <w:rPr>
          <w:rFonts w:ascii="Arial" w:hAnsi="Arial" w:cs="Arial"/>
          <w:iCs/>
          <w:szCs w:val="20"/>
        </w:rPr>
        <w:t>Xoserve</w:t>
      </w:r>
      <w:proofErr w:type="spellEnd"/>
      <w:r w:rsidRPr="00C2627B">
        <w:rPr>
          <w:rFonts w:ascii="Arial" w:hAnsi="Arial" w:cs="Arial"/>
          <w:iCs/>
          <w:szCs w:val="20"/>
        </w:rPr>
        <w:t xml:space="pre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 xml:space="preserve">This Report does not, and is not intended to; create any contractual or other legal obligation on </w:t>
      </w:r>
      <w:proofErr w:type="spellStart"/>
      <w:r w:rsidRPr="00C2627B">
        <w:rPr>
          <w:rFonts w:ascii="Arial" w:hAnsi="Arial" w:cs="Arial"/>
          <w:iCs/>
          <w:sz w:val="20"/>
          <w:szCs w:val="20"/>
        </w:rPr>
        <w:t>Xoserve</w:t>
      </w:r>
      <w:proofErr w:type="spellEnd"/>
      <w:r w:rsidRPr="00C2627B">
        <w:rPr>
          <w:rFonts w:ascii="Arial" w:hAnsi="Arial" w:cs="Arial"/>
          <w:iCs/>
          <w:sz w:val="20"/>
          <w:szCs w:val="20"/>
        </w:rPr>
        <w:t>.</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xml:space="preserve">© 2017 </w:t>
      </w:r>
      <w:proofErr w:type="spellStart"/>
      <w:r w:rsidRPr="00C2627B">
        <w:rPr>
          <w:rFonts w:cs="Arial"/>
          <w:iCs/>
          <w:szCs w:val="20"/>
          <w:lang w:val="en-US"/>
        </w:rPr>
        <w:t>Xoserve</w:t>
      </w:r>
      <w:proofErr w:type="spellEnd"/>
      <w:r w:rsidRPr="00C2627B">
        <w:rPr>
          <w:rFonts w:cs="Arial"/>
          <w:iCs/>
          <w:szCs w:val="20"/>
          <w:lang w:val="en-US"/>
        </w:rPr>
        <w:t xml:space="pre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w:t>
            </w:r>
            <w:proofErr w:type="spellStart"/>
            <w:r w:rsidRPr="00C2627B">
              <w:rPr>
                <w:rFonts w:cs="Arial"/>
                <w:bCs/>
                <w:color w:val="0000FF"/>
              </w:rPr>
              <w:t>Xoserve</w:t>
            </w:r>
            <w:proofErr w:type="spellEnd"/>
            <w:r w:rsidRPr="00C2627B">
              <w:rPr>
                <w:rFonts w:cs="Arial"/>
                <w:bCs/>
                <w:color w:val="0000FF"/>
              </w:rPr>
              <w:t xml:space="pre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 xml:space="preserve">assumptions that have been made by </w:t>
            </w:r>
            <w:proofErr w:type="spellStart"/>
            <w:r w:rsidRPr="00C2627B">
              <w:rPr>
                <w:rFonts w:cs="Arial"/>
                <w:bCs/>
                <w:color w:val="0000FF"/>
              </w:rPr>
              <w:t>Xoserve</w:t>
            </w:r>
            <w:proofErr w:type="spellEnd"/>
            <w:r w:rsidRPr="00C2627B">
              <w:rPr>
                <w:rFonts w:cs="Arial"/>
                <w:bCs/>
                <w:color w:val="0000FF"/>
              </w:rPr>
              <w:t xml:space="pre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proofErr w:type="spellStart"/>
            <w:r>
              <w:rPr>
                <w:rFonts w:cs="Arial"/>
              </w:rPr>
              <w:t>Xoserve</w:t>
            </w:r>
            <w:proofErr w:type="spellEnd"/>
            <w:r>
              <w:rPr>
                <w:rFonts w:cs="Arial"/>
              </w:rPr>
              <w:t xml:space="pre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4" w:name="_Toc478979674"/>
      <w:bookmarkStart w:id="5" w:name="_Toc479163251"/>
      <w:r w:rsidRPr="00C2627B">
        <w:rPr>
          <w:i/>
          <w:sz w:val="40"/>
          <w:szCs w:val="40"/>
        </w:rPr>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4"/>
      <w:bookmarkEnd w:id="5"/>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6" w:name="_Toc478979675"/>
      <w:bookmarkStart w:id="7" w:name="_Toc479163252"/>
      <w:r w:rsidRPr="00C2627B">
        <w:rPr>
          <w:i/>
          <w:sz w:val="40"/>
          <w:szCs w:val="40"/>
        </w:rPr>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6"/>
      <w:bookmarkEnd w:id="7"/>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Pr="00C2627B" w:rsidRDefault="00E6438A">
            <w:pPr>
              <w:spacing w:before="60" w:after="60"/>
              <w:rPr>
                <w:rFonts w:cs="Arial"/>
                <w:bCs/>
              </w:rPr>
            </w:pPr>
            <w:r>
              <w:rPr>
                <w:rFonts w:cs="Arial"/>
                <w:bCs/>
              </w:rPr>
              <w:t>Further details required:</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8" w:name="_Toc478979676"/>
      <w:bookmarkStart w:id="9" w:name="_Toc479163253"/>
      <w:r w:rsidRPr="00C2627B">
        <w:rPr>
          <w:i/>
          <w:sz w:val="40"/>
          <w:szCs w:val="40"/>
        </w:rPr>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8"/>
      <w:bookmarkEnd w:id="9"/>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8684B">
            <w:pPr>
              <w:spacing w:before="60" w:after="60"/>
              <w:rPr>
                <w:rFonts w:cs="Arial"/>
                <w:bCs/>
              </w:rPr>
            </w:pP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0" w:name="_Toc478979677"/>
      <w:bookmarkStart w:id="11" w:name="_Toc479163254"/>
      <w:r w:rsidRPr="00C2627B">
        <w:rPr>
          <w:i/>
          <w:sz w:val="40"/>
          <w:szCs w:val="40"/>
        </w:rPr>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0"/>
      <w:bookmarkEnd w:id="11"/>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7C6E8E"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7C6E8E"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7C6E8E"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7C6E8E"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7C6E8E"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7C6E8E"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rsidR="00612611" w:rsidRDefault="007C6E8E"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7C6E8E"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7C6E8E"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7C6E8E"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2" w:name="_Toc478979678"/>
      <w:bookmarkStart w:id="13" w:name="_Toc479163255"/>
      <w:r w:rsidRPr="00C2627B">
        <w:rPr>
          <w:i/>
          <w:sz w:val="40"/>
          <w:szCs w:val="40"/>
        </w:rPr>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2"/>
      <w:bookmarkEnd w:id="13"/>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7C6E8E"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7C6E8E"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4" w:name="_Toc478979679"/>
      <w:bookmarkStart w:id="15" w:name="_Toc479163256"/>
      <w:r w:rsidRPr="00C2627B">
        <w:rPr>
          <w:i/>
          <w:sz w:val="40"/>
          <w:szCs w:val="40"/>
        </w:rPr>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4"/>
      <w:bookmarkEnd w:id="15"/>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7C6E8E"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7C6E8E"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6" w:name="_Toc478979680"/>
      <w:bookmarkStart w:id="17" w:name="_Toc479163257"/>
      <w:r w:rsidRPr="00C2627B">
        <w:rPr>
          <w:i/>
          <w:sz w:val="40"/>
          <w:szCs w:val="40"/>
        </w:rPr>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6"/>
      <w:bookmarkEnd w:id="17"/>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55C31">
            <w:pPr>
              <w:pStyle w:val="TOC2"/>
            </w:pP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DE0824">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55C31">
            <w:pPr>
              <w:pStyle w:val="TOC2"/>
            </w:pP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55C31">
            <w:pPr>
              <w:pStyle w:val="TOC2"/>
            </w:pP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8" w:name="_Toc478979681"/>
      <w:bookmarkStart w:id="19" w:name="_Toc479163258"/>
      <w:r w:rsidRPr="00C2627B">
        <w:rPr>
          <w:i/>
          <w:sz w:val="40"/>
          <w:szCs w:val="40"/>
        </w:rPr>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8"/>
      <w:bookmarkEnd w:id="19"/>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rsidR="00AB4DE0" w:rsidRPr="0028078F" w:rsidRDefault="00315518">
            <w:pPr>
              <w:pStyle w:val="TOC2"/>
            </w:pPr>
            <w:r w:rsidRPr="0028078F">
              <w:t>A</w:t>
            </w:r>
            <w:r w:rsidR="00AB4DE0" w:rsidRPr="0028078F">
              <w:t>ctions required of the customer prior to the commencement date</w:t>
            </w:r>
          </w:p>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37736A" w:rsidRDefault="0037736A" w:rsidP="00C2627B">
            <w:pPr>
              <w:pStyle w:val="TOC2"/>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Pr="006E323D" w:rsidRDefault="00071124" w:rsidP="00C2627B">
            <w:pPr>
              <w:pStyle w:val="TOC2"/>
            </w:pP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7C6E8E"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7C6E8E"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C964DC">
            <w:pPr>
              <w:pStyle w:val="TOC2"/>
            </w:pP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C964DC">
            <w:pPr>
              <w:pStyle w:val="TOC2"/>
            </w:pP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t>Please provide an explanation of any variance</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Pr="006E323D" w:rsidRDefault="00315518" w:rsidP="00C2627B">
            <w:pPr>
              <w:pStyle w:val="TOC2"/>
            </w:pP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315518"/>
              </w:tc>
              <w:tc>
                <w:tcPr>
                  <w:tcW w:w="1770" w:type="dxa"/>
                  <w:shd w:val="clear" w:color="auto" w:fill="E5B8B7" w:themeFill="accent2" w:themeFillTint="66"/>
                </w:tcPr>
                <w:p w:rsidR="00315518" w:rsidRDefault="00315518">
                  <w:r>
                    <w:t>Actual Costs (£)</w:t>
                  </w:r>
                </w:p>
              </w:tc>
              <w:tc>
                <w:tcPr>
                  <w:tcW w:w="3119" w:type="dxa"/>
                </w:tcPr>
                <w:p w:rsidR="00315518" w:rsidRDefault="00315518"/>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D32FAC" w:rsidRPr="00F330CD" w:rsidRDefault="00D32FAC" w:rsidP="00C2627B"/>
          <w:p w:rsidR="00942332" w:rsidRPr="00A1373D" w:rsidRDefault="00942332"/>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0" w:name="_Toc478979682"/>
      <w:bookmarkStart w:id="21" w:name="_Toc479163259"/>
      <w:r w:rsidRPr="00C2627B">
        <w:rPr>
          <w:i/>
          <w:sz w:val="40"/>
          <w:szCs w:val="40"/>
        </w:rPr>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0"/>
      <w:bookmarkEnd w:id="21"/>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2" w:name="_Toc478979683"/>
      <w:bookmarkStart w:id="23"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2"/>
      <w:bookmarkEnd w:id="23"/>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4" w:name="_Appendix_One:_Service"/>
      <w:bookmarkStart w:id="25" w:name="_Toc478979684"/>
      <w:bookmarkStart w:id="26" w:name="_Toc479163261"/>
      <w:bookmarkEnd w:id="24"/>
      <w:r w:rsidRPr="00C2627B">
        <w:rPr>
          <w:bCs w:val="0"/>
          <w:i/>
          <w:sz w:val="40"/>
          <w:szCs w:val="40"/>
        </w:rPr>
        <w:t xml:space="preserve">Appendix One: </w:t>
      </w:r>
      <w:bookmarkEnd w:id="25"/>
      <w:bookmarkEnd w:id="26"/>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9120B1" w:rsidRDefault="009120B1" w:rsidP="00C2627B">
      <w:pPr>
        <w:spacing w:before="0" w:after="0"/>
        <w:rPr>
          <w:b/>
        </w:rPr>
      </w:pPr>
    </w:p>
    <w:p w:rsidR="009120B1" w:rsidRDefault="009120B1">
      <w:pPr>
        <w:spacing w:before="0" w:after="0"/>
        <w:rPr>
          <w:b/>
        </w:rPr>
      </w:pPr>
      <w:r>
        <w:rPr>
          <w:b/>
        </w:rPr>
        <w:br w:type="page"/>
      </w:r>
    </w:p>
    <w:p w:rsidR="009120B1" w:rsidRPr="00C2627B" w:rsidRDefault="009120B1" w:rsidP="009120B1">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r w:rsidRPr="00C2627B">
        <w:rPr>
          <w:bCs w:val="0"/>
          <w:i/>
          <w:sz w:val="40"/>
          <w:szCs w:val="40"/>
        </w:rPr>
        <w:t xml:space="preserve">Appendix </w:t>
      </w:r>
      <w:r>
        <w:rPr>
          <w:bCs w:val="0"/>
          <w:i/>
          <w:sz w:val="40"/>
          <w:szCs w:val="40"/>
        </w:rPr>
        <w:t>Two</w:t>
      </w:r>
      <w:r w:rsidRPr="00C2627B">
        <w:rPr>
          <w:bCs w:val="0"/>
          <w:i/>
          <w:sz w:val="40"/>
          <w:szCs w:val="40"/>
        </w:rPr>
        <w:t xml:space="preserve">: </w:t>
      </w:r>
      <w:r>
        <w:rPr>
          <w:bCs w:val="0"/>
          <w:i/>
          <w:sz w:val="40"/>
          <w:szCs w:val="40"/>
        </w:rPr>
        <w:t>Consultation Responses</w:t>
      </w:r>
    </w:p>
    <w:p w:rsidR="009120B1" w:rsidRPr="00F959B9" w:rsidRDefault="009120B1" w:rsidP="009120B1">
      <w:pPr>
        <w:spacing w:before="0" w:after="0"/>
      </w:pPr>
      <w:r w:rsidRPr="00F959B9">
        <w:t>As p</w:t>
      </w:r>
      <w:r>
        <w:t>er the request at the Change Management</w:t>
      </w:r>
      <w:r w:rsidRPr="00F959B9">
        <w:t xml:space="preserve"> Committee meeting on the 13</w:t>
      </w:r>
      <w:r w:rsidRPr="00F959B9">
        <w:rPr>
          <w:vertAlign w:val="superscript"/>
        </w:rPr>
        <w:t>th</w:t>
      </w:r>
      <w:r w:rsidRPr="00F959B9">
        <w:t xml:space="preserve"> December 2017 this change was issued for consultation across the industry.</w:t>
      </w:r>
      <w:r>
        <w:t xml:space="preserve"> The consultation closed on the 28</w:t>
      </w:r>
      <w:r w:rsidRPr="00F959B9">
        <w:rPr>
          <w:vertAlign w:val="superscript"/>
        </w:rPr>
        <w:t>th</w:t>
      </w:r>
      <w:r>
        <w:t xml:space="preserve"> December 2017. The comments received will form the basis of discussion at the Change Management Committee on 10</w:t>
      </w:r>
      <w:r w:rsidRPr="00B15842">
        <w:rPr>
          <w:vertAlign w:val="superscript"/>
        </w:rPr>
        <w:t>th</w:t>
      </w:r>
      <w:r>
        <w:t xml:space="preserve"> January 2018 to approve or reject the change. </w:t>
      </w:r>
    </w:p>
    <w:p w:rsidR="009120B1" w:rsidRDefault="009120B1" w:rsidP="009120B1">
      <w:pPr>
        <w:spacing w:before="0" w:after="0"/>
      </w:pPr>
    </w:p>
    <w:p w:rsidR="009120B1" w:rsidRDefault="009120B1" w:rsidP="009120B1">
      <w:pPr>
        <w:spacing w:before="0" w:after="0"/>
      </w:pPr>
      <w:r>
        <w:t>T</w:t>
      </w:r>
      <w:r w:rsidRPr="00F959B9">
        <w:t>he following two comments were received:</w:t>
      </w:r>
    </w:p>
    <w:tbl>
      <w:tblPr>
        <w:tblW w:w="99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1584"/>
        <w:gridCol w:w="1584"/>
        <w:gridCol w:w="5346"/>
      </w:tblGrid>
      <w:tr w:rsidR="009120B1" w:rsidRPr="008825AB" w:rsidTr="009120B1">
        <w:trPr>
          <w:trHeight w:val="550"/>
        </w:trPr>
        <w:tc>
          <w:tcPr>
            <w:tcW w:w="1388" w:type="dxa"/>
            <w:shd w:val="clear" w:color="auto" w:fill="D9D9D9" w:themeFill="background1" w:themeFillShade="D9"/>
            <w:vAlign w:val="center"/>
          </w:tcPr>
          <w:p w:rsidR="009120B1" w:rsidRPr="009120B1" w:rsidRDefault="009120B1" w:rsidP="009120B1">
            <w:pPr>
              <w:pStyle w:val="Heading3"/>
              <w:jc w:val="center"/>
              <w:rPr>
                <w:rFonts w:cs="Arial"/>
                <w:b/>
                <w:i w:val="0"/>
                <w:szCs w:val="18"/>
              </w:rPr>
            </w:pPr>
            <w:r w:rsidRPr="009120B1">
              <w:rPr>
                <w:rFonts w:cs="Arial"/>
                <w:b/>
                <w:i w:val="0"/>
                <w:szCs w:val="18"/>
              </w:rPr>
              <w:t>User</w:t>
            </w:r>
          </w:p>
        </w:tc>
        <w:tc>
          <w:tcPr>
            <w:tcW w:w="1584" w:type="dxa"/>
            <w:shd w:val="clear" w:color="auto" w:fill="D9D9D9" w:themeFill="background1" w:themeFillShade="D9"/>
            <w:vAlign w:val="center"/>
          </w:tcPr>
          <w:p w:rsidR="009120B1" w:rsidRPr="009120B1" w:rsidRDefault="009120B1" w:rsidP="009120B1">
            <w:pPr>
              <w:jc w:val="center"/>
              <w:rPr>
                <w:rFonts w:cs="Arial"/>
                <w:b/>
                <w:bCs/>
                <w:szCs w:val="18"/>
              </w:rPr>
            </w:pPr>
            <w:r w:rsidRPr="009120B1">
              <w:rPr>
                <w:rFonts w:cs="Arial"/>
                <w:b/>
                <w:bCs/>
                <w:szCs w:val="18"/>
              </w:rPr>
              <w:t>Name</w:t>
            </w:r>
          </w:p>
        </w:tc>
        <w:tc>
          <w:tcPr>
            <w:tcW w:w="1584" w:type="dxa"/>
            <w:shd w:val="clear" w:color="auto" w:fill="D9D9D9" w:themeFill="background1" w:themeFillShade="D9"/>
            <w:vAlign w:val="center"/>
          </w:tcPr>
          <w:p w:rsidR="009120B1" w:rsidRPr="009120B1" w:rsidRDefault="009120B1" w:rsidP="009120B1">
            <w:pPr>
              <w:jc w:val="center"/>
              <w:rPr>
                <w:rFonts w:cs="Arial"/>
                <w:b/>
                <w:bCs/>
                <w:szCs w:val="18"/>
              </w:rPr>
            </w:pPr>
            <w:r w:rsidRPr="009120B1">
              <w:rPr>
                <w:rFonts w:cs="Arial"/>
                <w:b/>
                <w:bCs/>
                <w:szCs w:val="18"/>
              </w:rPr>
              <w:t>Date</w:t>
            </w:r>
          </w:p>
        </w:tc>
        <w:tc>
          <w:tcPr>
            <w:tcW w:w="5346" w:type="dxa"/>
            <w:shd w:val="clear" w:color="auto" w:fill="D9D9D9" w:themeFill="background1" w:themeFillShade="D9"/>
            <w:vAlign w:val="center"/>
          </w:tcPr>
          <w:p w:rsidR="009120B1" w:rsidRPr="009120B1" w:rsidRDefault="009120B1" w:rsidP="009120B1">
            <w:pPr>
              <w:pStyle w:val="Heading1"/>
              <w:framePr w:wrap="around"/>
              <w:jc w:val="center"/>
              <w:rPr>
                <w:szCs w:val="18"/>
              </w:rPr>
            </w:pPr>
            <w:r w:rsidRPr="009120B1">
              <w:rPr>
                <w:szCs w:val="18"/>
              </w:rPr>
              <w:t>User Comments</w:t>
            </w:r>
          </w:p>
        </w:tc>
      </w:tr>
      <w:tr w:rsidR="009120B1" w:rsidRPr="00D40FA5" w:rsidTr="009120B1">
        <w:trPr>
          <w:trHeight w:val="1128"/>
        </w:trPr>
        <w:tc>
          <w:tcPr>
            <w:tcW w:w="1388" w:type="dxa"/>
          </w:tcPr>
          <w:p w:rsidR="009120B1" w:rsidRPr="009120B1" w:rsidRDefault="009120B1" w:rsidP="008402E5">
            <w:pPr>
              <w:tabs>
                <w:tab w:val="left" w:pos="730"/>
                <w:tab w:val="left" w:pos="1450"/>
                <w:tab w:val="left" w:pos="2170"/>
                <w:tab w:val="left" w:pos="2890"/>
                <w:tab w:val="left" w:pos="3610"/>
                <w:tab w:val="left" w:pos="4330"/>
                <w:tab w:val="left" w:pos="5050"/>
                <w:tab w:val="left" w:pos="5770"/>
                <w:tab w:val="left" w:pos="6490"/>
                <w:tab w:val="left" w:pos="7210"/>
                <w:tab w:val="left" w:pos="7930"/>
              </w:tabs>
              <w:jc w:val="center"/>
              <w:rPr>
                <w:rFonts w:cs="Arial"/>
                <w:szCs w:val="18"/>
              </w:rPr>
            </w:pPr>
            <w:r w:rsidRPr="009120B1">
              <w:rPr>
                <w:rFonts w:cs="Arial"/>
                <w:szCs w:val="18"/>
              </w:rPr>
              <w:t>Scottish Power</w:t>
            </w:r>
          </w:p>
        </w:tc>
        <w:tc>
          <w:tcPr>
            <w:tcW w:w="1584" w:type="dxa"/>
          </w:tcPr>
          <w:p w:rsidR="009120B1" w:rsidRPr="009120B1" w:rsidRDefault="009120B1" w:rsidP="008402E5">
            <w:pPr>
              <w:jc w:val="center"/>
              <w:rPr>
                <w:rFonts w:cs="Arial"/>
                <w:szCs w:val="18"/>
              </w:rPr>
            </w:pPr>
            <w:r w:rsidRPr="009120B1">
              <w:rPr>
                <w:rFonts w:cs="Arial"/>
                <w:szCs w:val="18"/>
              </w:rPr>
              <w:t>Shane Preston</w:t>
            </w:r>
          </w:p>
        </w:tc>
        <w:tc>
          <w:tcPr>
            <w:tcW w:w="1584" w:type="dxa"/>
          </w:tcPr>
          <w:p w:rsidR="009120B1" w:rsidRPr="009120B1" w:rsidRDefault="009120B1" w:rsidP="008402E5">
            <w:pPr>
              <w:jc w:val="center"/>
              <w:rPr>
                <w:rFonts w:cs="Arial"/>
                <w:szCs w:val="18"/>
              </w:rPr>
            </w:pPr>
            <w:r w:rsidRPr="009120B1">
              <w:rPr>
                <w:rFonts w:cs="Arial"/>
                <w:szCs w:val="18"/>
              </w:rPr>
              <w:t>27/12/17</w:t>
            </w:r>
          </w:p>
        </w:tc>
        <w:tc>
          <w:tcPr>
            <w:tcW w:w="5346" w:type="dxa"/>
          </w:tcPr>
          <w:p w:rsidR="009120B1" w:rsidRPr="009120B1" w:rsidRDefault="009120B1" w:rsidP="009120B1">
            <w:pPr>
              <w:pStyle w:val="ListParagraph"/>
              <w:ind w:left="0"/>
              <w:rPr>
                <w:rFonts w:cs="Arial"/>
                <w:szCs w:val="18"/>
              </w:rPr>
            </w:pPr>
            <w:r w:rsidRPr="009120B1">
              <w:rPr>
                <w:rFonts w:cs="Arial"/>
                <w:szCs w:val="18"/>
              </w:rPr>
              <w:t xml:space="preserve">We agree that the PSR report needs to be reviewed with only valid fields being reported on however does a wider discussion need to take place to agree what the report should contain? </w:t>
            </w:r>
          </w:p>
        </w:tc>
      </w:tr>
      <w:tr w:rsidR="009120B1" w:rsidRPr="00D40FA5" w:rsidTr="009120B1">
        <w:trPr>
          <w:trHeight w:val="960"/>
        </w:trPr>
        <w:tc>
          <w:tcPr>
            <w:tcW w:w="1388" w:type="dxa"/>
          </w:tcPr>
          <w:p w:rsidR="009120B1" w:rsidRPr="009120B1" w:rsidRDefault="009120B1" w:rsidP="008402E5">
            <w:pPr>
              <w:tabs>
                <w:tab w:val="left" w:pos="730"/>
                <w:tab w:val="left" w:pos="1450"/>
                <w:tab w:val="left" w:pos="2170"/>
                <w:tab w:val="left" w:pos="2890"/>
                <w:tab w:val="left" w:pos="3610"/>
                <w:tab w:val="left" w:pos="4330"/>
                <w:tab w:val="left" w:pos="5050"/>
                <w:tab w:val="left" w:pos="5770"/>
                <w:tab w:val="left" w:pos="6490"/>
                <w:tab w:val="left" w:pos="7210"/>
                <w:tab w:val="left" w:pos="7930"/>
              </w:tabs>
              <w:jc w:val="center"/>
              <w:rPr>
                <w:rFonts w:cs="Arial"/>
                <w:szCs w:val="18"/>
              </w:rPr>
            </w:pPr>
            <w:proofErr w:type="spellStart"/>
            <w:r w:rsidRPr="009120B1">
              <w:rPr>
                <w:rFonts w:cs="Arial"/>
                <w:szCs w:val="18"/>
              </w:rPr>
              <w:t>NPower</w:t>
            </w:r>
            <w:proofErr w:type="spellEnd"/>
          </w:p>
        </w:tc>
        <w:tc>
          <w:tcPr>
            <w:tcW w:w="1584" w:type="dxa"/>
          </w:tcPr>
          <w:p w:rsidR="009120B1" w:rsidRPr="009120B1" w:rsidRDefault="009120B1" w:rsidP="008402E5">
            <w:pPr>
              <w:jc w:val="center"/>
              <w:rPr>
                <w:rFonts w:cs="Arial"/>
                <w:szCs w:val="18"/>
              </w:rPr>
            </w:pPr>
            <w:proofErr w:type="spellStart"/>
            <w:r w:rsidRPr="009120B1">
              <w:rPr>
                <w:rFonts w:cs="Arial"/>
                <w:szCs w:val="18"/>
              </w:rPr>
              <w:t>Maitrayee</w:t>
            </w:r>
            <w:proofErr w:type="spellEnd"/>
            <w:r w:rsidRPr="009120B1">
              <w:rPr>
                <w:rFonts w:cs="Arial"/>
                <w:szCs w:val="18"/>
              </w:rPr>
              <w:t xml:space="preserve"> </w:t>
            </w:r>
            <w:proofErr w:type="spellStart"/>
            <w:r w:rsidRPr="009120B1">
              <w:rPr>
                <w:rFonts w:cs="Arial"/>
                <w:szCs w:val="18"/>
              </w:rPr>
              <w:t>Bhowmick-Jewkes</w:t>
            </w:r>
            <w:proofErr w:type="spellEnd"/>
          </w:p>
        </w:tc>
        <w:tc>
          <w:tcPr>
            <w:tcW w:w="1584" w:type="dxa"/>
          </w:tcPr>
          <w:p w:rsidR="009120B1" w:rsidRPr="009120B1" w:rsidRDefault="009120B1" w:rsidP="008402E5">
            <w:pPr>
              <w:jc w:val="center"/>
              <w:rPr>
                <w:rFonts w:cs="Arial"/>
                <w:szCs w:val="18"/>
              </w:rPr>
            </w:pPr>
            <w:r w:rsidRPr="009120B1">
              <w:rPr>
                <w:rFonts w:cs="Arial"/>
                <w:szCs w:val="18"/>
              </w:rPr>
              <w:t>28/12/17</w:t>
            </w:r>
          </w:p>
        </w:tc>
        <w:tc>
          <w:tcPr>
            <w:tcW w:w="5346" w:type="dxa"/>
          </w:tcPr>
          <w:p w:rsidR="009120B1" w:rsidRPr="009120B1" w:rsidRDefault="009120B1" w:rsidP="008402E5">
            <w:pPr>
              <w:tabs>
                <w:tab w:val="left" w:pos="1320"/>
              </w:tabs>
              <w:rPr>
                <w:rFonts w:cs="Arial"/>
                <w:szCs w:val="18"/>
              </w:rPr>
            </w:pPr>
            <w:r w:rsidRPr="009120B1">
              <w:rPr>
                <w:rFonts w:cs="Arial"/>
                <w:szCs w:val="18"/>
              </w:rPr>
              <w:t xml:space="preserve">We support this change as it modernises the content of the PSR reports in line with Nexus (referencing Class </w:t>
            </w:r>
            <w:proofErr w:type="spellStart"/>
            <w:r w:rsidRPr="009120B1">
              <w:rPr>
                <w:rFonts w:cs="Arial"/>
                <w:szCs w:val="18"/>
              </w:rPr>
              <w:t>etc</w:t>
            </w:r>
            <w:proofErr w:type="spellEnd"/>
            <w:r w:rsidRPr="009120B1">
              <w:rPr>
                <w:rFonts w:cs="Arial"/>
                <w:szCs w:val="18"/>
              </w:rPr>
              <w:t xml:space="preserve">). </w:t>
            </w:r>
          </w:p>
        </w:tc>
      </w:tr>
    </w:tbl>
    <w:p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8E" w:rsidRDefault="007C6E8E">
      <w:r>
        <w:separator/>
      </w:r>
    </w:p>
  </w:endnote>
  <w:endnote w:type="continuationSeparator" w:id="0">
    <w:p w:rsidR="007C6E8E" w:rsidRDefault="007C6E8E">
      <w:r>
        <w:continuationSeparator/>
      </w:r>
    </w:p>
  </w:endnote>
  <w:endnote w:type="continuationNotice" w:id="1">
    <w:p w:rsidR="007C6E8E" w:rsidRDefault="007C6E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B" w:rsidRDefault="003F7BDB"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D1254E">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D1254E">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8E" w:rsidRDefault="007C6E8E">
      <w:r>
        <w:separator/>
      </w:r>
    </w:p>
  </w:footnote>
  <w:footnote w:type="continuationSeparator" w:id="0">
    <w:p w:rsidR="007C6E8E" w:rsidRDefault="007C6E8E">
      <w:r>
        <w:continuationSeparator/>
      </w:r>
    </w:p>
  </w:footnote>
  <w:footnote w:type="continuationNotice" w:id="1">
    <w:p w:rsidR="007C6E8E" w:rsidRDefault="007C6E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B" w:rsidRPr="00C2627B" w:rsidRDefault="003F7BDB">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735EB9"/>
    <w:multiLevelType w:val="hybridMultilevel"/>
    <w:tmpl w:val="F8F69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5">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nsid w:val="7D376A9E"/>
    <w:multiLevelType w:val="hybridMultilevel"/>
    <w:tmpl w:val="06CC2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40"/>
  </w:num>
  <w:num w:numId="8">
    <w:abstractNumId w:val="42"/>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4"/>
  </w:num>
  <w:num w:numId="27">
    <w:abstractNumId w:val="28"/>
  </w:num>
  <w:num w:numId="28">
    <w:abstractNumId w:val="22"/>
  </w:num>
  <w:num w:numId="29">
    <w:abstractNumId w:val="16"/>
  </w:num>
  <w:num w:numId="30">
    <w:abstractNumId w:val="19"/>
  </w:num>
  <w:num w:numId="31">
    <w:abstractNumId w:val="36"/>
  </w:num>
  <w:num w:numId="32">
    <w:abstractNumId w:val="45"/>
  </w:num>
  <w:num w:numId="33">
    <w:abstractNumId w:val="15"/>
  </w:num>
  <w:num w:numId="34">
    <w:abstractNumId w:val="41"/>
  </w:num>
  <w:num w:numId="35">
    <w:abstractNumId w:val="32"/>
  </w:num>
  <w:num w:numId="36">
    <w:abstractNumId w:val="30"/>
  </w:num>
  <w:num w:numId="37">
    <w:abstractNumId w:val="46"/>
  </w:num>
  <w:num w:numId="38">
    <w:abstractNumId w:val="43"/>
  </w:num>
  <w:num w:numId="39">
    <w:abstractNumId w:val="23"/>
  </w:num>
  <w:num w:numId="40">
    <w:abstractNumId w:val="25"/>
  </w:num>
  <w:num w:numId="41">
    <w:abstractNumId w:val="27"/>
  </w:num>
  <w:num w:numId="42">
    <w:abstractNumId w:val="12"/>
  </w:num>
  <w:num w:numId="43">
    <w:abstractNumId w:val="39"/>
  </w:num>
  <w:num w:numId="44">
    <w:abstractNumId w:val="11"/>
  </w:num>
  <w:num w:numId="45">
    <w:abstractNumId w:val="24"/>
  </w:num>
  <w:num w:numId="46">
    <w:abstractNumId w:val="21"/>
  </w:num>
  <w:num w:numId="47">
    <w:abstractNumId w:val="34"/>
  </w:num>
  <w:num w:numId="48">
    <w:abstractNumId w:val="38"/>
  </w:num>
  <w:num w:numId="49">
    <w:abstractNumId w:val="4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5A8"/>
    <w:rsid w:val="00000930"/>
    <w:rsid w:val="00000AA7"/>
    <w:rsid w:val="000029FE"/>
    <w:rsid w:val="000127A0"/>
    <w:rsid w:val="00016E26"/>
    <w:rsid w:val="00020A27"/>
    <w:rsid w:val="000211E8"/>
    <w:rsid w:val="000320C1"/>
    <w:rsid w:val="000378E3"/>
    <w:rsid w:val="00050B2A"/>
    <w:rsid w:val="00054ED9"/>
    <w:rsid w:val="000553C8"/>
    <w:rsid w:val="000606EB"/>
    <w:rsid w:val="00064510"/>
    <w:rsid w:val="00066B30"/>
    <w:rsid w:val="00071124"/>
    <w:rsid w:val="000711DC"/>
    <w:rsid w:val="00075C7E"/>
    <w:rsid w:val="00084956"/>
    <w:rsid w:val="000A1E23"/>
    <w:rsid w:val="000A3B3E"/>
    <w:rsid w:val="000B0E56"/>
    <w:rsid w:val="000D211A"/>
    <w:rsid w:val="000E6703"/>
    <w:rsid w:val="000F0E97"/>
    <w:rsid w:val="000F5554"/>
    <w:rsid w:val="0012072F"/>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946F8"/>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3F7BDB"/>
    <w:rsid w:val="00404845"/>
    <w:rsid w:val="00407388"/>
    <w:rsid w:val="004129E3"/>
    <w:rsid w:val="00413D29"/>
    <w:rsid w:val="00420160"/>
    <w:rsid w:val="004204A5"/>
    <w:rsid w:val="00422446"/>
    <w:rsid w:val="00424D69"/>
    <w:rsid w:val="004267E0"/>
    <w:rsid w:val="004308EA"/>
    <w:rsid w:val="00434D48"/>
    <w:rsid w:val="004363D0"/>
    <w:rsid w:val="004464D0"/>
    <w:rsid w:val="0045753D"/>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7"/>
    <w:rsid w:val="006E323D"/>
    <w:rsid w:val="006F14B9"/>
    <w:rsid w:val="00700F01"/>
    <w:rsid w:val="007023EE"/>
    <w:rsid w:val="00711D41"/>
    <w:rsid w:val="0071411E"/>
    <w:rsid w:val="00740D01"/>
    <w:rsid w:val="00742715"/>
    <w:rsid w:val="00746EEA"/>
    <w:rsid w:val="00747378"/>
    <w:rsid w:val="00777E6E"/>
    <w:rsid w:val="007811B0"/>
    <w:rsid w:val="00782062"/>
    <w:rsid w:val="00793175"/>
    <w:rsid w:val="007A3D8A"/>
    <w:rsid w:val="007A589C"/>
    <w:rsid w:val="007B546E"/>
    <w:rsid w:val="007B6066"/>
    <w:rsid w:val="007C0023"/>
    <w:rsid w:val="007C0113"/>
    <w:rsid w:val="007C26CF"/>
    <w:rsid w:val="007C6E8E"/>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65C3B"/>
    <w:rsid w:val="00876F25"/>
    <w:rsid w:val="008905F8"/>
    <w:rsid w:val="008B567D"/>
    <w:rsid w:val="008C3248"/>
    <w:rsid w:val="008D2AE5"/>
    <w:rsid w:val="008E51D1"/>
    <w:rsid w:val="00901917"/>
    <w:rsid w:val="009120B1"/>
    <w:rsid w:val="00922FDF"/>
    <w:rsid w:val="0092424D"/>
    <w:rsid w:val="0092674F"/>
    <w:rsid w:val="009379E1"/>
    <w:rsid w:val="00942332"/>
    <w:rsid w:val="00950E7D"/>
    <w:rsid w:val="009843B9"/>
    <w:rsid w:val="00987175"/>
    <w:rsid w:val="009A63CE"/>
    <w:rsid w:val="009B4625"/>
    <w:rsid w:val="009C1A5E"/>
    <w:rsid w:val="009D109D"/>
    <w:rsid w:val="009E710C"/>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27717"/>
    <w:rsid w:val="00C3060D"/>
    <w:rsid w:val="00C31489"/>
    <w:rsid w:val="00C370C0"/>
    <w:rsid w:val="00C41F6C"/>
    <w:rsid w:val="00C42B44"/>
    <w:rsid w:val="00C433CA"/>
    <w:rsid w:val="00C43CFC"/>
    <w:rsid w:val="00C45A88"/>
    <w:rsid w:val="00C4630F"/>
    <w:rsid w:val="00C53883"/>
    <w:rsid w:val="00C54557"/>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254E"/>
    <w:rsid w:val="00D144CB"/>
    <w:rsid w:val="00D20BF4"/>
    <w:rsid w:val="00D232CA"/>
    <w:rsid w:val="00D32FAC"/>
    <w:rsid w:val="00D371E2"/>
    <w:rsid w:val="00D459F0"/>
    <w:rsid w:val="00D46890"/>
    <w:rsid w:val="00D54563"/>
    <w:rsid w:val="00D568FF"/>
    <w:rsid w:val="00D57155"/>
    <w:rsid w:val="00D65778"/>
    <w:rsid w:val="00D664DB"/>
    <w:rsid w:val="00D7170C"/>
    <w:rsid w:val="00D72A25"/>
    <w:rsid w:val="00D74E2A"/>
    <w:rsid w:val="00D76154"/>
    <w:rsid w:val="00D83FFA"/>
    <w:rsid w:val="00D930A1"/>
    <w:rsid w:val="00D97647"/>
    <w:rsid w:val="00DA08D2"/>
    <w:rsid w:val="00DA1E11"/>
    <w:rsid w:val="00DC03F5"/>
    <w:rsid w:val="00DC5F56"/>
    <w:rsid w:val="00DD00DF"/>
    <w:rsid w:val="00DD18FC"/>
    <w:rsid w:val="00DD7601"/>
    <w:rsid w:val="00DE0824"/>
    <w:rsid w:val="00DE2B4F"/>
    <w:rsid w:val="00DE3DA4"/>
    <w:rsid w:val="00DE6422"/>
    <w:rsid w:val="00E03D58"/>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766D5"/>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1281">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B6E50"/>
    <w:rsid w:val="00192166"/>
    <w:rsid w:val="00321D48"/>
    <w:rsid w:val="003B6689"/>
    <w:rsid w:val="00475E12"/>
    <w:rsid w:val="004B4884"/>
    <w:rsid w:val="004C5568"/>
    <w:rsid w:val="00516387"/>
    <w:rsid w:val="005E1276"/>
    <w:rsid w:val="00607F11"/>
    <w:rsid w:val="00656F81"/>
    <w:rsid w:val="006864A5"/>
    <w:rsid w:val="00812FD2"/>
    <w:rsid w:val="00832960"/>
    <w:rsid w:val="008A6EE4"/>
    <w:rsid w:val="00922CC4"/>
    <w:rsid w:val="00945E6A"/>
    <w:rsid w:val="00A16CB0"/>
    <w:rsid w:val="00C1788D"/>
    <w:rsid w:val="00EA0EB7"/>
    <w:rsid w:val="00F34AA8"/>
    <w:rsid w:val="00F42171"/>
    <w:rsid w:val="00F632D7"/>
    <w:rsid w:val="00F8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F7FE37A7-BF9C-4FE7-A026-7BCF6B08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0</TotalTime>
  <Pages>1</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2018-01-02T14:01:00Z</dcterms:created>
  <dcterms:modified xsi:type="dcterms:W3CDTF">2018-01-02T14:01:00Z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-94294566</vt:i4>
  </property>
  <property fmtid="{D5CDD505-2E9C-101B-9397-08002B2CF9AE}" pid="3" name="_NewReviewCycle">
    <vt:lpwstr/>
  </property>
  <property fmtid="{D5CDD505-2E9C-101B-9397-08002B2CF9AE}" pid="4" name="_EmailSubject">
    <vt:lpwstr>Change Proposals</vt:lpwstr>
  </property>
  <property fmtid="{D5CDD505-2E9C-101B-9397-08002B2CF9AE}" pid="5" name="_AuthorEmail">
    <vt:lpwstr>Rachel.Hinsley@xoserve.com</vt:lpwstr>
  </property>
  <property fmtid="{D5CDD505-2E9C-101B-9397-08002B2CF9AE}" pid="6" name="_AuthorEmailDisplayName">
    <vt:lpwstr>Hinsley, Rachel</vt:lpwstr>
  </property>
  <property fmtid="{D5CDD505-2E9C-101B-9397-08002B2CF9AE}" pid="7" name="_PreviousAdHocReviewCycleID">
    <vt:i4>200038688</vt:i4>
  </property>
  <property fmtid="{D5CDD505-2E9C-101B-9397-08002B2CF9AE}" pid="8" name="_ReviewingToolsShownOnce">
    <vt:lpwstr/>
  </property>
</Properties>
</file>