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504"/>
        <w:gridCol w:w="5211"/>
      </w:tblGrid>
      <w:tr w:rsidR="00EA73B3" w:rsidRPr="00EA73B3" w14:paraId="1601AE27" w14:textId="77777777" w:rsidTr="0A57A144">
        <w:tc>
          <w:tcPr>
            <w:tcW w:w="231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7F80CEA9" w:rsidR="00EA73B3" w:rsidRPr="00EA73B3" w:rsidRDefault="00653AF2" w:rsidP="0A57A144">
            <w:pPr>
              <w:rPr>
                <w:rFonts w:eastAsia="Times New Roman" w:cs="Arial"/>
                <w:sz w:val="20"/>
                <w:szCs w:val="20"/>
              </w:rPr>
            </w:pPr>
            <w:r w:rsidRPr="00135F35">
              <w:rPr>
                <w:rFonts w:eastAsia="Times New Roman" w:cs="Arial"/>
                <w:sz w:val="20"/>
                <w:szCs w:val="20"/>
              </w:rPr>
              <w:t>Urgent Modification 0788 - Minimising the market impacts of ‘Supplier Undertaking’ operation</w:t>
            </w:r>
          </w:p>
        </w:tc>
      </w:tr>
      <w:tr w:rsidR="00EA73B3" w:rsidRPr="00EA73B3" w14:paraId="06D4D571" w14:textId="77777777" w:rsidTr="0A57A144">
        <w:tc>
          <w:tcPr>
            <w:tcW w:w="231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13B3B4FB" w:rsidR="00EA73B3" w:rsidRPr="00EA73B3" w:rsidRDefault="00653AF2" w:rsidP="00195A39">
            <w:pPr>
              <w:rPr>
                <w:rFonts w:eastAsia="Times New Roman" w:cs="Arial"/>
                <w:sz w:val="20"/>
                <w:szCs w:val="20"/>
              </w:rPr>
            </w:pPr>
            <w:r>
              <w:rPr>
                <w:rFonts w:eastAsia="Times New Roman" w:cs="Arial"/>
                <w:sz w:val="20"/>
                <w:szCs w:val="20"/>
              </w:rPr>
              <w:t>XRN5443</w:t>
            </w:r>
          </w:p>
        </w:tc>
      </w:tr>
      <w:tr w:rsidR="00EA73B3" w:rsidRPr="00EA73B3" w14:paraId="1D6C8AD7" w14:textId="77777777" w:rsidTr="0A57A144">
        <w:tc>
          <w:tcPr>
            <w:tcW w:w="2318" w:type="pct"/>
            <w:tcBorders>
              <w:bottom w:val="single" w:sz="4" w:space="0" w:color="auto"/>
            </w:tcBorders>
            <w:shd w:val="clear" w:color="auto" w:fill="FFFFFF" w:themeFill="background1"/>
            <w:vAlign w:val="center"/>
          </w:tcPr>
          <w:p w14:paraId="2E0D022E" w14:textId="35A27A5D"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w:t>
            </w:r>
            <w:r w:rsidR="00B17530">
              <w:rPr>
                <w:rFonts w:eastAsia="Times New Roman" w:cs="Arial"/>
                <w:b/>
                <w:sz w:val="20"/>
                <w:szCs w:val="16"/>
              </w:rPr>
              <w:t>Lead</w:t>
            </w:r>
            <w:r w:rsidRPr="00EA73B3">
              <w:rPr>
                <w:rFonts w:eastAsia="Times New Roman" w:cs="Arial"/>
                <w:b/>
                <w:sz w:val="20"/>
                <w:szCs w:val="16"/>
              </w:rPr>
              <w:t xml:space="preserve">  </w:t>
            </w:r>
          </w:p>
        </w:tc>
        <w:tc>
          <w:tcPr>
            <w:tcW w:w="2682" w:type="pct"/>
            <w:tcBorders>
              <w:bottom w:val="single" w:sz="4" w:space="0" w:color="auto"/>
            </w:tcBorders>
          </w:tcPr>
          <w:p w14:paraId="4419660B" w14:textId="47856A94" w:rsidR="00EA73B3" w:rsidRPr="00EA73B3" w:rsidRDefault="00B17530" w:rsidP="0A57A144">
            <w:pPr>
              <w:rPr>
                <w:rFonts w:eastAsia="Times New Roman" w:cs="Arial"/>
                <w:sz w:val="20"/>
                <w:szCs w:val="20"/>
              </w:rPr>
            </w:pPr>
            <w:r>
              <w:rPr>
                <w:rFonts w:eastAsia="Times New Roman" w:cs="Arial"/>
                <w:sz w:val="20"/>
                <w:szCs w:val="20"/>
              </w:rPr>
              <w:t>Ellie Rogers</w:t>
            </w:r>
          </w:p>
        </w:tc>
      </w:tr>
      <w:tr w:rsidR="00EA73B3" w:rsidRPr="00EA73B3" w14:paraId="2390A8AC" w14:textId="77777777" w:rsidTr="0A57A144">
        <w:tc>
          <w:tcPr>
            <w:tcW w:w="231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1B88329A" w:rsidR="00EA73B3" w:rsidRPr="00EA73B3" w:rsidRDefault="00B17530" w:rsidP="0A57A144">
            <w:pPr>
              <w:rPr>
                <w:rFonts w:eastAsia="Times New Roman" w:cs="Arial"/>
                <w:sz w:val="20"/>
                <w:szCs w:val="20"/>
              </w:rPr>
            </w:pPr>
            <w:r>
              <w:rPr>
                <w:rFonts w:eastAsia="Times New Roman" w:cs="Arial"/>
                <w:sz w:val="20"/>
                <w:szCs w:val="20"/>
              </w:rPr>
              <w:t>Ellie.rogers@xoserve.com</w:t>
            </w:r>
          </w:p>
        </w:tc>
      </w:tr>
      <w:tr w:rsidR="00EA73B3" w:rsidRPr="00EA73B3" w14:paraId="3B9ABC1E" w14:textId="77777777" w:rsidTr="0A57A144">
        <w:tc>
          <w:tcPr>
            <w:tcW w:w="231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1231AF11" w:rsidR="00EA73B3" w:rsidRPr="00EA73B3" w:rsidRDefault="00084BAA" w:rsidP="0A57A144">
            <w:pPr>
              <w:rPr>
                <w:rFonts w:eastAsia="Times New Roman" w:cs="Arial"/>
                <w:sz w:val="20"/>
                <w:szCs w:val="20"/>
              </w:rPr>
            </w:pPr>
            <w:r>
              <w:rPr>
                <w:rFonts w:eastAsia="Times New Roman" w:cs="Arial"/>
                <w:sz w:val="20"/>
                <w:szCs w:val="20"/>
              </w:rPr>
              <w:t>+</w:t>
            </w:r>
            <w:r w:rsidRPr="00084BAA">
              <w:rPr>
                <w:rFonts w:eastAsia="Times New Roman" w:cs="Arial"/>
                <w:sz w:val="20"/>
                <w:szCs w:val="20"/>
              </w:rPr>
              <w:t>44 1212 292 185</w:t>
            </w:r>
          </w:p>
        </w:tc>
      </w:tr>
      <w:tr w:rsidR="00EA73B3" w:rsidRPr="00EA73B3" w14:paraId="0B495390" w14:textId="77777777" w:rsidTr="0A57A144">
        <w:tc>
          <w:tcPr>
            <w:tcW w:w="231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713DC32E" w:rsidR="00EA73B3" w:rsidRPr="00EA73B3" w:rsidRDefault="005823B1" w:rsidP="00EA73B3">
            <w:pPr>
              <w:rPr>
                <w:rFonts w:eastAsia="Times New Roman" w:cs="Arial"/>
                <w:sz w:val="20"/>
                <w:szCs w:val="20"/>
              </w:rPr>
            </w:pPr>
            <w:r>
              <w:rPr>
                <w:rFonts w:eastAsia="Times New Roman" w:cs="Arial"/>
                <w:sz w:val="20"/>
                <w:szCs w:val="20"/>
              </w:rPr>
              <w:t>09 February 2022</w:t>
            </w:r>
          </w:p>
        </w:tc>
      </w:tr>
      <w:tr w:rsidR="00EA73B3" w:rsidRPr="00EA73B3" w14:paraId="70D298E7" w14:textId="77777777" w:rsidTr="0A57A144">
        <w:tc>
          <w:tcPr>
            <w:tcW w:w="231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3FA118ED" w:rsidR="00EA73B3" w:rsidRPr="00EA73B3" w:rsidRDefault="005823B1" w:rsidP="0A57A144">
            <w:pPr>
              <w:rPr>
                <w:rFonts w:eastAsia="Times New Roman" w:cs="Arial"/>
                <w:sz w:val="20"/>
                <w:szCs w:val="20"/>
              </w:rPr>
            </w:pPr>
            <w:r>
              <w:rPr>
                <w:rFonts w:eastAsia="Times New Roman" w:cs="Arial"/>
                <w:sz w:val="20"/>
                <w:szCs w:val="20"/>
              </w:rPr>
              <w:t>01 November 2021</w:t>
            </w:r>
          </w:p>
        </w:tc>
      </w:tr>
      <w:tr w:rsidR="00EA73B3" w:rsidRPr="00EA73B3" w14:paraId="0327033D" w14:textId="77777777" w:rsidTr="0A57A144">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A57A144">
        <w:tc>
          <w:tcPr>
            <w:tcW w:w="5000" w:type="pct"/>
            <w:gridSpan w:val="2"/>
            <w:tcBorders>
              <w:bottom w:val="single" w:sz="4" w:space="0" w:color="auto"/>
            </w:tcBorders>
            <w:shd w:val="clear" w:color="auto" w:fill="FFFFFF" w:themeFill="background1"/>
          </w:tcPr>
          <w:p w14:paraId="3CF00982" w14:textId="4CEDDF77" w:rsidR="00195A39" w:rsidRDefault="00195A39" w:rsidP="00195A39">
            <w:pPr>
              <w:contextualSpacing/>
              <w:rPr>
                <w:rFonts w:eastAsia="Times New Roman" w:cs="Arial"/>
                <w:i/>
                <w:iCs/>
                <w:color w:val="0070C0"/>
                <w:sz w:val="20"/>
                <w:szCs w:val="20"/>
              </w:rPr>
            </w:pPr>
          </w:p>
          <w:p w14:paraId="5CA2C327" w14:textId="17B74693" w:rsidR="00FD76E0" w:rsidRDefault="00FD76E0" w:rsidP="00195A39">
            <w:pPr>
              <w:contextualSpacing/>
              <w:rPr>
                <w:sz w:val="20"/>
              </w:rPr>
            </w:pPr>
            <w:r w:rsidRPr="00FD76E0">
              <w:rPr>
                <w:sz w:val="20"/>
              </w:rPr>
              <w:t xml:space="preserve">Change Proposal XRN5443 was raised to deliver the changes proposed through 0788 (Urgent) - Minimising the market impacts of ‘Supplier Undertaking’ operation. This Modification </w:t>
            </w:r>
            <w:r>
              <w:rPr>
                <w:sz w:val="20"/>
              </w:rPr>
              <w:t xml:space="preserve">was implemented on 01 November 2021 and </w:t>
            </w:r>
            <w:r w:rsidRPr="00FD76E0">
              <w:rPr>
                <w:sz w:val="20"/>
              </w:rPr>
              <w:t>seeks to provide the ability for Suppliers who are operating under a Deed of Undertaking (</w:t>
            </w:r>
            <w:proofErr w:type="spellStart"/>
            <w:r w:rsidRPr="00FD76E0">
              <w:rPr>
                <w:sz w:val="20"/>
              </w:rPr>
              <w:t>DoU</w:t>
            </w:r>
            <w:proofErr w:type="spellEnd"/>
            <w:r w:rsidRPr="00FD76E0">
              <w:rPr>
                <w:sz w:val="20"/>
              </w:rPr>
              <w:t>), following the Termination of the Shipper User, to utilise other existing Shipper User relationships to source additional supplies of gas and make trade nominations to the Terminated Shipper User account to balance that portfolio and mitigate increased costs, until a new ‘Registered User’ is appointed.</w:t>
            </w:r>
          </w:p>
          <w:p w14:paraId="6D1B31B8" w14:textId="474F4226" w:rsidR="00964E82" w:rsidRDefault="00964E82" w:rsidP="00195A39">
            <w:pPr>
              <w:contextualSpacing/>
              <w:rPr>
                <w:rFonts w:eastAsia="Times New Roman" w:cs="Arial"/>
                <w:i/>
                <w:iCs/>
                <w:color w:val="0070C0"/>
                <w:sz w:val="18"/>
                <w:szCs w:val="20"/>
              </w:rPr>
            </w:pPr>
          </w:p>
          <w:p w14:paraId="46A991A2" w14:textId="204C0DC3" w:rsidR="00964E82" w:rsidRDefault="00964E82" w:rsidP="00195A39">
            <w:pPr>
              <w:contextualSpacing/>
              <w:rPr>
                <w:sz w:val="20"/>
              </w:rPr>
            </w:pPr>
            <w:r w:rsidRPr="00D9534D">
              <w:rPr>
                <w:sz w:val="20"/>
              </w:rPr>
              <w:t xml:space="preserve">Due to the urgent nature of Modification 0788, the proposal was approved and implemented on 01 November 2021. As </w:t>
            </w:r>
            <w:r w:rsidR="00D9534D">
              <w:rPr>
                <w:sz w:val="20"/>
              </w:rPr>
              <w:t>detailed within</w:t>
            </w:r>
            <w:r w:rsidR="00FD447B" w:rsidRPr="00D9534D">
              <w:rPr>
                <w:sz w:val="20"/>
              </w:rPr>
              <w:t xml:space="preserve"> Change Proposal XRN5443 and the</w:t>
            </w:r>
            <w:r w:rsidR="00564ACD">
              <w:rPr>
                <w:sz w:val="20"/>
              </w:rPr>
              <w:t xml:space="preserve"> associated</w:t>
            </w:r>
            <w:r w:rsidR="00FD447B" w:rsidRPr="00D9534D">
              <w:rPr>
                <w:sz w:val="20"/>
              </w:rPr>
              <w:t xml:space="preserve"> Detailed Design Change Pack,</w:t>
            </w:r>
            <w:r w:rsidRPr="00D9534D">
              <w:rPr>
                <w:sz w:val="20"/>
              </w:rPr>
              <w:t xml:space="preserve"> the central solution in place</w:t>
            </w:r>
            <w:r w:rsidRPr="004A7220">
              <w:rPr>
                <w:sz w:val="20"/>
              </w:rPr>
              <w:t xml:space="preserve"> to </w:t>
            </w:r>
            <w:r w:rsidR="00D9534D" w:rsidRPr="004A7220">
              <w:rPr>
                <w:sz w:val="20"/>
              </w:rPr>
              <w:t>deliver and manage Modification 0788</w:t>
            </w:r>
            <w:r w:rsidR="004A7220" w:rsidRPr="004A7220">
              <w:rPr>
                <w:sz w:val="20"/>
              </w:rPr>
              <w:t xml:space="preserve"> utilised</w:t>
            </w:r>
            <w:r w:rsidRPr="004A7220">
              <w:rPr>
                <w:sz w:val="20"/>
              </w:rPr>
              <w:t xml:space="preserve"> existing reports, processes and system functionality</w:t>
            </w:r>
            <w:r w:rsidR="004A7220" w:rsidRPr="004A7220">
              <w:rPr>
                <w:sz w:val="20"/>
              </w:rPr>
              <w:t xml:space="preserve">. </w:t>
            </w:r>
          </w:p>
          <w:p w14:paraId="6846658D" w14:textId="6FB2B31A" w:rsidR="004660F4" w:rsidRDefault="004660F4" w:rsidP="00195A39">
            <w:pPr>
              <w:contextualSpacing/>
              <w:rPr>
                <w:sz w:val="20"/>
              </w:rPr>
            </w:pPr>
          </w:p>
          <w:p w14:paraId="3283F942" w14:textId="77777777" w:rsidR="002E42B9" w:rsidRDefault="004660F4" w:rsidP="00195A39">
            <w:pPr>
              <w:contextualSpacing/>
              <w:rPr>
                <w:sz w:val="20"/>
              </w:rPr>
            </w:pPr>
            <w:r>
              <w:rPr>
                <w:sz w:val="20"/>
              </w:rPr>
              <w:t>Based on this, there were no costs associated with the implementation of XRN544</w:t>
            </w:r>
            <w:r w:rsidR="00640061">
              <w:rPr>
                <w:sz w:val="20"/>
              </w:rPr>
              <w:t>3.</w:t>
            </w:r>
          </w:p>
          <w:p w14:paraId="2FD9A5A7" w14:textId="77777777" w:rsidR="002E42B9" w:rsidRDefault="002E42B9" w:rsidP="00195A39">
            <w:pPr>
              <w:contextualSpacing/>
              <w:rPr>
                <w:sz w:val="20"/>
              </w:rPr>
            </w:pPr>
          </w:p>
          <w:p w14:paraId="358DE754" w14:textId="3EF292B5" w:rsidR="004660F4" w:rsidRPr="004A7220" w:rsidRDefault="002E42B9" w:rsidP="00195A39">
            <w:pPr>
              <w:contextualSpacing/>
              <w:rPr>
                <w:sz w:val="20"/>
              </w:rPr>
            </w:pPr>
            <w:r>
              <w:rPr>
                <w:sz w:val="20"/>
              </w:rPr>
              <w:t>This CCR is to officially closedown XRN</w:t>
            </w:r>
            <w:r w:rsidR="00626D40">
              <w:rPr>
                <w:sz w:val="20"/>
              </w:rPr>
              <w:t>5443</w:t>
            </w:r>
            <w:r w:rsidR="00B14BB4">
              <w:rPr>
                <w:sz w:val="20"/>
              </w:rPr>
              <w:t xml:space="preserve"> following implementation. </w:t>
            </w:r>
          </w:p>
          <w:tbl>
            <w:tblPr>
              <w:tblStyle w:val="TableGrid1"/>
              <w:tblpPr w:leftFromText="180" w:rightFromText="180" w:vertAnchor="text" w:horzAnchor="margin" w:tblpY="117"/>
              <w:tblOverlap w:val="never"/>
              <w:tblW w:w="9493" w:type="dxa"/>
              <w:tblLayout w:type="fixed"/>
              <w:tblLook w:val="04A0" w:firstRow="1" w:lastRow="0" w:firstColumn="1" w:lastColumn="0" w:noHBand="0" w:noVBand="1"/>
            </w:tblPr>
            <w:tblGrid>
              <w:gridCol w:w="2972"/>
              <w:gridCol w:w="2693"/>
              <w:gridCol w:w="1843"/>
              <w:gridCol w:w="1985"/>
            </w:tblGrid>
            <w:tr w:rsidR="00231A0D" w:rsidRPr="00EA73B3" w14:paraId="7F0255C6" w14:textId="77777777" w:rsidTr="00231A0D">
              <w:tc>
                <w:tcPr>
                  <w:tcW w:w="2972" w:type="dxa"/>
                </w:tcPr>
                <w:p w14:paraId="0950EEA4" w14:textId="77777777" w:rsidR="00231A0D" w:rsidRPr="00EA73B3" w:rsidRDefault="00231A0D" w:rsidP="00231A0D">
                  <w:pPr>
                    <w:jc w:val="center"/>
                    <w:rPr>
                      <w:rFonts w:eastAsia="Times New Roman" w:cs="Arial"/>
                      <w:b/>
                      <w:sz w:val="20"/>
                      <w:szCs w:val="16"/>
                    </w:rPr>
                  </w:pPr>
                  <w:r w:rsidRPr="00EA73B3">
                    <w:rPr>
                      <w:rFonts w:eastAsia="Times New Roman" w:cs="Arial"/>
                      <w:b/>
                      <w:sz w:val="20"/>
                      <w:szCs w:val="16"/>
                    </w:rPr>
                    <w:t>Xoserve Service Area</w:t>
                  </w:r>
                </w:p>
              </w:tc>
              <w:tc>
                <w:tcPr>
                  <w:tcW w:w="2693" w:type="dxa"/>
                </w:tcPr>
                <w:p w14:paraId="00DFC7EC" w14:textId="77777777" w:rsidR="00231A0D" w:rsidRPr="00EA73B3" w:rsidRDefault="00231A0D" w:rsidP="00231A0D">
                  <w:pPr>
                    <w:jc w:val="center"/>
                    <w:rPr>
                      <w:rFonts w:eastAsia="Times New Roman" w:cs="Arial"/>
                      <w:b/>
                      <w:sz w:val="20"/>
                      <w:szCs w:val="16"/>
                    </w:rPr>
                  </w:pPr>
                  <w:r w:rsidRPr="00EA73B3">
                    <w:rPr>
                      <w:rFonts w:eastAsia="Times New Roman" w:cs="Arial"/>
                      <w:b/>
                      <w:sz w:val="20"/>
                      <w:szCs w:val="16"/>
                    </w:rPr>
                    <w:t>Xoserve Service Line</w:t>
                  </w:r>
                </w:p>
              </w:tc>
              <w:tc>
                <w:tcPr>
                  <w:tcW w:w="1843" w:type="dxa"/>
                </w:tcPr>
                <w:p w14:paraId="24056102" w14:textId="77777777" w:rsidR="00231A0D" w:rsidRPr="00EA73B3" w:rsidRDefault="00231A0D" w:rsidP="00231A0D">
                  <w:pPr>
                    <w:jc w:val="center"/>
                    <w:rPr>
                      <w:rFonts w:eastAsia="Times New Roman" w:cs="Arial"/>
                      <w:b/>
                      <w:sz w:val="20"/>
                      <w:szCs w:val="16"/>
                    </w:rPr>
                  </w:pPr>
                  <w:r w:rsidRPr="00EA73B3">
                    <w:rPr>
                      <w:rFonts w:eastAsia="Times New Roman" w:cs="Arial"/>
                      <w:b/>
                      <w:sz w:val="20"/>
                      <w:szCs w:val="16"/>
                    </w:rPr>
                    <w:t>(+/-) Projected Change in Annual Cost</w:t>
                  </w:r>
                </w:p>
              </w:tc>
              <w:tc>
                <w:tcPr>
                  <w:tcW w:w="1985" w:type="dxa"/>
                </w:tcPr>
                <w:p w14:paraId="7D674D03" w14:textId="77777777" w:rsidR="00231A0D" w:rsidRPr="00EA73B3" w:rsidRDefault="00231A0D" w:rsidP="00231A0D">
                  <w:pPr>
                    <w:jc w:val="center"/>
                    <w:rPr>
                      <w:rFonts w:eastAsia="Times New Roman" w:cs="Arial"/>
                      <w:b/>
                      <w:szCs w:val="16"/>
                    </w:rPr>
                  </w:pPr>
                  <w:r w:rsidRPr="00EA73B3">
                    <w:rPr>
                      <w:rFonts w:eastAsia="Times New Roman" w:cs="Arial"/>
                      <w:b/>
                      <w:szCs w:val="16"/>
                    </w:rPr>
                    <w:t>(+/</w:t>
                  </w:r>
                  <w:proofErr w:type="gramStart"/>
                  <w:r w:rsidRPr="00EA73B3">
                    <w:rPr>
                      <w:rFonts w:eastAsia="Times New Roman" w:cs="Arial"/>
                      <w:b/>
                      <w:szCs w:val="16"/>
                    </w:rPr>
                    <w:t>-)Actual</w:t>
                  </w:r>
                  <w:proofErr w:type="gramEnd"/>
                  <w:r w:rsidRPr="00EA73B3">
                    <w:rPr>
                      <w:rFonts w:eastAsia="Times New Roman" w:cs="Arial"/>
                      <w:b/>
                      <w:szCs w:val="16"/>
                    </w:rPr>
                    <w:t xml:space="preserve"> Change in Annual Cost </w:t>
                  </w:r>
                </w:p>
              </w:tc>
            </w:tr>
            <w:tr w:rsidR="00231A0D" w:rsidRPr="00EA73B3" w14:paraId="714F544F" w14:textId="77777777" w:rsidTr="00231A0D">
              <w:tc>
                <w:tcPr>
                  <w:tcW w:w="2972" w:type="dxa"/>
                  <w:vAlign w:val="center"/>
                </w:tcPr>
                <w:p w14:paraId="17A181E5" w14:textId="26F97A23" w:rsidR="00231A0D" w:rsidRPr="00EA73B3" w:rsidRDefault="000E5885" w:rsidP="00231A0D">
                  <w:pPr>
                    <w:jc w:val="center"/>
                    <w:rPr>
                      <w:rFonts w:eastAsia="Times New Roman" w:cs="Arial"/>
                      <w:sz w:val="20"/>
                      <w:szCs w:val="20"/>
                    </w:rPr>
                  </w:pPr>
                  <w:r w:rsidRPr="000E5885">
                    <w:rPr>
                      <w:rFonts w:eastAsia="Times New Roman" w:cs="Arial"/>
                      <w:sz w:val="20"/>
                      <w:szCs w:val="20"/>
                    </w:rPr>
                    <w:t>Service Area 8 - Energy Balancing (Credit Risk Management)</w:t>
                  </w:r>
                </w:p>
              </w:tc>
              <w:tc>
                <w:tcPr>
                  <w:tcW w:w="2693" w:type="dxa"/>
                  <w:vAlign w:val="center"/>
                </w:tcPr>
                <w:p w14:paraId="2A00F680" w14:textId="6AF8652C" w:rsidR="00231A0D" w:rsidRPr="00EA73B3" w:rsidRDefault="00292176" w:rsidP="00231A0D">
                  <w:pPr>
                    <w:jc w:val="center"/>
                    <w:rPr>
                      <w:rFonts w:eastAsia="Times New Roman" w:cs="Arial"/>
                      <w:sz w:val="20"/>
                      <w:szCs w:val="20"/>
                    </w:rPr>
                  </w:pPr>
                  <w:r>
                    <w:rPr>
                      <w:rFonts w:eastAsia="Times New Roman" w:cs="Arial"/>
                      <w:sz w:val="20"/>
                      <w:szCs w:val="20"/>
                    </w:rPr>
                    <w:t>TBC</w:t>
                  </w:r>
                </w:p>
              </w:tc>
              <w:tc>
                <w:tcPr>
                  <w:tcW w:w="1843" w:type="dxa"/>
                  <w:vAlign w:val="center"/>
                </w:tcPr>
                <w:p w14:paraId="01FD4AD8" w14:textId="6B392227" w:rsidR="00231A0D" w:rsidRPr="00EA73B3" w:rsidRDefault="00B17530" w:rsidP="00231A0D">
                  <w:pPr>
                    <w:jc w:val="center"/>
                    <w:rPr>
                      <w:rFonts w:eastAsia="Times New Roman" w:cs="Arial"/>
                      <w:sz w:val="20"/>
                      <w:szCs w:val="20"/>
                    </w:rPr>
                  </w:pPr>
                  <w:r>
                    <w:rPr>
                      <w:rFonts w:eastAsia="Times New Roman" w:cs="Arial"/>
                      <w:sz w:val="20"/>
                      <w:szCs w:val="20"/>
                    </w:rPr>
                    <w:t>0</w:t>
                  </w:r>
                </w:p>
              </w:tc>
              <w:tc>
                <w:tcPr>
                  <w:tcW w:w="1985" w:type="dxa"/>
                  <w:vAlign w:val="center"/>
                </w:tcPr>
                <w:p w14:paraId="6D2CF8BD" w14:textId="09E0355F" w:rsidR="00231A0D" w:rsidRPr="00EA73B3" w:rsidRDefault="00B17530" w:rsidP="00231A0D">
                  <w:pPr>
                    <w:jc w:val="center"/>
                    <w:rPr>
                      <w:rFonts w:eastAsia="Times New Roman" w:cs="Arial"/>
                      <w:sz w:val="20"/>
                      <w:szCs w:val="20"/>
                    </w:rPr>
                  </w:pPr>
                  <w:r>
                    <w:rPr>
                      <w:rFonts w:eastAsia="Times New Roman" w:cs="Arial"/>
                      <w:sz w:val="20"/>
                      <w:szCs w:val="20"/>
                    </w:rPr>
                    <w:t>0</w:t>
                  </w:r>
                </w:p>
              </w:tc>
            </w:tr>
          </w:tbl>
          <w:p w14:paraId="46430941" w14:textId="77777777" w:rsidR="00195A39" w:rsidRPr="00EA73B3" w:rsidRDefault="00195A39" w:rsidP="00195A39">
            <w:pPr>
              <w:contextualSpacing/>
              <w:rPr>
                <w:rFonts w:eastAsia="Times New Roman" w:cs="Arial"/>
                <w:i/>
                <w:iCs/>
                <w:color w:val="0070C0"/>
                <w:sz w:val="20"/>
                <w:szCs w:val="20"/>
              </w:rPr>
            </w:pPr>
          </w:p>
          <w:p w14:paraId="646B8C30" w14:textId="74CAE4AC" w:rsidR="00EA73B3" w:rsidRPr="00EA73B3" w:rsidRDefault="00EA73B3" w:rsidP="0A57A144">
            <w:pPr>
              <w:contextualSpacing/>
              <w:rPr>
                <w:rFonts w:eastAsia="Times New Roman" w:cs="Arial"/>
                <w:i/>
                <w:iCs/>
                <w:color w:val="0070C0"/>
                <w:sz w:val="20"/>
                <w:szCs w:val="20"/>
              </w:rPr>
            </w:pPr>
          </w:p>
        </w:tc>
      </w:tr>
      <w:tr w:rsidR="00EA73B3" w:rsidRPr="00EA73B3" w14:paraId="0C90DDA4" w14:textId="77777777" w:rsidTr="0A57A144">
        <w:tc>
          <w:tcPr>
            <w:tcW w:w="5000" w:type="pct"/>
            <w:gridSpan w:val="2"/>
            <w:tcBorders>
              <w:bottom w:val="single" w:sz="4" w:space="0" w:color="auto"/>
            </w:tcBorders>
            <w:shd w:val="clear" w:color="auto" w:fill="3E5AA8" w:themeFill="accent1"/>
            <w:vAlign w:val="center"/>
          </w:tcPr>
          <w:p w14:paraId="22D62687" w14:textId="77777777"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EA73B3" w:rsidRPr="00EA73B3" w14:paraId="45233572" w14:textId="77777777" w:rsidTr="0A57A144">
        <w:tc>
          <w:tcPr>
            <w:tcW w:w="5000" w:type="pct"/>
            <w:gridSpan w:val="2"/>
            <w:tcBorders>
              <w:bottom w:val="single" w:sz="4" w:space="0" w:color="auto"/>
            </w:tcBorders>
            <w:shd w:val="clear" w:color="auto" w:fill="FFFFFF" w:themeFill="background1"/>
          </w:tcPr>
          <w:tbl>
            <w:tblPr>
              <w:tblStyle w:val="TableGrid1"/>
              <w:tblpPr w:leftFromText="180" w:rightFromText="180" w:horzAnchor="margin" w:tblpY="310"/>
              <w:tblOverlap w:val="never"/>
              <w:tblW w:w="0" w:type="auto"/>
              <w:tblLayout w:type="fixed"/>
              <w:tblLook w:val="04A0" w:firstRow="1" w:lastRow="0" w:firstColumn="1" w:lastColumn="0" w:noHBand="0" w:noVBand="1"/>
            </w:tblPr>
            <w:tblGrid>
              <w:gridCol w:w="2547"/>
              <w:gridCol w:w="1417"/>
              <w:gridCol w:w="1729"/>
              <w:gridCol w:w="1532"/>
              <w:gridCol w:w="2264"/>
            </w:tblGrid>
            <w:tr w:rsidR="00EA73B3" w:rsidRPr="00EA73B3" w14:paraId="6E11255F" w14:textId="77777777" w:rsidTr="00231A0D">
              <w:tc>
                <w:tcPr>
                  <w:tcW w:w="2547"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938F36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F60815" w:rsidRPr="00EA73B3" w14:paraId="26F15468" w14:textId="77777777" w:rsidTr="00755455">
              <w:trPr>
                <w:trHeight w:val="227"/>
              </w:trPr>
              <w:tc>
                <w:tcPr>
                  <w:tcW w:w="2547" w:type="dxa"/>
                </w:tcPr>
                <w:p w14:paraId="22D3A938" w14:textId="0483FC10" w:rsidR="00F60815" w:rsidRPr="00EA73B3" w:rsidRDefault="00F60815" w:rsidP="00F60815">
                  <w:pPr>
                    <w:rPr>
                      <w:rFonts w:eastAsia="Times New Roman" w:cs="Arial"/>
                      <w:b/>
                      <w:bCs/>
                      <w:sz w:val="20"/>
                      <w:szCs w:val="20"/>
                    </w:rPr>
                  </w:pPr>
                  <w:r w:rsidRPr="0A57A144">
                    <w:rPr>
                      <w:rFonts w:eastAsia="Times New Roman" w:cs="Arial"/>
                      <w:b/>
                      <w:bCs/>
                      <w:sz w:val="20"/>
                      <w:szCs w:val="20"/>
                    </w:rPr>
                    <w:t>Shippers:</w:t>
                  </w:r>
                </w:p>
              </w:tc>
              <w:tc>
                <w:tcPr>
                  <w:tcW w:w="1417" w:type="dxa"/>
                  <w:vAlign w:val="center"/>
                </w:tcPr>
                <w:p w14:paraId="2D0F9EFD" w14:textId="6BB4B83F" w:rsidR="00F60815" w:rsidRPr="00EA73B3" w:rsidRDefault="00F60815" w:rsidP="00755455">
                  <w:pPr>
                    <w:jc w:val="center"/>
                    <w:rPr>
                      <w:rFonts w:eastAsia="Times New Roman" w:cs="Arial"/>
                      <w:sz w:val="20"/>
                      <w:szCs w:val="20"/>
                    </w:rPr>
                  </w:pPr>
                  <w:r>
                    <w:rPr>
                      <w:rFonts w:eastAsia="Times New Roman" w:cs="Arial"/>
                      <w:sz w:val="20"/>
                      <w:szCs w:val="20"/>
                    </w:rPr>
                    <w:t>0%</w:t>
                  </w:r>
                </w:p>
              </w:tc>
              <w:tc>
                <w:tcPr>
                  <w:tcW w:w="1729" w:type="dxa"/>
                  <w:vAlign w:val="center"/>
                </w:tcPr>
                <w:p w14:paraId="4B531AFD" w14:textId="2CA44730" w:rsidR="00F60815" w:rsidRPr="00EA73B3" w:rsidRDefault="00F60815" w:rsidP="00755455">
                  <w:pPr>
                    <w:jc w:val="center"/>
                    <w:rPr>
                      <w:rFonts w:eastAsia="Times New Roman" w:cs="Arial"/>
                      <w:sz w:val="20"/>
                      <w:szCs w:val="20"/>
                    </w:rPr>
                  </w:pPr>
                  <w:r>
                    <w:rPr>
                      <w:rFonts w:eastAsia="Times New Roman" w:cs="Arial"/>
                      <w:sz w:val="20"/>
                      <w:szCs w:val="20"/>
                    </w:rPr>
                    <w:t>0</w:t>
                  </w:r>
                  <w:r w:rsidR="00755455">
                    <w:rPr>
                      <w:rFonts w:eastAsia="Times New Roman" w:cs="Arial"/>
                      <w:sz w:val="20"/>
                      <w:szCs w:val="20"/>
                    </w:rPr>
                    <w:t>%</w:t>
                  </w:r>
                </w:p>
              </w:tc>
              <w:tc>
                <w:tcPr>
                  <w:tcW w:w="1532" w:type="dxa"/>
                  <w:vAlign w:val="center"/>
                </w:tcPr>
                <w:p w14:paraId="4E3F35E6" w14:textId="5FAE4E5E" w:rsidR="00F60815" w:rsidRPr="00EA73B3" w:rsidRDefault="00F60815" w:rsidP="00F60815">
                  <w:pPr>
                    <w:jc w:val="center"/>
                    <w:rPr>
                      <w:rFonts w:eastAsia="Times New Roman" w:cs="Arial"/>
                      <w:sz w:val="20"/>
                      <w:szCs w:val="20"/>
                    </w:rPr>
                  </w:pPr>
                  <w:r>
                    <w:rPr>
                      <w:rFonts w:eastAsia="Times New Roman" w:cs="Arial"/>
                      <w:sz w:val="20"/>
                      <w:szCs w:val="20"/>
                    </w:rPr>
                    <w:t>n/a</w:t>
                  </w:r>
                </w:p>
              </w:tc>
              <w:tc>
                <w:tcPr>
                  <w:tcW w:w="2264" w:type="dxa"/>
                  <w:vAlign w:val="center"/>
                </w:tcPr>
                <w:p w14:paraId="6A039829" w14:textId="55056B66" w:rsidR="00F60815" w:rsidRPr="00EA73B3" w:rsidRDefault="00F60815" w:rsidP="00F60815">
                  <w:pPr>
                    <w:jc w:val="center"/>
                    <w:rPr>
                      <w:rFonts w:eastAsia="Times New Roman" w:cs="Arial"/>
                      <w:sz w:val="20"/>
                      <w:szCs w:val="20"/>
                    </w:rPr>
                  </w:pPr>
                  <w:r>
                    <w:rPr>
                      <w:rFonts w:eastAsia="Times New Roman" w:cs="Arial"/>
                      <w:sz w:val="20"/>
                      <w:szCs w:val="20"/>
                    </w:rPr>
                    <w:t>n/a</w:t>
                  </w:r>
                </w:p>
              </w:tc>
            </w:tr>
            <w:tr w:rsidR="00F60815" w:rsidRPr="00EA73B3" w14:paraId="199F5DC6" w14:textId="77777777" w:rsidTr="00231A0D">
              <w:tc>
                <w:tcPr>
                  <w:tcW w:w="2547" w:type="dxa"/>
                </w:tcPr>
                <w:p w14:paraId="133FE8C2" w14:textId="77777777" w:rsidR="00F60815" w:rsidRPr="00EA73B3" w:rsidRDefault="00F60815" w:rsidP="00F60815">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576EEDA2" w:rsidR="00F60815" w:rsidRPr="00EA73B3" w:rsidRDefault="00F60815" w:rsidP="00F60815">
                  <w:pPr>
                    <w:jc w:val="center"/>
                    <w:rPr>
                      <w:rFonts w:eastAsia="Times New Roman" w:cs="Arial"/>
                      <w:sz w:val="20"/>
                      <w:szCs w:val="20"/>
                    </w:rPr>
                  </w:pPr>
                  <w:r>
                    <w:rPr>
                      <w:rFonts w:eastAsia="Times New Roman" w:cs="Arial"/>
                      <w:sz w:val="20"/>
                      <w:szCs w:val="20"/>
                    </w:rPr>
                    <w:t>0%</w:t>
                  </w:r>
                </w:p>
              </w:tc>
              <w:tc>
                <w:tcPr>
                  <w:tcW w:w="1729" w:type="dxa"/>
                  <w:vAlign w:val="center"/>
                </w:tcPr>
                <w:p w14:paraId="12A63D92" w14:textId="690BBD4B" w:rsidR="00F60815" w:rsidRPr="00EA73B3" w:rsidRDefault="00F60815" w:rsidP="00F60815">
                  <w:pPr>
                    <w:jc w:val="center"/>
                    <w:rPr>
                      <w:rFonts w:eastAsia="Times New Roman" w:cs="Arial"/>
                      <w:sz w:val="20"/>
                      <w:szCs w:val="20"/>
                    </w:rPr>
                  </w:pPr>
                  <w:r>
                    <w:rPr>
                      <w:rFonts w:eastAsia="Times New Roman" w:cs="Arial"/>
                      <w:sz w:val="20"/>
                      <w:szCs w:val="20"/>
                    </w:rPr>
                    <w:t>0%</w:t>
                  </w:r>
                </w:p>
              </w:tc>
              <w:tc>
                <w:tcPr>
                  <w:tcW w:w="1532" w:type="dxa"/>
                  <w:vAlign w:val="center"/>
                </w:tcPr>
                <w:p w14:paraId="0E94C84F" w14:textId="5137472D" w:rsidR="00F60815" w:rsidRPr="00EA73B3" w:rsidRDefault="00F60815" w:rsidP="00F60815">
                  <w:pPr>
                    <w:jc w:val="center"/>
                    <w:rPr>
                      <w:rFonts w:eastAsia="Times New Roman" w:cs="Arial"/>
                      <w:sz w:val="20"/>
                      <w:szCs w:val="20"/>
                    </w:rPr>
                  </w:pPr>
                  <w:r>
                    <w:rPr>
                      <w:rFonts w:eastAsia="Times New Roman" w:cs="Arial"/>
                      <w:sz w:val="20"/>
                      <w:szCs w:val="20"/>
                    </w:rPr>
                    <w:t>n/a</w:t>
                  </w:r>
                </w:p>
              </w:tc>
              <w:tc>
                <w:tcPr>
                  <w:tcW w:w="2264" w:type="dxa"/>
                  <w:vAlign w:val="center"/>
                </w:tcPr>
                <w:p w14:paraId="7CD53000" w14:textId="4BF6160D" w:rsidR="00F60815" w:rsidRPr="00EA73B3" w:rsidRDefault="00F60815" w:rsidP="00F60815">
                  <w:pPr>
                    <w:jc w:val="center"/>
                    <w:rPr>
                      <w:rFonts w:eastAsia="Times New Roman" w:cs="Arial"/>
                      <w:sz w:val="20"/>
                      <w:szCs w:val="20"/>
                    </w:rPr>
                  </w:pPr>
                  <w:r>
                    <w:rPr>
                      <w:rFonts w:eastAsia="Times New Roman" w:cs="Arial"/>
                      <w:sz w:val="20"/>
                      <w:szCs w:val="20"/>
                    </w:rPr>
                    <w:t>n/a</w:t>
                  </w:r>
                </w:p>
              </w:tc>
            </w:tr>
            <w:tr w:rsidR="00F60815" w:rsidRPr="00EA73B3" w14:paraId="634F441F" w14:textId="77777777" w:rsidTr="00231A0D">
              <w:tc>
                <w:tcPr>
                  <w:tcW w:w="2547" w:type="dxa"/>
                </w:tcPr>
                <w:p w14:paraId="11DD2C74" w14:textId="77777777" w:rsidR="00F60815" w:rsidRPr="00EA73B3" w:rsidRDefault="00F60815" w:rsidP="00F60815">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58698D7D" w:rsidR="00F60815" w:rsidRPr="00EA73B3" w:rsidRDefault="00F60815" w:rsidP="00F60815">
                  <w:pPr>
                    <w:jc w:val="center"/>
                    <w:rPr>
                      <w:rFonts w:eastAsia="Times New Roman" w:cs="Arial"/>
                      <w:sz w:val="20"/>
                      <w:szCs w:val="20"/>
                    </w:rPr>
                  </w:pPr>
                  <w:r>
                    <w:rPr>
                      <w:rFonts w:eastAsia="Times New Roman" w:cs="Arial"/>
                      <w:sz w:val="20"/>
                      <w:szCs w:val="20"/>
                    </w:rPr>
                    <w:t>0%</w:t>
                  </w:r>
                </w:p>
              </w:tc>
              <w:tc>
                <w:tcPr>
                  <w:tcW w:w="1729" w:type="dxa"/>
                  <w:vAlign w:val="center"/>
                </w:tcPr>
                <w:p w14:paraId="13C064A1" w14:textId="0269CB7A" w:rsidR="00F60815" w:rsidRPr="00EA73B3" w:rsidRDefault="00F60815" w:rsidP="00F60815">
                  <w:pPr>
                    <w:jc w:val="center"/>
                    <w:rPr>
                      <w:rFonts w:eastAsia="Times New Roman" w:cs="Arial"/>
                      <w:sz w:val="20"/>
                      <w:szCs w:val="20"/>
                    </w:rPr>
                  </w:pPr>
                  <w:r>
                    <w:rPr>
                      <w:rFonts w:eastAsia="Times New Roman" w:cs="Arial"/>
                      <w:sz w:val="20"/>
                      <w:szCs w:val="20"/>
                    </w:rPr>
                    <w:t>0%</w:t>
                  </w:r>
                </w:p>
              </w:tc>
              <w:tc>
                <w:tcPr>
                  <w:tcW w:w="1532" w:type="dxa"/>
                  <w:vAlign w:val="center"/>
                </w:tcPr>
                <w:p w14:paraId="56E130A8" w14:textId="28CBCCF1" w:rsidR="00F60815" w:rsidRPr="00EA73B3" w:rsidRDefault="00F60815" w:rsidP="00F60815">
                  <w:pPr>
                    <w:jc w:val="center"/>
                    <w:rPr>
                      <w:rFonts w:eastAsia="Times New Roman" w:cs="Arial"/>
                      <w:sz w:val="20"/>
                      <w:szCs w:val="20"/>
                    </w:rPr>
                  </w:pPr>
                  <w:r>
                    <w:rPr>
                      <w:rFonts w:eastAsia="Times New Roman" w:cs="Arial"/>
                      <w:sz w:val="20"/>
                      <w:szCs w:val="20"/>
                    </w:rPr>
                    <w:t>n/a</w:t>
                  </w:r>
                </w:p>
              </w:tc>
              <w:tc>
                <w:tcPr>
                  <w:tcW w:w="2264" w:type="dxa"/>
                  <w:vAlign w:val="center"/>
                </w:tcPr>
                <w:p w14:paraId="18147167" w14:textId="3AB8BD13" w:rsidR="00F60815" w:rsidRPr="00EA73B3" w:rsidRDefault="00F60815" w:rsidP="00F60815">
                  <w:pPr>
                    <w:jc w:val="center"/>
                    <w:rPr>
                      <w:rFonts w:eastAsia="Times New Roman" w:cs="Arial"/>
                      <w:sz w:val="20"/>
                      <w:szCs w:val="20"/>
                    </w:rPr>
                  </w:pPr>
                  <w:r>
                    <w:rPr>
                      <w:rFonts w:eastAsia="Times New Roman" w:cs="Arial"/>
                      <w:sz w:val="20"/>
                      <w:szCs w:val="20"/>
                    </w:rPr>
                    <w:t>n/a</w:t>
                  </w:r>
                </w:p>
              </w:tc>
            </w:tr>
            <w:tr w:rsidR="00F60815" w:rsidRPr="00EA73B3" w14:paraId="66A0BF97" w14:textId="77777777" w:rsidTr="00231A0D">
              <w:tc>
                <w:tcPr>
                  <w:tcW w:w="2547" w:type="dxa"/>
                </w:tcPr>
                <w:p w14:paraId="72F552F1" w14:textId="2C00D772" w:rsidR="00F60815" w:rsidRPr="00EA73B3" w:rsidRDefault="00F60815" w:rsidP="00F60815">
                  <w:pPr>
                    <w:rPr>
                      <w:rFonts w:eastAsia="Times New Roman" w:cs="Arial"/>
                      <w:b/>
                      <w:sz w:val="20"/>
                      <w:szCs w:val="20"/>
                    </w:rPr>
                  </w:pPr>
                  <w:r>
                    <w:rPr>
                      <w:rFonts w:eastAsia="Times New Roman" w:cs="Arial"/>
                      <w:b/>
                      <w:sz w:val="20"/>
                      <w:szCs w:val="20"/>
                    </w:rPr>
                    <w:t>NGG</w:t>
                  </w:r>
                </w:p>
              </w:tc>
              <w:tc>
                <w:tcPr>
                  <w:tcW w:w="1417" w:type="dxa"/>
                  <w:vAlign w:val="center"/>
                </w:tcPr>
                <w:p w14:paraId="487BE727" w14:textId="58A1E2AB" w:rsidR="00F60815" w:rsidRPr="00EA73B3" w:rsidRDefault="00F60815" w:rsidP="00F60815">
                  <w:pPr>
                    <w:jc w:val="center"/>
                    <w:rPr>
                      <w:rFonts w:eastAsia="Times New Roman" w:cs="Arial"/>
                      <w:sz w:val="20"/>
                      <w:szCs w:val="20"/>
                    </w:rPr>
                  </w:pPr>
                  <w:r>
                    <w:rPr>
                      <w:rFonts w:eastAsia="Times New Roman" w:cs="Arial"/>
                      <w:sz w:val="20"/>
                      <w:szCs w:val="20"/>
                    </w:rPr>
                    <w:t>100%</w:t>
                  </w:r>
                </w:p>
              </w:tc>
              <w:tc>
                <w:tcPr>
                  <w:tcW w:w="1729" w:type="dxa"/>
                  <w:vAlign w:val="center"/>
                </w:tcPr>
                <w:p w14:paraId="545FA9E5" w14:textId="2FAFCA02" w:rsidR="00F60815" w:rsidRPr="00EA73B3" w:rsidRDefault="00F60815" w:rsidP="00F60815">
                  <w:pPr>
                    <w:jc w:val="center"/>
                    <w:rPr>
                      <w:rFonts w:eastAsia="Times New Roman" w:cs="Arial"/>
                      <w:sz w:val="20"/>
                      <w:szCs w:val="20"/>
                    </w:rPr>
                  </w:pPr>
                  <w:r>
                    <w:rPr>
                      <w:rFonts w:eastAsia="Times New Roman" w:cs="Arial"/>
                      <w:sz w:val="20"/>
                      <w:szCs w:val="20"/>
                    </w:rPr>
                    <w:t>100%</w:t>
                  </w:r>
                </w:p>
              </w:tc>
              <w:tc>
                <w:tcPr>
                  <w:tcW w:w="1532" w:type="dxa"/>
                  <w:vAlign w:val="center"/>
                </w:tcPr>
                <w:p w14:paraId="75059127" w14:textId="2D87AC2E" w:rsidR="00F60815" w:rsidRPr="00EA73B3" w:rsidRDefault="00F60815" w:rsidP="00F60815">
                  <w:pPr>
                    <w:jc w:val="center"/>
                    <w:rPr>
                      <w:rFonts w:eastAsia="Times New Roman" w:cs="Arial"/>
                      <w:sz w:val="20"/>
                      <w:szCs w:val="20"/>
                    </w:rPr>
                  </w:pPr>
                  <w:r>
                    <w:rPr>
                      <w:rFonts w:eastAsia="Times New Roman" w:cs="Arial"/>
                      <w:sz w:val="20"/>
                      <w:szCs w:val="20"/>
                    </w:rPr>
                    <w:t>£0.00</w:t>
                  </w:r>
                </w:p>
              </w:tc>
              <w:tc>
                <w:tcPr>
                  <w:tcW w:w="2264" w:type="dxa"/>
                  <w:vAlign w:val="center"/>
                </w:tcPr>
                <w:p w14:paraId="719E72A3" w14:textId="5C3A5F43" w:rsidR="00F60815" w:rsidRPr="00EA73B3" w:rsidRDefault="00F60815" w:rsidP="00F60815">
                  <w:pPr>
                    <w:jc w:val="center"/>
                    <w:rPr>
                      <w:rFonts w:eastAsia="Times New Roman" w:cs="Arial"/>
                      <w:sz w:val="20"/>
                      <w:szCs w:val="20"/>
                    </w:rPr>
                  </w:pPr>
                  <w:r>
                    <w:rPr>
                      <w:rFonts w:eastAsia="Times New Roman" w:cs="Arial"/>
                      <w:sz w:val="20"/>
                      <w:szCs w:val="20"/>
                    </w:rPr>
                    <w:t>£0.00</w:t>
                  </w:r>
                </w:p>
              </w:tc>
            </w:tr>
            <w:tr w:rsidR="00F60815" w:rsidRPr="00EA73B3" w14:paraId="620BFD5F" w14:textId="77777777" w:rsidTr="00F60815">
              <w:trPr>
                <w:trHeight w:val="50"/>
              </w:trPr>
              <w:tc>
                <w:tcPr>
                  <w:tcW w:w="2547" w:type="dxa"/>
                </w:tcPr>
                <w:p w14:paraId="3FE2DEBE" w14:textId="77777777" w:rsidR="00F60815" w:rsidRPr="00EA73B3" w:rsidRDefault="00F60815" w:rsidP="00F60815">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7D880586" w14:textId="670D766D" w:rsidR="00F60815" w:rsidRPr="00EA73B3" w:rsidRDefault="00F60815" w:rsidP="00F60815">
                  <w:pPr>
                    <w:jc w:val="center"/>
                    <w:rPr>
                      <w:rFonts w:eastAsia="Times New Roman" w:cs="Arial"/>
                      <w:sz w:val="20"/>
                      <w:szCs w:val="20"/>
                    </w:rPr>
                  </w:pPr>
                  <w:r>
                    <w:rPr>
                      <w:rFonts w:eastAsia="Times New Roman" w:cs="Arial"/>
                      <w:sz w:val="20"/>
                      <w:szCs w:val="20"/>
                    </w:rPr>
                    <w:t>0%</w:t>
                  </w:r>
                </w:p>
              </w:tc>
              <w:tc>
                <w:tcPr>
                  <w:tcW w:w="1729" w:type="dxa"/>
                  <w:vAlign w:val="center"/>
                </w:tcPr>
                <w:p w14:paraId="6648D219" w14:textId="05E57B89" w:rsidR="00F60815" w:rsidRPr="00EA73B3" w:rsidRDefault="00F60815" w:rsidP="00F60815">
                  <w:pPr>
                    <w:jc w:val="center"/>
                    <w:rPr>
                      <w:rFonts w:eastAsia="Times New Roman" w:cs="Arial"/>
                      <w:sz w:val="20"/>
                      <w:szCs w:val="20"/>
                    </w:rPr>
                  </w:pPr>
                  <w:r>
                    <w:rPr>
                      <w:rFonts w:eastAsia="Times New Roman" w:cs="Arial"/>
                      <w:sz w:val="20"/>
                      <w:szCs w:val="20"/>
                    </w:rPr>
                    <w:t>0%</w:t>
                  </w:r>
                </w:p>
              </w:tc>
              <w:tc>
                <w:tcPr>
                  <w:tcW w:w="1532" w:type="dxa"/>
                  <w:vAlign w:val="center"/>
                </w:tcPr>
                <w:p w14:paraId="12B102FE" w14:textId="5646726A" w:rsidR="00F60815" w:rsidRPr="00EA73B3" w:rsidRDefault="00F60815" w:rsidP="00F60815">
                  <w:pPr>
                    <w:jc w:val="center"/>
                    <w:rPr>
                      <w:rFonts w:eastAsia="Times New Roman" w:cs="Arial"/>
                      <w:sz w:val="20"/>
                      <w:szCs w:val="20"/>
                    </w:rPr>
                  </w:pPr>
                  <w:r>
                    <w:rPr>
                      <w:rFonts w:eastAsia="Times New Roman" w:cs="Arial"/>
                      <w:sz w:val="20"/>
                      <w:szCs w:val="20"/>
                    </w:rPr>
                    <w:t>n/a</w:t>
                  </w:r>
                </w:p>
              </w:tc>
              <w:tc>
                <w:tcPr>
                  <w:tcW w:w="2264" w:type="dxa"/>
                  <w:vAlign w:val="center"/>
                </w:tcPr>
                <w:p w14:paraId="2BCC920E" w14:textId="4665739E" w:rsidR="00F60815" w:rsidRPr="00EA73B3" w:rsidRDefault="00F60815" w:rsidP="00F60815">
                  <w:pPr>
                    <w:jc w:val="center"/>
                    <w:rPr>
                      <w:rFonts w:eastAsia="Times New Roman" w:cs="Arial"/>
                      <w:sz w:val="20"/>
                      <w:szCs w:val="20"/>
                    </w:rPr>
                  </w:pPr>
                  <w:r>
                    <w:rPr>
                      <w:rFonts w:eastAsia="Times New Roman" w:cs="Arial"/>
                      <w:sz w:val="20"/>
                      <w:szCs w:val="20"/>
                    </w:rPr>
                    <w:t>n/a</w:t>
                  </w:r>
                </w:p>
              </w:tc>
            </w:tr>
          </w:tbl>
          <w:p w14:paraId="1D3B5A81" w14:textId="77777777" w:rsidR="00EA73B3" w:rsidRDefault="00EA73B3" w:rsidP="00EA73B3">
            <w:pPr>
              <w:contextualSpacing/>
              <w:rPr>
                <w:rFonts w:eastAsia="Times New Roman" w:cs="Arial"/>
                <w:b/>
                <w:i/>
                <w:sz w:val="20"/>
                <w:szCs w:val="20"/>
              </w:rPr>
            </w:pPr>
          </w:p>
          <w:p w14:paraId="3195B79F" w14:textId="77777777" w:rsidR="00231A0D" w:rsidRDefault="00231A0D" w:rsidP="00EA73B3">
            <w:pPr>
              <w:contextualSpacing/>
              <w:rPr>
                <w:rFonts w:eastAsia="Times New Roman" w:cs="Arial"/>
                <w:b/>
                <w:i/>
                <w:sz w:val="20"/>
                <w:szCs w:val="20"/>
              </w:rPr>
            </w:pPr>
          </w:p>
          <w:p w14:paraId="1672974D" w14:textId="4A837E6B" w:rsidR="00231A0D" w:rsidRPr="00EA73B3" w:rsidRDefault="00231A0D" w:rsidP="00EA73B3">
            <w:pPr>
              <w:contextualSpacing/>
              <w:rPr>
                <w:rFonts w:eastAsia="Times New Roman" w:cs="Arial"/>
                <w:b/>
                <w:i/>
                <w:sz w:val="20"/>
                <w:szCs w:val="20"/>
              </w:rPr>
            </w:pPr>
          </w:p>
        </w:tc>
      </w:tr>
      <w:tr w:rsidR="00EA73B3" w:rsidRPr="00EA73B3" w14:paraId="3A67F60A" w14:textId="77777777" w:rsidTr="0A57A144">
        <w:tc>
          <w:tcPr>
            <w:tcW w:w="5000"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lastRenderedPageBreak/>
              <w:t>Section 3: Provide a summary of any agreed scope changes</w:t>
            </w:r>
          </w:p>
        </w:tc>
      </w:tr>
      <w:tr w:rsidR="00EA73B3" w:rsidRPr="00EA73B3" w14:paraId="373C6975" w14:textId="77777777" w:rsidTr="0A57A144">
        <w:tc>
          <w:tcPr>
            <w:tcW w:w="5000" w:type="pct"/>
            <w:gridSpan w:val="2"/>
            <w:tcBorders>
              <w:bottom w:val="single" w:sz="4" w:space="0" w:color="auto"/>
            </w:tcBorders>
            <w:shd w:val="clear" w:color="auto" w:fill="FFFFFF" w:themeFill="background1"/>
            <w:vAlign w:val="center"/>
          </w:tcPr>
          <w:p w14:paraId="4156BA78" w14:textId="02C7BA69" w:rsidR="00EA73B3" w:rsidRPr="00EA73B3" w:rsidRDefault="001D5F60" w:rsidP="0A57A144">
            <w:pPr>
              <w:spacing w:line="276" w:lineRule="auto"/>
              <w:contextualSpacing/>
              <w:rPr>
                <w:rFonts w:eastAsia="Times New Roman" w:cs="Arial"/>
                <w:sz w:val="20"/>
                <w:szCs w:val="20"/>
              </w:rPr>
            </w:pPr>
            <w:r>
              <w:rPr>
                <w:rFonts w:eastAsia="Times New Roman" w:cs="Arial"/>
                <w:sz w:val="20"/>
                <w:szCs w:val="20"/>
              </w:rPr>
              <w:t>n/a</w:t>
            </w:r>
          </w:p>
        </w:tc>
      </w:tr>
      <w:tr w:rsidR="00EA73B3" w:rsidRPr="00EA73B3" w14:paraId="44DCE113" w14:textId="77777777" w:rsidTr="0A57A144">
        <w:tc>
          <w:tcPr>
            <w:tcW w:w="5000"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A57A144">
        <w:tc>
          <w:tcPr>
            <w:tcW w:w="5000" w:type="pct"/>
            <w:gridSpan w:val="2"/>
            <w:shd w:val="clear" w:color="auto" w:fill="auto"/>
          </w:tcPr>
          <w:p w14:paraId="46992048" w14:textId="5261B6A2" w:rsidR="00EA73B3" w:rsidRPr="004C39ED" w:rsidRDefault="00D93F8D" w:rsidP="00195A39">
            <w:pPr>
              <w:rPr>
                <w:rFonts w:eastAsia="Times New Roman" w:cs="Arial"/>
                <w:sz w:val="20"/>
                <w:szCs w:val="16"/>
              </w:rPr>
            </w:pPr>
            <w:r w:rsidRPr="004C39ED">
              <w:rPr>
                <w:rFonts w:eastAsia="Times New Roman" w:cs="Arial"/>
                <w:sz w:val="20"/>
                <w:szCs w:val="16"/>
              </w:rPr>
              <w:t>A new Service Line will be implemented for this change. It will be under Service Area 8 – Energy Balancing (Credit Risk Management)</w:t>
            </w:r>
            <w:r w:rsidR="004C39ED" w:rsidRPr="004C39ED">
              <w:rPr>
                <w:rFonts w:eastAsia="Times New Roman" w:cs="Arial"/>
                <w:sz w:val="20"/>
                <w:szCs w:val="16"/>
              </w:rPr>
              <w:t xml:space="preserve">. </w:t>
            </w:r>
            <w:r w:rsidR="006F44E8">
              <w:rPr>
                <w:rFonts w:eastAsia="Times New Roman" w:cs="Arial"/>
                <w:sz w:val="20"/>
                <w:szCs w:val="16"/>
              </w:rPr>
              <w:t xml:space="preserve"> </w:t>
            </w:r>
          </w:p>
        </w:tc>
      </w:tr>
      <w:tr w:rsidR="00EA73B3" w:rsidRPr="00EA73B3" w14:paraId="6EF7276F" w14:textId="77777777" w:rsidTr="0A57A144">
        <w:tc>
          <w:tcPr>
            <w:tcW w:w="5000"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A57A144">
        <w:tc>
          <w:tcPr>
            <w:tcW w:w="5000" w:type="pct"/>
            <w:gridSpan w:val="2"/>
            <w:shd w:val="clear" w:color="auto" w:fill="auto"/>
          </w:tcPr>
          <w:p w14:paraId="1AB0B5C7" w14:textId="35DFC8C3" w:rsidR="00EA73B3" w:rsidRPr="00EA73B3" w:rsidRDefault="004C39ED" w:rsidP="0A57A144">
            <w:pPr>
              <w:spacing w:line="276" w:lineRule="auto"/>
              <w:contextualSpacing/>
              <w:rPr>
                <w:rFonts w:eastAsia="Times New Roman" w:cs="Arial"/>
                <w:b/>
                <w:color w:val="FF0000"/>
                <w:szCs w:val="16"/>
              </w:rPr>
            </w:pPr>
            <w:r w:rsidRPr="004C39ED">
              <w:rPr>
                <w:rFonts w:eastAsia="Times New Roman" w:cs="Arial"/>
                <w:sz w:val="20"/>
                <w:szCs w:val="20"/>
              </w:rPr>
              <w:t>n/a</w:t>
            </w:r>
          </w:p>
        </w:tc>
      </w:tr>
      <w:tr w:rsidR="00EA73B3" w:rsidRPr="00EA73B3" w14:paraId="7D853ABD" w14:textId="77777777" w:rsidTr="0A57A144">
        <w:tc>
          <w:tcPr>
            <w:tcW w:w="5000" w:type="pct"/>
            <w:gridSpan w:val="2"/>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00F240A">
        <w:trPr>
          <w:trHeight w:val="270"/>
        </w:trPr>
        <w:tc>
          <w:tcPr>
            <w:tcW w:w="5000" w:type="pct"/>
            <w:gridSpan w:val="2"/>
            <w:shd w:val="clear" w:color="auto" w:fill="auto"/>
          </w:tcPr>
          <w:p w14:paraId="7B2B5B58" w14:textId="7A8F3F3E" w:rsidR="00EA73B3" w:rsidRPr="004C39ED" w:rsidRDefault="004C39ED" w:rsidP="004C39ED">
            <w:pPr>
              <w:spacing w:line="276" w:lineRule="auto"/>
              <w:contextualSpacing/>
              <w:rPr>
                <w:rFonts w:eastAsia="Times New Roman" w:cs="Arial"/>
                <w:sz w:val="20"/>
                <w:szCs w:val="20"/>
              </w:rPr>
            </w:pPr>
            <w:r w:rsidRPr="004C39ED">
              <w:rPr>
                <w:rFonts w:eastAsia="Times New Roman" w:cs="Arial"/>
                <w:sz w:val="20"/>
                <w:szCs w:val="20"/>
              </w:rPr>
              <w:t>n/a</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1"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3208E80C" w14:textId="77777777" w:rsidTr="0A57A144">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A57A144">
        <w:tc>
          <w:tcPr>
            <w:tcW w:w="902" w:type="pct"/>
          </w:tcPr>
          <w:p w14:paraId="1ABADCE5" w14:textId="1237AB7E" w:rsidR="00EA73B3" w:rsidRPr="00EA73B3" w:rsidRDefault="005A595A" w:rsidP="0A57A144">
            <w:pPr>
              <w:jc w:val="center"/>
              <w:rPr>
                <w:rFonts w:eastAsia="Times New Roman" w:cs="Arial"/>
                <w:sz w:val="20"/>
                <w:szCs w:val="20"/>
              </w:rPr>
            </w:pPr>
            <w:r>
              <w:rPr>
                <w:rFonts w:eastAsia="Times New Roman" w:cs="Arial"/>
                <w:sz w:val="20"/>
                <w:szCs w:val="20"/>
              </w:rPr>
              <w:t>1.0</w:t>
            </w:r>
          </w:p>
        </w:tc>
        <w:tc>
          <w:tcPr>
            <w:tcW w:w="835" w:type="pct"/>
          </w:tcPr>
          <w:p w14:paraId="0DB8F594" w14:textId="0A3C12F2" w:rsidR="00EA73B3" w:rsidRPr="00EA73B3" w:rsidRDefault="005A595A" w:rsidP="0A57A144">
            <w:pPr>
              <w:jc w:val="center"/>
              <w:rPr>
                <w:rFonts w:eastAsia="Times New Roman" w:cs="Arial"/>
                <w:sz w:val="20"/>
                <w:szCs w:val="20"/>
              </w:rPr>
            </w:pPr>
            <w:r>
              <w:rPr>
                <w:rFonts w:eastAsia="Times New Roman" w:cs="Arial"/>
                <w:sz w:val="20"/>
                <w:szCs w:val="20"/>
              </w:rPr>
              <w:t>For Approval</w:t>
            </w:r>
          </w:p>
        </w:tc>
        <w:tc>
          <w:tcPr>
            <w:tcW w:w="556" w:type="pct"/>
          </w:tcPr>
          <w:p w14:paraId="0BB1E953" w14:textId="12E2EAFB" w:rsidR="00EA73B3" w:rsidRPr="00EA73B3" w:rsidRDefault="005A595A" w:rsidP="0A57A144">
            <w:pPr>
              <w:jc w:val="center"/>
              <w:rPr>
                <w:rFonts w:eastAsia="Times New Roman" w:cs="Arial"/>
                <w:sz w:val="20"/>
                <w:szCs w:val="20"/>
              </w:rPr>
            </w:pPr>
            <w:r>
              <w:rPr>
                <w:rFonts w:eastAsia="Times New Roman" w:cs="Arial"/>
                <w:sz w:val="20"/>
                <w:szCs w:val="20"/>
              </w:rPr>
              <w:t>24/01</w:t>
            </w:r>
            <w:r w:rsidR="000F240A">
              <w:rPr>
                <w:rFonts w:eastAsia="Times New Roman" w:cs="Arial"/>
                <w:sz w:val="20"/>
                <w:szCs w:val="20"/>
              </w:rPr>
              <w:t>/22</w:t>
            </w:r>
          </w:p>
        </w:tc>
        <w:tc>
          <w:tcPr>
            <w:tcW w:w="763" w:type="pct"/>
          </w:tcPr>
          <w:p w14:paraId="4350D9F9" w14:textId="634CD10D" w:rsidR="00EA73B3" w:rsidRPr="00EA73B3" w:rsidRDefault="000F240A" w:rsidP="0A57A144">
            <w:pPr>
              <w:jc w:val="center"/>
              <w:rPr>
                <w:rFonts w:eastAsia="Times New Roman" w:cs="Arial"/>
                <w:sz w:val="20"/>
                <w:szCs w:val="20"/>
              </w:rPr>
            </w:pPr>
            <w:r>
              <w:rPr>
                <w:rFonts w:eastAsia="Times New Roman" w:cs="Arial"/>
                <w:sz w:val="20"/>
                <w:szCs w:val="20"/>
              </w:rPr>
              <w:t>Ellie Rogers</w:t>
            </w:r>
          </w:p>
        </w:tc>
        <w:tc>
          <w:tcPr>
            <w:tcW w:w="1944" w:type="pct"/>
          </w:tcPr>
          <w:p w14:paraId="0FC70C39" w14:textId="54336396" w:rsidR="00EA73B3" w:rsidRPr="00EA73B3" w:rsidRDefault="005A595A" w:rsidP="0A57A144">
            <w:pPr>
              <w:jc w:val="center"/>
              <w:rPr>
                <w:rFonts w:eastAsia="Times New Roman" w:cs="Arial"/>
                <w:sz w:val="20"/>
                <w:szCs w:val="20"/>
              </w:rPr>
            </w:pPr>
            <w:r>
              <w:rPr>
                <w:rFonts w:eastAsia="Times New Roman" w:cs="Arial"/>
                <w:sz w:val="20"/>
                <w:szCs w:val="20"/>
              </w:rPr>
              <w:t>CCR for XRN5443</w:t>
            </w:r>
            <w:bookmarkStart w:id="0" w:name="_GoBack"/>
            <w:bookmarkEnd w:id="0"/>
          </w:p>
        </w:tc>
      </w:tr>
    </w:tbl>
    <w:p w14:paraId="67B305BF" w14:textId="77777777" w:rsidR="00EA73B3" w:rsidRPr="00EA73B3" w:rsidRDefault="00EA73B3" w:rsidP="00EA73B3">
      <w:pPr>
        <w:rPr>
          <w:rFonts w:eastAsia="Arial" w:cs="Times New Roman"/>
          <w:sz w:val="20"/>
          <w:szCs w:val="20"/>
        </w:rPr>
      </w:pPr>
    </w:p>
    <w:sectPr w:rsidR="00EA73B3" w:rsidRPr="00EA73B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A3BE7" w14:textId="77777777" w:rsidR="004A5083" w:rsidRDefault="004A5083" w:rsidP="00324744">
      <w:pPr>
        <w:spacing w:after="0" w:line="240" w:lineRule="auto"/>
      </w:pPr>
      <w:r>
        <w:separator/>
      </w:r>
    </w:p>
  </w:endnote>
  <w:endnote w:type="continuationSeparator" w:id="0">
    <w:p w14:paraId="73F7FD02" w14:textId="77777777" w:rsidR="004A5083" w:rsidRDefault="004A508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AB7CE"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7501" w14:textId="77777777" w:rsidR="004A5083" w:rsidRDefault="004A5083" w:rsidP="00324744">
      <w:pPr>
        <w:spacing w:after="0" w:line="240" w:lineRule="auto"/>
      </w:pPr>
      <w:r>
        <w:separator/>
      </w:r>
    </w:p>
  </w:footnote>
  <w:footnote w:type="continuationSeparator" w:id="0">
    <w:p w14:paraId="1B4C6A1A" w14:textId="77777777" w:rsidR="004A5083" w:rsidRDefault="004A5083"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C1DCC"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115D2"/>
    <w:rsid w:val="000179CB"/>
    <w:rsid w:val="00032353"/>
    <w:rsid w:val="00037DF7"/>
    <w:rsid w:val="00084BAA"/>
    <w:rsid w:val="000A1AD1"/>
    <w:rsid w:val="000B6719"/>
    <w:rsid w:val="000E5885"/>
    <w:rsid w:val="000F240A"/>
    <w:rsid w:val="00125B61"/>
    <w:rsid w:val="00135F35"/>
    <w:rsid w:val="00144E00"/>
    <w:rsid w:val="00195A39"/>
    <w:rsid w:val="001A1C12"/>
    <w:rsid w:val="001C2268"/>
    <w:rsid w:val="001D5F60"/>
    <w:rsid w:val="00226D34"/>
    <w:rsid w:val="00231A0D"/>
    <w:rsid w:val="00292176"/>
    <w:rsid w:val="002C0324"/>
    <w:rsid w:val="002E42B9"/>
    <w:rsid w:val="00324744"/>
    <w:rsid w:val="003B5D9F"/>
    <w:rsid w:val="00426807"/>
    <w:rsid w:val="00457EF4"/>
    <w:rsid w:val="004660F4"/>
    <w:rsid w:val="004A5083"/>
    <w:rsid w:val="004A7220"/>
    <w:rsid w:val="004C39ED"/>
    <w:rsid w:val="004F3362"/>
    <w:rsid w:val="00517F6F"/>
    <w:rsid w:val="0055298E"/>
    <w:rsid w:val="00564ACD"/>
    <w:rsid w:val="005823B1"/>
    <w:rsid w:val="005A595A"/>
    <w:rsid w:val="00626D40"/>
    <w:rsid w:val="00640061"/>
    <w:rsid w:val="00653AF2"/>
    <w:rsid w:val="006B3716"/>
    <w:rsid w:val="006C6D47"/>
    <w:rsid w:val="006F44E8"/>
    <w:rsid w:val="00700888"/>
    <w:rsid w:val="00715F21"/>
    <w:rsid w:val="007243D3"/>
    <w:rsid w:val="00755455"/>
    <w:rsid w:val="007A56DB"/>
    <w:rsid w:val="007D4F26"/>
    <w:rsid w:val="007E7C5B"/>
    <w:rsid w:val="00817A62"/>
    <w:rsid w:val="008F0A1E"/>
    <w:rsid w:val="009315F5"/>
    <w:rsid w:val="009572CE"/>
    <w:rsid w:val="00964E82"/>
    <w:rsid w:val="009A30A5"/>
    <w:rsid w:val="00A0326C"/>
    <w:rsid w:val="00AB5B54"/>
    <w:rsid w:val="00AB63DE"/>
    <w:rsid w:val="00AF045D"/>
    <w:rsid w:val="00B14BB4"/>
    <w:rsid w:val="00B17530"/>
    <w:rsid w:val="00B8770C"/>
    <w:rsid w:val="00BD0A45"/>
    <w:rsid w:val="00D11D80"/>
    <w:rsid w:val="00D66C7E"/>
    <w:rsid w:val="00D93F8D"/>
    <w:rsid w:val="00D9534D"/>
    <w:rsid w:val="00DC781C"/>
    <w:rsid w:val="00E074F2"/>
    <w:rsid w:val="00E3082F"/>
    <w:rsid w:val="00E334EB"/>
    <w:rsid w:val="00EA73B3"/>
    <w:rsid w:val="00F3298B"/>
    <w:rsid w:val="00F60815"/>
    <w:rsid w:val="00F95876"/>
    <w:rsid w:val="00FD447B"/>
    <w:rsid w:val="00FD76E0"/>
    <w:rsid w:val="00FE0E8A"/>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79F40"/>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4BB4"/>
    <w:rPr>
      <w:sz w:val="16"/>
      <w:szCs w:val="16"/>
    </w:rPr>
  </w:style>
  <w:style w:type="paragraph" w:styleId="CommentText">
    <w:name w:val="annotation text"/>
    <w:basedOn w:val="Normal"/>
    <w:link w:val="CommentTextChar"/>
    <w:uiPriority w:val="99"/>
    <w:semiHidden/>
    <w:unhideWhenUsed/>
    <w:rsid w:val="00B14BB4"/>
    <w:pPr>
      <w:spacing w:line="240" w:lineRule="auto"/>
    </w:pPr>
    <w:rPr>
      <w:sz w:val="20"/>
      <w:szCs w:val="20"/>
    </w:rPr>
  </w:style>
  <w:style w:type="character" w:customStyle="1" w:styleId="CommentTextChar">
    <w:name w:val="Comment Text Char"/>
    <w:basedOn w:val="DefaultParagraphFont"/>
    <w:link w:val="CommentText"/>
    <w:uiPriority w:val="99"/>
    <w:semiHidden/>
    <w:rsid w:val="00B14B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4BB4"/>
    <w:rPr>
      <w:b/>
      <w:bCs/>
    </w:rPr>
  </w:style>
  <w:style w:type="character" w:customStyle="1" w:styleId="CommentSubjectChar">
    <w:name w:val="Comment Subject Char"/>
    <w:basedOn w:val="CommentTextChar"/>
    <w:link w:val="CommentSubject"/>
    <w:uiPriority w:val="99"/>
    <w:semiHidden/>
    <w:rsid w:val="00B14BB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xoserve.portfoliooffice@xoser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
        <AccountId xsi:nil="true"/>
        <AccountType/>
      </UserInfo>
    </SharedWithUsers>
    <_Flow_SignoffStatus xmlns="efb0c983-77a3-4edc-9303-e1cb655c76c7" xsi:nil="true"/>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purl.org/dc/terms/"/>
    <ds:schemaRef ds:uri="http://www.w3.org/XML/1998/namespace"/>
    <ds:schemaRef ds:uri="http://purl.org/dc/elements/1.1/"/>
    <ds:schemaRef ds:uri="be7838b9-f9df-4a11-9d61-bf4b27e2a56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a7b3e7a-0d4a-4993-87d4-e4b984056896"/>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7DC4C9DD-1B46-4B4D-AEE0-7C4932E4F600}"/>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Ellie Rogers</cp:lastModifiedBy>
  <cp:revision>2</cp:revision>
  <dcterms:created xsi:type="dcterms:W3CDTF">2022-01-24T11:19:00Z</dcterms:created>
  <dcterms:modified xsi:type="dcterms:W3CDTF">2022-01-24T11:19:00Z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y fmtid="{D5CDD505-2E9C-101B-9397-08002B2CF9AE}" pid="9" name="_ExtendedDescription">
    <vt:lpwstr/>
  </property>
</Properties>
</file>