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C2268" w:rsidR="00D66C7E" w:rsidP="00EA73B3" w:rsidRDefault="00EA73B3" w14:paraId="67279F67" w14:textId="10661B42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:rsidR="00EA73B3" w:rsidP="00D66C7E" w:rsidRDefault="00EA73B3" w14:paraId="67279F68" w14:textId="3899D7A8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:rsidR="00EA73B3" w:rsidP="00EA73B3" w:rsidRDefault="00EA73B3" w14:paraId="00F32253" w14:textId="3FFA09AD"/>
    <w:p w:rsidR="00EA73B3" w:rsidP="00EA73B3" w:rsidRDefault="00EA73B3" w14:paraId="2EBB5376" w14:textId="77777777"/>
    <w:tbl>
      <w:tblPr>
        <w:tblStyle w:val="TableGrid1"/>
        <w:tblW w:w="5186" w:type="pct"/>
        <w:tblLayout w:type="fixed"/>
        <w:tblLook w:val="04A0" w:firstRow="1" w:lastRow="0" w:firstColumn="1" w:lastColumn="0" w:noHBand="0" w:noVBand="1"/>
      </w:tblPr>
      <w:tblGrid>
        <w:gridCol w:w="4485"/>
        <w:gridCol w:w="4866"/>
      </w:tblGrid>
      <w:tr w:rsidRPr="00EA73B3" w:rsidR="00EA73B3" w:rsidTr="6BA187C5" w14:paraId="1601AE27" w14:textId="77777777">
        <w:trPr>
          <w:trHeight w:val="259"/>
        </w:trPr>
        <w:tc>
          <w:tcPr>
            <w:tcW w:w="2398" w:type="pct"/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4180B42D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tcMar/>
          </w:tcPr>
          <w:p w:rsidRPr="004D0F26" w:rsidR="00EA73B3" w:rsidP="0A57A144" w:rsidRDefault="0069300D" w14:paraId="018CEA35" w14:textId="56ECC025">
            <w:pPr>
              <w:rPr>
                <w:rFonts w:ascii="Calibri" w:hAnsi="Calibri" w:cs="Calibri"/>
                <w:color w:val="000000"/>
              </w:rPr>
            </w:pPr>
            <w:r w:rsidRPr="0069300D">
              <w:rPr>
                <w:rFonts w:eastAsia="Times New Roman" w:cs="Arial"/>
                <w:sz w:val="20"/>
                <w:szCs w:val="20"/>
              </w:rPr>
              <w:t>Maintenance of a User relationship table for the purpose of AQ amendments (Modification 0736)</w:t>
            </w:r>
          </w:p>
        </w:tc>
      </w:tr>
      <w:tr w:rsidRPr="00EA73B3" w:rsidR="00EA73B3" w:rsidTr="6BA187C5" w14:paraId="06D4D571" w14:textId="77777777">
        <w:trPr>
          <w:trHeight w:val="216"/>
        </w:trPr>
        <w:tc>
          <w:tcPr>
            <w:tcW w:w="2398" w:type="pct"/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5982B8CD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tcMar/>
          </w:tcPr>
          <w:p w:rsidRPr="00EA73B3" w:rsidR="00EA73B3" w:rsidP="00195A39" w:rsidRDefault="00C42C03" w14:paraId="06F88361" w14:textId="517D20FC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</w:t>
            </w:r>
            <w:r w:rsidR="00613931">
              <w:rPr>
                <w:rFonts w:eastAsia="Times New Roman" w:cs="Arial"/>
                <w:sz w:val="20"/>
                <w:szCs w:val="20"/>
              </w:rPr>
              <w:t>5</w:t>
            </w:r>
            <w:r w:rsidR="00E2457A">
              <w:rPr>
                <w:rFonts w:eastAsia="Times New Roman" w:cs="Arial"/>
                <w:sz w:val="20"/>
                <w:szCs w:val="20"/>
              </w:rPr>
              <w:t>237</w:t>
            </w:r>
          </w:p>
        </w:tc>
      </w:tr>
      <w:tr w:rsidRPr="00EA73B3" w:rsidR="00EA73B3" w:rsidTr="6BA187C5" w14:paraId="1D6C8AD7" w14:textId="77777777">
        <w:trPr>
          <w:trHeight w:val="216"/>
        </w:trPr>
        <w:tc>
          <w:tcPr>
            <w:tcW w:w="2398" w:type="pct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2E0D022E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tcBorders>
              <w:bottom w:val="single" w:color="auto" w:sz="4" w:space="0"/>
            </w:tcBorders>
            <w:tcMar/>
          </w:tcPr>
          <w:p w:rsidRPr="00EA73B3" w:rsidR="00EA73B3" w:rsidP="0A57A144" w:rsidRDefault="00C42C03" w14:paraId="4419660B" w14:textId="542FB8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Ellie </w:t>
            </w:r>
            <w:r w:rsidR="00547236">
              <w:rPr>
                <w:rFonts w:eastAsia="Times New Roman" w:cs="Arial"/>
                <w:sz w:val="20"/>
                <w:szCs w:val="20"/>
              </w:rPr>
              <w:t>Rogers</w:t>
            </w:r>
          </w:p>
        </w:tc>
      </w:tr>
      <w:tr w:rsidRPr="00EA73B3" w:rsidR="00EA73B3" w:rsidTr="6BA187C5" w14:paraId="2390A8AC" w14:textId="77777777">
        <w:trPr>
          <w:trHeight w:val="216"/>
        </w:trPr>
        <w:tc>
          <w:tcPr>
            <w:tcW w:w="2398" w:type="pct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68172196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tcBorders>
              <w:bottom w:val="single" w:color="auto" w:sz="4" w:space="0"/>
            </w:tcBorders>
            <w:tcMar/>
          </w:tcPr>
          <w:p w:rsidRPr="00EA73B3" w:rsidR="00EA73B3" w:rsidP="0A57A144" w:rsidRDefault="007636D3" w14:paraId="5A705C45" w14:textId="22776CB6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Ellie.rogers@xoserve.com</w:t>
            </w:r>
          </w:p>
        </w:tc>
      </w:tr>
      <w:tr w:rsidRPr="00EA73B3" w:rsidR="00EA73B3" w:rsidTr="6BA187C5" w14:paraId="3B9ABC1E" w14:textId="77777777">
        <w:trPr>
          <w:trHeight w:val="216"/>
        </w:trPr>
        <w:tc>
          <w:tcPr>
            <w:tcW w:w="2398" w:type="pct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7FA38DA5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tcBorders>
              <w:bottom w:val="single" w:color="auto" w:sz="4" w:space="0"/>
            </w:tcBorders>
            <w:tcMar/>
          </w:tcPr>
          <w:p w:rsidRPr="00EA73B3" w:rsidR="00EA73B3" w:rsidP="00547236" w:rsidRDefault="00547236" w14:paraId="407DF7DD" w14:textId="2103A31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Pr="00547236">
              <w:rPr>
                <w:rFonts w:eastAsia="Times New Roman" w:cs="Arial"/>
                <w:sz w:val="20"/>
                <w:szCs w:val="20"/>
              </w:rPr>
              <w:t>1212 292 185</w:t>
            </w:r>
          </w:p>
        </w:tc>
      </w:tr>
      <w:tr w:rsidRPr="00EA73B3" w:rsidR="00EA73B3" w:rsidTr="6BA187C5" w14:paraId="0B495390" w14:textId="77777777">
        <w:trPr>
          <w:trHeight w:val="432"/>
        </w:trPr>
        <w:tc>
          <w:tcPr>
            <w:tcW w:w="2398" w:type="pct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3A2F94C7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tcBorders>
              <w:bottom w:val="single" w:color="auto" w:sz="4" w:space="0"/>
            </w:tcBorders>
            <w:tcMar/>
          </w:tcPr>
          <w:p w:rsidRPr="00EA73B3" w:rsidR="00EA73B3" w:rsidP="00EA73B3" w:rsidRDefault="00276C03" w14:paraId="4E6B73E1" w14:textId="77C2CFC9">
            <w:pPr>
              <w:rPr>
                <w:rFonts w:eastAsia="Times New Roman" w:cs="Arial"/>
                <w:sz w:val="20"/>
                <w:szCs w:val="20"/>
              </w:rPr>
            </w:pPr>
            <w:r w:rsidRPr="6BA187C5" w:rsidR="664836CC">
              <w:rPr>
                <w:rFonts w:eastAsia="Times New Roman" w:cs="Arial"/>
                <w:sz w:val="20"/>
                <w:szCs w:val="20"/>
              </w:rPr>
              <w:t>7</w:t>
            </w:r>
            <w:r w:rsidRPr="6BA187C5" w:rsidR="00276C03">
              <w:rPr>
                <w:rFonts w:eastAsia="Times New Roman" w:cs="Arial"/>
                <w:sz w:val="20"/>
                <w:szCs w:val="20"/>
              </w:rPr>
              <w:t>/0</w:t>
            </w:r>
            <w:r w:rsidRPr="6BA187C5" w:rsidR="00AE1AB4">
              <w:rPr>
                <w:rFonts w:eastAsia="Times New Roman" w:cs="Arial"/>
                <w:sz w:val="20"/>
                <w:szCs w:val="20"/>
              </w:rPr>
              <w:t>4</w:t>
            </w:r>
            <w:r w:rsidRPr="6BA187C5" w:rsidR="00276C03">
              <w:rPr>
                <w:rFonts w:eastAsia="Times New Roman" w:cs="Arial"/>
                <w:sz w:val="20"/>
                <w:szCs w:val="20"/>
              </w:rPr>
              <w:t>/2021</w:t>
            </w:r>
          </w:p>
        </w:tc>
      </w:tr>
      <w:tr w:rsidRPr="00EA73B3" w:rsidR="00EA73B3" w:rsidTr="6BA187C5" w14:paraId="70D298E7" w14:textId="77777777">
        <w:trPr>
          <w:trHeight w:val="216"/>
        </w:trPr>
        <w:tc>
          <w:tcPr>
            <w:tcW w:w="2398" w:type="pct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A73B3" w:rsidR="00EA73B3" w:rsidP="00EA73B3" w:rsidRDefault="00EA73B3" w14:paraId="1717601B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02" w:type="pct"/>
            <w:tcBorders>
              <w:bottom w:val="single" w:color="auto" w:sz="4" w:space="0"/>
            </w:tcBorders>
            <w:tcMar/>
          </w:tcPr>
          <w:p w:rsidR="00EA73B3" w:rsidP="0A57A144" w:rsidRDefault="005817A1" w14:paraId="0A1F4BD2" w14:textId="202E1DC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Modification 0736 solution </w:t>
            </w:r>
            <w:r w:rsidR="00F841C7">
              <w:rPr>
                <w:rFonts w:eastAsia="Times New Roman" w:cs="Arial"/>
                <w:sz w:val="20"/>
                <w:szCs w:val="20"/>
              </w:rPr>
              <w:t xml:space="preserve">was </w:t>
            </w:r>
            <w:r>
              <w:rPr>
                <w:rFonts w:eastAsia="Times New Roman" w:cs="Arial"/>
                <w:sz w:val="20"/>
                <w:szCs w:val="20"/>
              </w:rPr>
              <w:t>implemented on</w:t>
            </w:r>
            <w:r w:rsidR="0092231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13931">
              <w:rPr>
                <w:rFonts w:eastAsia="Times New Roman" w:cs="Arial"/>
                <w:sz w:val="20"/>
                <w:szCs w:val="20"/>
              </w:rPr>
              <w:t>1</w:t>
            </w:r>
            <w:r w:rsidR="00276C03">
              <w:rPr>
                <w:rFonts w:eastAsia="Times New Roman" w:cs="Arial"/>
                <w:sz w:val="20"/>
                <w:szCs w:val="20"/>
              </w:rPr>
              <w:t>4</w:t>
            </w:r>
            <w:r w:rsidR="00613931">
              <w:rPr>
                <w:rFonts w:eastAsia="Times New Roman" w:cs="Arial"/>
                <w:sz w:val="20"/>
                <w:szCs w:val="20"/>
              </w:rPr>
              <w:t>/</w:t>
            </w:r>
            <w:r w:rsidR="00276C03">
              <w:rPr>
                <w:rFonts w:eastAsia="Times New Roman" w:cs="Arial"/>
                <w:sz w:val="20"/>
                <w:szCs w:val="20"/>
              </w:rPr>
              <w:t>0</w:t>
            </w:r>
            <w:r w:rsidR="00613931">
              <w:rPr>
                <w:rFonts w:eastAsia="Times New Roman" w:cs="Arial"/>
                <w:sz w:val="20"/>
                <w:szCs w:val="20"/>
              </w:rPr>
              <w:t>1</w:t>
            </w:r>
            <w:r w:rsidR="0066138B">
              <w:rPr>
                <w:rFonts w:eastAsia="Times New Roman" w:cs="Arial"/>
                <w:sz w:val="20"/>
                <w:szCs w:val="20"/>
              </w:rPr>
              <w:t>/20</w:t>
            </w:r>
            <w:r w:rsidR="00BB601B">
              <w:rPr>
                <w:rFonts w:eastAsia="Times New Roman" w:cs="Arial"/>
                <w:sz w:val="20"/>
                <w:szCs w:val="20"/>
              </w:rPr>
              <w:t>2</w:t>
            </w:r>
            <w:r w:rsidR="00276C03">
              <w:rPr>
                <w:rFonts w:eastAsia="Times New Roman" w:cs="Arial"/>
                <w:sz w:val="20"/>
                <w:szCs w:val="20"/>
              </w:rPr>
              <w:t>1</w:t>
            </w:r>
            <w:r w:rsidR="00922315">
              <w:rPr>
                <w:rFonts w:eastAsia="Times New Roman" w:cs="Arial"/>
                <w:sz w:val="20"/>
                <w:szCs w:val="20"/>
              </w:rPr>
              <w:t>.</w:t>
            </w:r>
          </w:p>
          <w:p w:rsidRPr="00EA73B3" w:rsidR="00622752" w:rsidP="0A57A144" w:rsidRDefault="000F2D3A" w14:paraId="76CEA666" w14:textId="7D25D19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further element to amend </w:t>
            </w:r>
            <w:r w:rsidR="00117FAF">
              <w:rPr>
                <w:rFonts w:eastAsia="Times New Roman" w:cs="Arial"/>
                <w:sz w:val="20"/>
                <w:szCs w:val="20"/>
              </w:rPr>
              <w:t>the report was delivered on 21/06/2021, as this aspect was temporarily managed manually</w:t>
            </w:r>
            <w:r w:rsidR="00DB79B2">
              <w:rPr>
                <w:rFonts w:eastAsia="Times New Roman" w:cs="Arial"/>
                <w:sz w:val="20"/>
                <w:szCs w:val="20"/>
              </w:rPr>
              <w:t xml:space="preserve"> up until this </w:t>
            </w:r>
            <w:bookmarkStart w:name="_GoBack" w:id="0"/>
            <w:bookmarkEnd w:id="0"/>
            <w:r w:rsidR="00DB79B2">
              <w:rPr>
                <w:rFonts w:eastAsia="Times New Roman" w:cs="Arial"/>
                <w:sz w:val="20"/>
                <w:szCs w:val="20"/>
              </w:rPr>
              <w:t>delivery.</w:t>
            </w:r>
          </w:p>
        </w:tc>
      </w:tr>
      <w:tr w:rsidRPr="00EA73B3" w:rsidR="00EA73B3" w:rsidTr="6BA187C5" w14:paraId="0327033D" w14:textId="77777777">
        <w:trPr>
          <w:trHeight w:val="216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3E5AA8" w:themeFill="accent1"/>
            <w:tcMar/>
            <w:vAlign w:val="center"/>
          </w:tcPr>
          <w:p w:rsidRPr="00EA73B3" w:rsidR="00EA73B3" w:rsidP="00EA73B3" w:rsidRDefault="00EA73B3" w14:paraId="5A40CDE0" w14:textId="77777777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Pr="00EA73B3" w:rsidR="00EA73B3" w:rsidTr="6BA187C5" w14:paraId="0CEE08D9" w14:textId="77777777">
        <w:trPr>
          <w:trHeight w:val="3847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EA73B3" w:rsidP="00195A39" w:rsidRDefault="00EA73B3" w14:paraId="33C295CC" w14:textId="15D1AE61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:rsidR="00637EC1" w:rsidP="000628C1" w:rsidRDefault="001B77A0" w14:paraId="33468359" w14:textId="067921FE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</w:t>
            </w:r>
            <w:r w:rsidRPr="00060149" w:rsidR="005451A0">
              <w:rPr>
                <w:rFonts w:eastAsia="Times New Roman" w:cs="Arial"/>
                <w:sz w:val="20"/>
                <w:szCs w:val="20"/>
              </w:rPr>
              <w:t xml:space="preserve"> CDSP are expected to hold and maintain a Shipper </w:t>
            </w:r>
            <w:r w:rsidR="0072164C">
              <w:rPr>
                <w:rFonts w:eastAsia="Times New Roman" w:cs="Arial"/>
                <w:sz w:val="20"/>
                <w:szCs w:val="20"/>
              </w:rPr>
              <w:t xml:space="preserve">Affiliate </w:t>
            </w:r>
            <w:r w:rsidRPr="00060149" w:rsidR="005451A0">
              <w:rPr>
                <w:rFonts w:eastAsia="Times New Roman" w:cs="Arial"/>
                <w:sz w:val="20"/>
                <w:szCs w:val="20"/>
              </w:rPr>
              <w:t xml:space="preserve">relationship table which details where Shippers are </w:t>
            </w:r>
            <w:r>
              <w:rPr>
                <w:rFonts w:eastAsia="Times New Roman" w:cs="Arial"/>
                <w:sz w:val="20"/>
                <w:szCs w:val="20"/>
              </w:rPr>
              <w:t>Affiliated as per the UNC definition</w:t>
            </w:r>
            <w:r w:rsidRPr="00060149" w:rsidR="005451A0">
              <w:rPr>
                <w:rFonts w:eastAsia="Times New Roman" w:cs="Arial"/>
                <w:sz w:val="20"/>
                <w:szCs w:val="20"/>
              </w:rPr>
              <w:t>.</w:t>
            </w:r>
            <w:r w:rsidR="00B03FF3">
              <w:rPr>
                <w:rFonts w:eastAsia="Times New Roman" w:cs="Arial"/>
                <w:sz w:val="20"/>
                <w:szCs w:val="20"/>
              </w:rPr>
              <w:t xml:space="preserve"> Please note that Shippers are obligated to provide </w:t>
            </w:r>
            <w:r w:rsidR="00644AB6">
              <w:rPr>
                <w:rFonts w:eastAsia="Times New Roman" w:cs="Arial"/>
                <w:sz w:val="20"/>
                <w:szCs w:val="20"/>
              </w:rPr>
              <w:t>the CDSP</w:t>
            </w:r>
            <w:r w:rsidR="008C0CFD">
              <w:rPr>
                <w:rFonts w:eastAsia="Times New Roman" w:cs="Arial"/>
                <w:sz w:val="20"/>
                <w:szCs w:val="20"/>
              </w:rPr>
              <w:t xml:space="preserve"> this information to hold and maintain the table. </w:t>
            </w:r>
          </w:p>
          <w:p w:rsidR="004D30FA" w:rsidP="000628C1" w:rsidRDefault="00637EC1" w14:paraId="3519ECBA" w14:textId="0E300CDB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1F3EF7">
              <w:rPr>
                <w:rFonts w:eastAsia="Times New Roman" w:cs="Arial"/>
                <w:sz w:val="20"/>
                <w:szCs w:val="20"/>
              </w:rPr>
              <w:t>The UNC currently states the Registered User of a site may request a change in the Supply Point Annual Quantity (AQ) when the value does not reflect the expected consumption of gas over the following 12-month period.</w:t>
            </w:r>
            <w:r w:rsidR="004D30FA">
              <w:rPr>
                <w:rFonts w:eastAsia="Times New Roman" w:cs="Arial"/>
                <w:sz w:val="20"/>
                <w:szCs w:val="20"/>
              </w:rPr>
              <w:t xml:space="preserve"> There are 4</w:t>
            </w:r>
            <w:r w:rsidRPr="001F3EF7">
              <w:rPr>
                <w:rFonts w:eastAsia="Times New Roman" w:cs="Arial"/>
                <w:sz w:val="20"/>
                <w:szCs w:val="20"/>
              </w:rPr>
              <w:t xml:space="preserve"> ‘eligible causes’ (</w:t>
            </w:r>
            <w:r w:rsidR="004D30FA">
              <w:rPr>
                <w:rFonts w:eastAsia="Times New Roman" w:cs="Arial"/>
                <w:sz w:val="20"/>
                <w:szCs w:val="20"/>
              </w:rPr>
              <w:t xml:space="preserve">UNC </w:t>
            </w:r>
            <w:r w:rsidRPr="001F3EF7">
              <w:rPr>
                <w:rFonts w:eastAsia="Times New Roman" w:cs="Arial"/>
                <w:sz w:val="20"/>
                <w:szCs w:val="20"/>
              </w:rPr>
              <w:t xml:space="preserve">G2.3.21 &amp; 22) which a User can utilise </w:t>
            </w:r>
            <w:proofErr w:type="gramStart"/>
            <w:r w:rsidRPr="001F3EF7">
              <w:rPr>
                <w:rFonts w:eastAsia="Times New Roman" w:cs="Arial"/>
                <w:sz w:val="20"/>
                <w:szCs w:val="20"/>
              </w:rPr>
              <w:t>in order to</w:t>
            </w:r>
            <w:proofErr w:type="gramEnd"/>
            <w:r w:rsidRPr="001F3EF7">
              <w:rPr>
                <w:rFonts w:eastAsia="Times New Roman" w:cs="Arial"/>
                <w:sz w:val="20"/>
                <w:szCs w:val="20"/>
              </w:rPr>
              <w:t xml:space="preserve"> justify the requirement for an AQ correction.</w:t>
            </w:r>
          </w:p>
          <w:p w:rsidR="000628C1" w:rsidP="000628C1" w:rsidRDefault="008D1C51" w14:paraId="46062D12" w14:textId="4C1071C5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060149">
              <w:rPr>
                <w:rFonts w:eastAsia="Times New Roman" w:cs="Arial"/>
                <w:sz w:val="20"/>
                <w:szCs w:val="20"/>
              </w:rPr>
              <w:t>Where an AQ Correction is submitted utilising</w:t>
            </w:r>
            <w:r w:rsidR="00031B38">
              <w:rPr>
                <w:rFonts w:eastAsia="Times New Roman" w:cs="Arial"/>
                <w:sz w:val="20"/>
                <w:szCs w:val="20"/>
              </w:rPr>
              <w:t xml:space="preserve"> one of these eligible causes -</w:t>
            </w:r>
            <w:r w:rsidRPr="00060149">
              <w:rPr>
                <w:rFonts w:eastAsia="Times New Roman" w:cs="Arial"/>
                <w:sz w:val="20"/>
                <w:szCs w:val="20"/>
              </w:rPr>
              <w:t xml:space="preserve"> reason code 3, the CDSP will be </w:t>
            </w:r>
            <w:r w:rsidR="0072164C">
              <w:rPr>
                <w:rFonts w:eastAsia="Times New Roman" w:cs="Arial"/>
                <w:sz w:val="20"/>
                <w:szCs w:val="20"/>
              </w:rPr>
              <w:t>required</w:t>
            </w:r>
            <w:r w:rsidRPr="00060149">
              <w:rPr>
                <w:rFonts w:eastAsia="Times New Roman" w:cs="Arial"/>
                <w:sz w:val="20"/>
                <w:szCs w:val="20"/>
              </w:rPr>
              <w:t xml:space="preserve"> to check the previous User and the </w:t>
            </w:r>
            <w:r w:rsidR="001B77A0">
              <w:rPr>
                <w:rFonts w:eastAsia="Times New Roman" w:cs="Arial"/>
                <w:sz w:val="20"/>
                <w:szCs w:val="20"/>
              </w:rPr>
              <w:t>R</w:t>
            </w:r>
            <w:r w:rsidRPr="00060149">
              <w:rPr>
                <w:rFonts w:eastAsia="Times New Roman" w:cs="Arial"/>
                <w:sz w:val="20"/>
                <w:szCs w:val="20"/>
              </w:rPr>
              <w:t xml:space="preserve">egistered User against the </w:t>
            </w:r>
            <w:r w:rsidR="00574523">
              <w:rPr>
                <w:rFonts w:eastAsia="Times New Roman" w:cs="Arial"/>
                <w:sz w:val="20"/>
                <w:szCs w:val="20"/>
              </w:rPr>
              <w:t xml:space="preserve">Shipper </w:t>
            </w:r>
            <w:r w:rsidR="0072164C">
              <w:rPr>
                <w:rFonts w:eastAsia="Times New Roman" w:cs="Arial"/>
                <w:sz w:val="20"/>
                <w:szCs w:val="20"/>
              </w:rPr>
              <w:t>Affiliate</w:t>
            </w:r>
            <w:r w:rsidR="0057452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60149">
              <w:rPr>
                <w:rFonts w:eastAsia="Times New Roman" w:cs="Arial"/>
                <w:sz w:val="20"/>
                <w:szCs w:val="20"/>
              </w:rPr>
              <w:t xml:space="preserve">relationship table. If it is identified that the previous User is </w:t>
            </w:r>
            <w:r w:rsidR="00590BC9">
              <w:rPr>
                <w:rFonts w:eastAsia="Times New Roman" w:cs="Arial"/>
                <w:sz w:val="20"/>
                <w:szCs w:val="20"/>
              </w:rPr>
              <w:t>Affiliated to</w:t>
            </w:r>
            <w:r w:rsidRPr="00060149"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="00590BC9">
              <w:rPr>
                <w:rFonts w:eastAsia="Times New Roman" w:cs="Arial"/>
                <w:sz w:val="20"/>
                <w:szCs w:val="20"/>
              </w:rPr>
              <w:t>R</w:t>
            </w:r>
            <w:r w:rsidRPr="00060149">
              <w:rPr>
                <w:rFonts w:eastAsia="Times New Roman" w:cs="Arial"/>
                <w:sz w:val="20"/>
                <w:szCs w:val="20"/>
              </w:rPr>
              <w:t xml:space="preserve">egistered User, the submitting User will be requested to cancel the AQ </w:t>
            </w:r>
            <w:r w:rsidR="00590BC9">
              <w:rPr>
                <w:rFonts w:eastAsia="Times New Roman" w:cs="Arial"/>
                <w:sz w:val="20"/>
                <w:szCs w:val="20"/>
              </w:rPr>
              <w:t>correction</w:t>
            </w:r>
            <w:r w:rsidRPr="00060149" w:rsidR="00590BC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60149">
              <w:rPr>
                <w:rFonts w:eastAsia="Times New Roman" w:cs="Arial"/>
                <w:sz w:val="20"/>
                <w:szCs w:val="20"/>
              </w:rPr>
              <w:t>ahead of it going live within UK Link</w:t>
            </w:r>
            <w:r w:rsidR="00031B38">
              <w:rPr>
                <w:rFonts w:eastAsia="Times New Roman" w:cs="Arial"/>
                <w:sz w:val="20"/>
                <w:szCs w:val="20"/>
              </w:rPr>
              <w:t xml:space="preserve"> and the AQ correction taking affect</w:t>
            </w:r>
            <w:r w:rsidRPr="00060149">
              <w:rPr>
                <w:rFonts w:eastAsia="Times New Roman" w:cs="Arial"/>
                <w:sz w:val="20"/>
                <w:szCs w:val="20"/>
              </w:rPr>
              <w:t>.</w:t>
            </w:r>
            <w:r w:rsidR="00D225B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225B3" w:rsidR="00D225B3">
              <w:rPr>
                <w:rFonts w:eastAsia="Times New Roman" w:cs="Arial"/>
                <w:sz w:val="20"/>
                <w:szCs w:val="20"/>
              </w:rPr>
              <w:t xml:space="preserve">In the absence of the </w:t>
            </w:r>
            <w:r w:rsidR="00031B38">
              <w:rPr>
                <w:rFonts w:eastAsia="Times New Roman" w:cs="Arial"/>
                <w:sz w:val="20"/>
                <w:szCs w:val="20"/>
              </w:rPr>
              <w:t>R</w:t>
            </w:r>
            <w:r w:rsidRPr="00D225B3" w:rsidR="00D225B3">
              <w:rPr>
                <w:rFonts w:eastAsia="Times New Roman" w:cs="Arial"/>
                <w:sz w:val="20"/>
                <w:szCs w:val="20"/>
              </w:rPr>
              <w:t xml:space="preserve">egistered User cancelling the AQ </w:t>
            </w:r>
            <w:r w:rsidR="00031B38">
              <w:rPr>
                <w:rFonts w:eastAsia="Times New Roman" w:cs="Arial"/>
                <w:sz w:val="20"/>
                <w:szCs w:val="20"/>
              </w:rPr>
              <w:t xml:space="preserve">correction </w:t>
            </w:r>
            <w:r w:rsidR="00040FE3">
              <w:rPr>
                <w:rFonts w:eastAsia="Times New Roman" w:cs="Arial"/>
                <w:sz w:val="20"/>
                <w:szCs w:val="20"/>
              </w:rPr>
              <w:t>within the specified period</w:t>
            </w:r>
            <w:r w:rsidRPr="00D225B3" w:rsidR="00D225B3">
              <w:rPr>
                <w:rFonts w:eastAsia="Times New Roman" w:cs="Arial"/>
                <w:sz w:val="20"/>
                <w:szCs w:val="20"/>
              </w:rPr>
              <w:t xml:space="preserve">, the CDSP will cancel such request before </w:t>
            </w:r>
            <w:r w:rsidR="00275A7F">
              <w:rPr>
                <w:rFonts w:eastAsia="Times New Roman" w:cs="Arial"/>
                <w:sz w:val="20"/>
                <w:szCs w:val="20"/>
              </w:rPr>
              <w:t>it</w:t>
            </w:r>
            <w:r w:rsidRPr="00D225B3" w:rsidR="00275A7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225B3" w:rsidR="00D225B3">
              <w:rPr>
                <w:rFonts w:eastAsia="Times New Roman" w:cs="Arial"/>
                <w:sz w:val="20"/>
                <w:szCs w:val="20"/>
              </w:rPr>
              <w:t>go</w:t>
            </w:r>
            <w:r w:rsidR="00275A7F">
              <w:rPr>
                <w:rFonts w:eastAsia="Times New Roman" w:cs="Arial"/>
                <w:sz w:val="20"/>
                <w:szCs w:val="20"/>
              </w:rPr>
              <w:t>es</w:t>
            </w:r>
            <w:r w:rsidRPr="00D225B3" w:rsidR="00D225B3">
              <w:rPr>
                <w:rFonts w:eastAsia="Times New Roman" w:cs="Arial"/>
                <w:sz w:val="20"/>
                <w:szCs w:val="20"/>
              </w:rPr>
              <w:t xml:space="preserve"> live within UK Link</w:t>
            </w:r>
            <w:r w:rsidR="00D225B3">
              <w:rPr>
                <w:rFonts w:eastAsia="Times New Roman" w:cs="Arial"/>
                <w:sz w:val="20"/>
                <w:szCs w:val="20"/>
              </w:rPr>
              <w:t>.</w:t>
            </w:r>
          </w:p>
          <w:p w:rsidR="00D225B3" w:rsidP="000628C1" w:rsidRDefault="00D225B3" w14:paraId="5AC87BED" w14:textId="33D70132">
            <w:pPr>
              <w:contextualSpacing/>
            </w:pPr>
          </w:p>
          <w:p w:rsidRPr="00CE4BEF" w:rsidR="001B4F53" w:rsidP="00CE4BEF" w:rsidRDefault="00111780" w14:paraId="02460EFD" w14:textId="1A04BC94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00570E">
              <w:rPr>
                <w:rFonts w:eastAsia="Times New Roman" w:cs="Arial"/>
                <w:sz w:val="20"/>
                <w:szCs w:val="20"/>
              </w:rPr>
              <w:t>The delivery of this change is largely manual</w:t>
            </w:r>
            <w:r w:rsidRPr="0000570E" w:rsidR="00131456">
              <w:rPr>
                <w:rFonts w:eastAsia="Times New Roman" w:cs="Arial"/>
                <w:sz w:val="20"/>
                <w:szCs w:val="20"/>
              </w:rPr>
              <w:t xml:space="preserve">, however </w:t>
            </w:r>
            <w:r w:rsidR="00CE4BEF">
              <w:rPr>
                <w:rFonts w:eastAsia="Times New Roman" w:cs="Arial"/>
                <w:sz w:val="20"/>
                <w:szCs w:val="20"/>
              </w:rPr>
              <w:t>there was a requirement to amend an existing</w:t>
            </w:r>
            <w:r w:rsidR="00ED75D4">
              <w:rPr>
                <w:rFonts w:eastAsia="Times New Roman" w:cs="Arial"/>
                <w:sz w:val="20"/>
                <w:szCs w:val="20"/>
              </w:rPr>
              <w:t xml:space="preserve"> internal</w:t>
            </w:r>
            <w:r w:rsidR="00CE4BEF">
              <w:rPr>
                <w:rFonts w:eastAsia="Times New Roman" w:cs="Arial"/>
                <w:sz w:val="20"/>
                <w:szCs w:val="20"/>
              </w:rPr>
              <w:t xml:space="preserve"> ISU report to identify </w:t>
            </w:r>
            <w:r w:rsidRPr="00CE4BEF" w:rsidR="00D17E3D">
              <w:rPr>
                <w:rFonts w:eastAsia="Times New Roman" w:cs="Arial"/>
                <w:sz w:val="20"/>
                <w:szCs w:val="20"/>
              </w:rPr>
              <w:t>where an AQ correction cancellation has been submitted on requested sites</w:t>
            </w:r>
            <w:r w:rsidR="00CE4BEF">
              <w:rPr>
                <w:rFonts w:eastAsia="Times New Roman" w:cs="Arial"/>
                <w:sz w:val="20"/>
                <w:szCs w:val="20"/>
              </w:rPr>
              <w:t xml:space="preserve"> and to </w:t>
            </w:r>
            <w:r w:rsidR="00ED75D4">
              <w:rPr>
                <w:rFonts w:eastAsia="Times New Roman" w:cs="Arial"/>
                <w:sz w:val="20"/>
                <w:szCs w:val="20"/>
              </w:rPr>
              <w:t>t</w:t>
            </w:r>
            <w:r w:rsidRPr="00CE4BEF" w:rsidR="00D17E3D">
              <w:rPr>
                <w:rFonts w:eastAsia="Times New Roman" w:cs="Arial"/>
                <w:sz w:val="20"/>
                <w:szCs w:val="20"/>
              </w:rPr>
              <w:t>rigger</w:t>
            </w:r>
            <w:r w:rsidR="00ED75D4">
              <w:rPr>
                <w:rFonts w:eastAsia="Times New Roman" w:cs="Arial"/>
                <w:sz w:val="20"/>
                <w:szCs w:val="20"/>
              </w:rPr>
              <w:t xml:space="preserve"> this report</w:t>
            </w:r>
            <w:r w:rsidRPr="00CE4BEF" w:rsidR="00D17E3D">
              <w:rPr>
                <w:rFonts w:eastAsia="Times New Roman" w:cs="Arial"/>
                <w:sz w:val="20"/>
                <w:szCs w:val="20"/>
              </w:rPr>
              <w:t xml:space="preserve"> in line with the AQ corrections process timelines</w:t>
            </w:r>
            <w:r w:rsidR="00ED75D4">
              <w:rPr>
                <w:rFonts w:eastAsia="Times New Roman" w:cs="Arial"/>
                <w:sz w:val="20"/>
                <w:szCs w:val="20"/>
              </w:rPr>
              <w:t>. This report</w:t>
            </w:r>
          </w:p>
          <w:p w:rsidRPr="0000570E" w:rsidR="00D225B3" w:rsidP="000628C1" w:rsidRDefault="007342A0" w14:paraId="5A55A198" w14:textId="4A978884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00570E">
              <w:rPr>
                <w:rFonts w:eastAsia="Times New Roman" w:cs="Arial"/>
                <w:sz w:val="20"/>
                <w:szCs w:val="20"/>
              </w:rPr>
              <w:t>enable</w:t>
            </w:r>
            <w:r w:rsidR="00ED75D4">
              <w:rPr>
                <w:rFonts w:eastAsia="Times New Roman" w:cs="Arial"/>
                <w:sz w:val="20"/>
                <w:szCs w:val="20"/>
              </w:rPr>
              <w:t>s</w:t>
            </w:r>
            <w:r w:rsidRPr="0000570E"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="00ED75D4">
              <w:rPr>
                <w:rFonts w:eastAsia="Times New Roman" w:cs="Arial"/>
                <w:sz w:val="20"/>
                <w:szCs w:val="20"/>
              </w:rPr>
              <w:t>b</w:t>
            </w:r>
            <w:r w:rsidRPr="0000570E">
              <w:rPr>
                <w:rFonts w:eastAsia="Times New Roman" w:cs="Arial"/>
                <w:sz w:val="20"/>
                <w:szCs w:val="20"/>
              </w:rPr>
              <w:t xml:space="preserve">usiness </w:t>
            </w:r>
            <w:r w:rsidR="00ED75D4">
              <w:rPr>
                <w:rFonts w:eastAsia="Times New Roman" w:cs="Arial"/>
                <w:sz w:val="20"/>
                <w:szCs w:val="20"/>
              </w:rPr>
              <w:t>o</w:t>
            </w:r>
            <w:r w:rsidRPr="0000570E">
              <w:rPr>
                <w:rFonts w:eastAsia="Times New Roman" w:cs="Arial"/>
                <w:sz w:val="20"/>
                <w:szCs w:val="20"/>
              </w:rPr>
              <w:t xml:space="preserve">wner of the process to run the report as </w:t>
            </w:r>
            <w:r w:rsidRPr="0000570E" w:rsidR="0000570E">
              <w:rPr>
                <w:rFonts w:eastAsia="Times New Roman" w:cs="Arial"/>
                <w:sz w:val="20"/>
                <w:szCs w:val="20"/>
              </w:rPr>
              <w:t>required</w:t>
            </w:r>
            <w:r w:rsidRPr="0000570E">
              <w:rPr>
                <w:rFonts w:eastAsia="Times New Roman" w:cs="Arial"/>
                <w:sz w:val="20"/>
                <w:szCs w:val="20"/>
              </w:rPr>
              <w:t>.</w:t>
            </w:r>
            <w:r w:rsidR="0000570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Pr="00EA73B3" w:rsidR="000628C1" w:rsidP="00BB601B" w:rsidRDefault="000628C1" w14:paraId="2AE1EBA3" w14:textId="77777777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08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331"/>
              <w:gridCol w:w="1843"/>
              <w:gridCol w:w="1984"/>
            </w:tblGrid>
            <w:tr w:rsidRPr="00EA73B3" w:rsidR="00EA73B3" w:rsidTr="002E3A44" w14:paraId="6C790A40" w14:textId="77777777">
              <w:trPr>
                <w:trHeight w:val="734"/>
              </w:trPr>
              <w:tc>
                <w:tcPr>
                  <w:tcW w:w="2929" w:type="dxa"/>
                </w:tcPr>
                <w:p w:rsidRPr="00EA73B3" w:rsidR="00EA73B3" w:rsidP="00EA73B3" w:rsidRDefault="00EA73B3" w14:paraId="5ED527AF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331" w:type="dxa"/>
                </w:tcPr>
                <w:p w:rsidRPr="00EA73B3" w:rsidR="00EA73B3" w:rsidP="00EA73B3" w:rsidRDefault="00EA73B3" w14:paraId="32605E69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:rsidRPr="00EA73B3" w:rsidR="00EA73B3" w:rsidP="00EA73B3" w:rsidRDefault="00EA73B3" w14:paraId="3612A2F5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4" w:type="dxa"/>
                </w:tcPr>
                <w:p w:rsidRPr="00EA73B3" w:rsidR="00EA73B3" w:rsidP="00EA73B3" w:rsidRDefault="00EA73B3" w14:paraId="04026F6B" w14:textId="77777777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Pr="00EA73B3" w:rsidR="00EA73B3" w:rsidTr="002E3A44" w14:paraId="71E7CB34" w14:textId="77777777">
              <w:trPr>
                <w:trHeight w:val="688"/>
              </w:trPr>
              <w:tc>
                <w:tcPr>
                  <w:tcW w:w="2929" w:type="dxa"/>
                  <w:vAlign w:val="center"/>
                </w:tcPr>
                <w:p w:rsidRPr="00A333F0" w:rsidR="002902EB" w:rsidP="002902EB" w:rsidRDefault="002902EB" w14:paraId="7BAFFF9E" w14:textId="54A63DDA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Service Area </w:t>
                  </w:r>
                  <w:r w:rsidR="00485D56">
                    <w:rPr>
                      <w:rFonts w:cs="Arial"/>
                      <w:sz w:val="20"/>
                      <w:szCs w:val="16"/>
                    </w:rPr>
                    <w:t xml:space="preserve">1 - </w:t>
                  </w:r>
                  <w:r w:rsidRPr="00485D56" w:rsidR="00485D56">
                    <w:rPr>
                      <w:rFonts w:cs="Arial"/>
                      <w:sz w:val="20"/>
                      <w:szCs w:val="16"/>
                    </w:rPr>
                    <w:t>Manage Supply Point Registration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 </w:t>
                  </w:r>
                </w:p>
                <w:p w:rsidRPr="00A333F0" w:rsidR="00EA73B3" w:rsidP="002902EB" w:rsidRDefault="00EA73B3" w14:paraId="7A8B23CB" w14:textId="44339FA9">
                  <w:pPr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:rsidRPr="00EA73B3" w:rsidR="00EA73B3" w:rsidP="002902EB" w:rsidRDefault="002902EB" w14:paraId="46E92E56" w14:textId="0181C4A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A new Service Line </w:t>
                  </w:r>
                  <w:r w:rsidR="00393F83">
                    <w:rPr>
                      <w:rFonts w:cs="Arial"/>
                      <w:sz w:val="20"/>
                      <w:szCs w:val="16"/>
                    </w:rPr>
                    <w:t>will be implemente</w:t>
                  </w:r>
                  <w:r w:rsidR="00355F83">
                    <w:rPr>
                      <w:rFonts w:cs="Arial"/>
                      <w:sz w:val="20"/>
                      <w:szCs w:val="16"/>
                    </w:rPr>
                    <w:t xml:space="preserve">d </w:t>
                  </w:r>
                  <w:r w:rsidR="002951C3">
                    <w:rPr>
                      <w:rFonts w:cs="Arial"/>
                      <w:sz w:val="20"/>
                      <w:szCs w:val="16"/>
                    </w:rPr>
                    <w:t xml:space="preserve">for 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>the CDSP to hold and maintain the</w:t>
                  </w:r>
                  <w:r w:rsidR="00095D36">
                    <w:rPr>
                      <w:rFonts w:cs="Arial"/>
                      <w:sz w:val="20"/>
                      <w:szCs w:val="16"/>
                    </w:rPr>
                    <w:t xml:space="preserve"> </w:t>
                  </w:r>
                  <w:r w:rsidR="007B0518">
                    <w:rPr>
                      <w:rFonts w:cs="Arial"/>
                      <w:sz w:val="20"/>
                      <w:szCs w:val="16"/>
                    </w:rPr>
                    <w:t>Shipper Affiliate r</w:t>
                  </w:r>
                  <w:r w:rsidR="00095D36">
                    <w:rPr>
                      <w:rFonts w:cs="Arial"/>
                      <w:sz w:val="20"/>
                      <w:szCs w:val="16"/>
                    </w:rPr>
                    <w:t>elationship table’</w:t>
                  </w:r>
                  <w:r w:rsidR="003A5A6E">
                    <w:rPr>
                      <w:rFonts w:cs="Arial"/>
                      <w:sz w:val="20"/>
                      <w:szCs w:val="16"/>
                    </w:rPr>
                    <w:t xml:space="preserve"> for the purpose of AQ amendments utilising reason code 3.</w:t>
                  </w:r>
                </w:p>
              </w:tc>
              <w:tc>
                <w:tcPr>
                  <w:tcW w:w="1843" w:type="dxa"/>
                  <w:vAlign w:val="center"/>
                </w:tcPr>
                <w:p w:rsidRPr="00EA73B3" w:rsidR="00EA73B3" w:rsidP="00EA73B3" w:rsidRDefault="00C73228" w14:paraId="7AA3825D" w14:textId="5F388D8F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4" w:type="dxa"/>
                  <w:vAlign w:val="center"/>
                </w:tcPr>
                <w:p w:rsidRPr="00EA73B3" w:rsidR="00EA73B3" w:rsidP="00EA73B3" w:rsidRDefault="00C73228" w14:paraId="6DCD23EA" w14:textId="179B7DD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73B3" w:rsidP="0A57A144" w:rsidRDefault="00EA73B3" w14:paraId="270D662C" w14:textId="77777777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:rsidRPr="00EA73B3" w:rsidR="002362D0" w:rsidP="0A57A144" w:rsidRDefault="002362D0" w14:paraId="646B8C30" w14:textId="2BA654BB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:rsidR="002362D0" w:rsidRDefault="002362D0" w14:paraId="190F7E3B" w14:textId="77777777">
      <w:r>
        <w:lastRenderedPageBreak/>
        <w:br w:type="page"/>
      </w:r>
    </w:p>
    <w:tbl>
      <w:tblPr>
        <w:tblStyle w:val="TableGrid1"/>
        <w:tblW w:w="5107" w:type="pct"/>
        <w:tblLayout w:type="fixed"/>
        <w:tblLook w:val="04A0" w:firstRow="1" w:lastRow="0" w:firstColumn="1" w:lastColumn="0" w:noHBand="0" w:noVBand="1"/>
      </w:tblPr>
      <w:tblGrid>
        <w:gridCol w:w="9209"/>
      </w:tblGrid>
      <w:tr w:rsidRPr="00EA73B3" w:rsidR="00EA73B3" w:rsidTr="002E3A44" w14:paraId="0C90DDA4" w14:textId="77777777">
        <w:trPr>
          <w:trHeight w:val="216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3E5AA8" w:themeFill="accent1"/>
            <w:vAlign w:val="center"/>
          </w:tcPr>
          <w:p w:rsidRPr="00EA73B3" w:rsidR="00EA73B3" w:rsidP="00EA73B3" w:rsidRDefault="00EA73B3" w14:paraId="22D62687" w14:textId="5DAB8B65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Pr="00EA73B3" w:rsidR="00EA73B3" w:rsidTr="002E3A44" w14:paraId="45233572" w14:textId="77777777">
        <w:trPr>
          <w:trHeight w:val="2507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FFFFFF" w:themeFill="background1"/>
          </w:tcPr>
          <w:p w:rsidR="002362D0" w:rsidRDefault="002362D0" w14:paraId="48157077" w14:textId="77777777"/>
          <w:tbl>
            <w:tblPr>
              <w:tblStyle w:val="TableGrid1"/>
              <w:tblW w:w="895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1619"/>
              <w:gridCol w:w="1701"/>
              <w:gridCol w:w="1559"/>
              <w:gridCol w:w="1559"/>
            </w:tblGrid>
            <w:tr w:rsidRPr="00EA73B3" w:rsidR="00EA73B3" w:rsidTr="002E3A44" w14:paraId="6E11255F" w14:textId="77777777">
              <w:trPr>
                <w:trHeight w:val="436"/>
              </w:trPr>
              <w:tc>
                <w:tcPr>
                  <w:tcW w:w="2514" w:type="dxa"/>
                </w:tcPr>
                <w:p w:rsidRPr="00EA73B3" w:rsidR="00EA73B3" w:rsidP="00EA73B3" w:rsidRDefault="00EA73B3" w14:paraId="2C9392D4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619" w:type="dxa"/>
                </w:tcPr>
                <w:p w:rsidRPr="00EA73B3" w:rsidR="00EA73B3" w:rsidP="00EA73B3" w:rsidRDefault="00EA73B3" w14:paraId="347495F9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01" w:type="dxa"/>
                </w:tcPr>
                <w:p w:rsidRPr="00EA73B3" w:rsidR="00EA73B3" w:rsidP="00EA73B3" w:rsidRDefault="00EA73B3" w14:paraId="77AA4BD1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59" w:type="dxa"/>
                </w:tcPr>
                <w:p w:rsidRPr="00EA73B3" w:rsidR="00EA73B3" w:rsidP="00EA73B3" w:rsidRDefault="00EA73B3" w14:paraId="5B2B9360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1559" w:type="dxa"/>
                </w:tcPr>
                <w:p w:rsidRPr="00EA73B3" w:rsidR="00EA73B3" w:rsidP="00EA73B3" w:rsidRDefault="00EA73B3" w14:paraId="31C1ACDB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Pr="00EA73B3" w:rsidR="00EA73B3" w:rsidTr="002E3A44" w14:paraId="26F15468" w14:textId="77777777">
              <w:trPr>
                <w:trHeight w:val="288"/>
              </w:trPr>
              <w:tc>
                <w:tcPr>
                  <w:tcW w:w="2514" w:type="dxa"/>
                </w:tcPr>
                <w:p w:rsidRPr="00EA73B3" w:rsidR="00EA73B3" w:rsidP="0A57A144" w:rsidRDefault="0A57A144" w14:paraId="22D3A938" w14:textId="421D8551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619" w:type="dxa"/>
                  <w:vAlign w:val="center"/>
                </w:tcPr>
                <w:p w:rsidRPr="00EA73B3" w:rsidR="00195A39" w:rsidP="00BB601B" w:rsidRDefault="00BB601B" w14:paraId="2D0F9EFD" w14:textId="5CFC75C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01" w:type="dxa"/>
                  <w:vAlign w:val="center"/>
                </w:tcPr>
                <w:p w:rsidRPr="00EA73B3" w:rsidR="00EA73B3" w:rsidP="0A57A144" w:rsidRDefault="00BB601B" w14:paraId="4B531AFD" w14:textId="3060CD3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A57A144" w:rsidRDefault="000433B9" w14:paraId="4E3F35E6" w14:textId="366900F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0433B9">
                    <w:rPr>
                      <w:rFonts w:eastAsia="Times New Roman" w:cs="Arial"/>
                      <w:sz w:val="20"/>
                      <w:szCs w:val="20"/>
                    </w:rPr>
                    <w:t>BER costs have been determined from the costs published and approved in the HLSO</w:t>
                  </w:r>
                  <w:r w:rsidR="009D45A7">
                    <w:rPr>
                      <w:rFonts w:eastAsia="Times New Roman" w:cs="Arial"/>
                      <w:sz w:val="20"/>
                      <w:szCs w:val="20"/>
                    </w:rPr>
                    <w:t xml:space="preserve"> which were £20,000 - £30,000</w:t>
                  </w: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195A39" w:rsidRDefault="009D45A7" w14:paraId="6A039829" w14:textId="378D578A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25441F">
                    <w:rPr>
                      <w:rFonts w:eastAsia="Times New Roman" w:cs="Arial"/>
                      <w:sz w:val="20"/>
                      <w:szCs w:val="20"/>
                    </w:rPr>
                    <w:t>4,3</w:t>
                  </w:r>
                  <w:r w:rsidR="00695137">
                    <w:rPr>
                      <w:rFonts w:eastAsia="Times New Roman" w:cs="Arial"/>
                      <w:sz w:val="20"/>
                      <w:szCs w:val="20"/>
                    </w:rPr>
                    <w:t>02</w:t>
                  </w:r>
                </w:p>
              </w:tc>
            </w:tr>
            <w:tr w:rsidRPr="00EA73B3" w:rsidR="00EA73B3" w:rsidTr="002E3A44" w14:paraId="199F5DC6" w14:textId="77777777">
              <w:trPr>
                <w:trHeight w:val="218"/>
              </w:trPr>
              <w:tc>
                <w:tcPr>
                  <w:tcW w:w="2514" w:type="dxa"/>
                </w:tcPr>
                <w:p w:rsidRPr="00EA73B3" w:rsidR="00EA73B3" w:rsidP="00EA73B3" w:rsidRDefault="00EA73B3" w14:paraId="133FE8C2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619" w:type="dxa"/>
                  <w:vAlign w:val="center"/>
                </w:tcPr>
                <w:p w:rsidRPr="00EA73B3" w:rsidR="00EA73B3" w:rsidP="00EA73B3" w:rsidRDefault="00EA73B3" w14:paraId="15D11F30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Pr="00EA73B3" w:rsidR="00EA73B3" w:rsidP="00EA73B3" w:rsidRDefault="00EA73B3" w14:paraId="12A63D92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0E94C84F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7CD53000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Pr="00EA73B3" w:rsidR="00EA73B3" w:rsidTr="002E3A44" w14:paraId="634F441F" w14:textId="77777777">
              <w:trPr>
                <w:trHeight w:val="218"/>
              </w:trPr>
              <w:tc>
                <w:tcPr>
                  <w:tcW w:w="2514" w:type="dxa"/>
                </w:tcPr>
                <w:p w:rsidRPr="00EA73B3" w:rsidR="00EA73B3" w:rsidP="00EA73B3" w:rsidRDefault="00EA73B3" w14:paraId="11DD2C74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619" w:type="dxa"/>
                  <w:vAlign w:val="center"/>
                </w:tcPr>
                <w:p w:rsidRPr="00EA73B3" w:rsidR="00EA73B3" w:rsidP="00EA73B3" w:rsidRDefault="00EA73B3" w14:paraId="6CFF2878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Pr="00EA73B3" w:rsidR="00EA73B3" w:rsidP="00EA73B3" w:rsidRDefault="00EA73B3" w14:paraId="13C064A1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56E130A8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18147167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Pr="00EA73B3" w:rsidR="00EA73B3" w:rsidTr="002E3A44" w14:paraId="66A0BF97" w14:textId="77777777">
              <w:trPr>
                <w:trHeight w:val="218"/>
              </w:trPr>
              <w:tc>
                <w:tcPr>
                  <w:tcW w:w="2514" w:type="dxa"/>
                </w:tcPr>
                <w:p w:rsidRPr="00EA73B3" w:rsidR="00EA73B3" w:rsidP="00EA73B3" w:rsidRDefault="00EA73B3" w14:paraId="72F552F1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619" w:type="dxa"/>
                  <w:vAlign w:val="center"/>
                </w:tcPr>
                <w:p w:rsidRPr="00EA73B3" w:rsidR="00EA73B3" w:rsidP="00EA73B3" w:rsidRDefault="00EA73B3" w14:paraId="487BE727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Pr="00EA73B3" w:rsidR="00EA73B3" w:rsidP="00EA73B3" w:rsidRDefault="00EA73B3" w14:paraId="545FA9E5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75059127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719E72A3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Pr="00EA73B3" w:rsidR="00EA73B3" w:rsidTr="002E3A44" w14:paraId="620BFD5F" w14:textId="77777777">
              <w:trPr>
                <w:trHeight w:val="50"/>
              </w:trPr>
              <w:tc>
                <w:tcPr>
                  <w:tcW w:w="2514" w:type="dxa"/>
                </w:tcPr>
                <w:p w:rsidRPr="00EA73B3" w:rsidR="00EA73B3" w:rsidP="00EA73B3" w:rsidRDefault="00EA73B3" w14:paraId="3FE2DEBE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619" w:type="dxa"/>
                  <w:vAlign w:val="center"/>
                </w:tcPr>
                <w:p w:rsidRPr="00EA73B3" w:rsidR="00EA73B3" w:rsidP="00EA73B3" w:rsidRDefault="00EA73B3" w14:paraId="7D880586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Pr="00EA73B3" w:rsidR="00EA73B3" w:rsidP="00EA73B3" w:rsidRDefault="00EA73B3" w14:paraId="6648D219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12B102FE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Pr="00EA73B3" w:rsidR="00EA73B3" w:rsidP="00EA73B3" w:rsidRDefault="00EA73B3" w14:paraId="2BCC920E" w14:textId="7777777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Pr="00EA73B3" w:rsidR="004237FE" w:rsidP="00BB601B" w:rsidRDefault="004237FE" w14:paraId="1672974D" w14:textId="65F98540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Pr="00EA73B3" w:rsidR="00EA73B3" w:rsidTr="002E3A44" w14:paraId="3A67F60A" w14:textId="77777777">
        <w:trPr>
          <w:trHeight w:val="216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3E5AA8" w:themeFill="accent1"/>
            <w:vAlign w:val="center"/>
          </w:tcPr>
          <w:p w:rsidRPr="00EA73B3" w:rsidR="00EA73B3" w:rsidP="00EA73B3" w:rsidRDefault="00EA73B3" w14:paraId="72C63EE6" w14:textId="77777777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Pr="00EA73B3" w:rsidR="00EA73B3" w:rsidTr="002E3A44" w14:paraId="373C6975" w14:textId="77777777">
        <w:trPr>
          <w:trHeight w:val="244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3EF7" w:rsidR="00EA73B3" w:rsidP="0A57A144" w:rsidRDefault="005153B1" w14:paraId="4156BA78" w14:textId="3679E44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1F3EF7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Pr="00EA73B3" w:rsidR="00EA73B3" w:rsidTr="002E3A44" w14:paraId="44DCE113" w14:textId="77777777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:rsidRPr="00EA73B3" w:rsidR="00EA73B3" w:rsidP="00EA73B3" w:rsidRDefault="00EA73B3" w14:paraId="23A67B82" w14:textId="7777777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Pr="00EA73B3" w:rsidR="00EA73B3" w:rsidTr="002E3A44" w14:paraId="7B78493D" w14:textId="77777777">
        <w:trPr>
          <w:trHeight w:val="216"/>
        </w:trPr>
        <w:tc>
          <w:tcPr>
            <w:tcW w:w="5000" w:type="pct"/>
            <w:shd w:val="clear" w:color="auto" w:fill="auto"/>
          </w:tcPr>
          <w:p w:rsidRPr="00EA73B3" w:rsidR="00EA73B3" w:rsidP="00195A39" w:rsidRDefault="009D45A7" w14:paraId="46992048" w14:textId="33AE235C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902EB">
              <w:rPr>
                <w:rFonts w:cs="Arial"/>
                <w:sz w:val="20"/>
                <w:szCs w:val="16"/>
              </w:rPr>
              <w:t xml:space="preserve">A new </w:t>
            </w:r>
            <w:r w:rsidR="00DE030D">
              <w:rPr>
                <w:rFonts w:cs="Arial"/>
                <w:sz w:val="20"/>
                <w:szCs w:val="16"/>
              </w:rPr>
              <w:t>DSC</w:t>
            </w:r>
            <w:r w:rsidR="00260C48">
              <w:rPr>
                <w:rFonts w:cs="Arial"/>
                <w:sz w:val="20"/>
                <w:szCs w:val="16"/>
              </w:rPr>
              <w:t xml:space="preserve"> Direct </w:t>
            </w:r>
            <w:r w:rsidRPr="002902EB">
              <w:rPr>
                <w:rFonts w:cs="Arial"/>
                <w:sz w:val="20"/>
                <w:szCs w:val="16"/>
              </w:rPr>
              <w:t xml:space="preserve">Service Line </w:t>
            </w:r>
            <w:r>
              <w:rPr>
                <w:rFonts w:cs="Arial"/>
                <w:sz w:val="20"/>
                <w:szCs w:val="16"/>
              </w:rPr>
              <w:t xml:space="preserve">will be implemented for </w:t>
            </w:r>
            <w:r w:rsidRPr="002902EB">
              <w:rPr>
                <w:rFonts w:cs="Arial"/>
                <w:sz w:val="20"/>
                <w:szCs w:val="16"/>
              </w:rPr>
              <w:t>the CDSP to hold and maintain the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="007B0518">
              <w:rPr>
                <w:rFonts w:cs="Arial"/>
                <w:sz w:val="20"/>
                <w:szCs w:val="16"/>
              </w:rPr>
              <w:t xml:space="preserve">Shipper Affiliate </w:t>
            </w:r>
            <w:r>
              <w:rPr>
                <w:rFonts w:cs="Arial"/>
                <w:sz w:val="20"/>
                <w:szCs w:val="16"/>
              </w:rPr>
              <w:t>relationship table</w:t>
            </w:r>
            <w:r w:rsidR="007B0518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16"/>
              </w:rPr>
              <w:t>for the purpose of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AQ amendments utilising reason code 3.</w:t>
            </w:r>
          </w:p>
        </w:tc>
      </w:tr>
      <w:tr w:rsidRPr="00EA73B3" w:rsidR="00EA73B3" w:rsidTr="002E3A44" w14:paraId="6EF7276F" w14:textId="77777777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:rsidRPr="00EA73B3" w:rsidR="00EA73B3" w:rsidP="00EA73B3" w:rsidRDefault="00EA73B3" w14:paraId="509E9641" w14:textId="7777777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Pr="00EA73B3" w:rsidR="00EA73B3" w:rsidTr="002E3A44" w14:paraId="083A4EDD" w14:textId="77777777">
        <w:trPr>
          <w:trHeight w:val="273"/>
        </w:trPr>
        <w:tc>
          <w:tcPr>
            <w:tcW w:w="5000" w:type="pct"/>
            <w:shd w:val="clear" w:color="auto" w:fill="auto"/>
          </w:tcPr>
          <w:p w:rsidRPr="001F3EF7" w:rsidR="00EA73B3" w:rsidP="0A57A144" w:rsidRDefault="00BA5D1D" w14:paraId="1AB0B5C7" w14:textId="5D069F1A">
            <w:pPr>
              <w:spacing w:line="276" w:lineRule="auto"/>
              <w:contextualSpacing/>
              <w:rPr>
                <w:rFonts w:eastAsia="Times New Roman" w:cs="Arial"/>
                <w:color w:val="FF0000"/>
                <w:szCs w:val="16"/>
              </w:rPr>
            </w:pPr>
            <w:r w:rsidRPr="001F3EF7">
              <w:rPr>
                <w:rFonts w:eastAsia="Times New Roman" w:cs="Arial"/>
                <w:szCs w:val="16"/>
              </w:rPr>
              <w:t>N/A</w:t>
            </w:r>
          </w:p>
        </w:tc>
      </w:tr>
      <w:tr w:rsidRPr="00EA73B3" w:rsidR="00EA73B3" w:rsidTr="002E3A44" w14:paraId="7D853ABD" w14:textId="77777777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:rsidRPr="00EA73B3" w:rsidR="00EA73B3" w:rsidP="00EA73B3" w:rsidRDefault="00EA73B3" w14:paraId="3FF03745" w14:textId="77777777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Pr="00EA73B3" w:rsidR="00EA73B3" w:rsidTr="00D17E3D" w14:paraId="495C3462" w14:textId="77777777">
        <w:trPr>
          <w:trHeight w:val="391"/>
        </w:trPr>
        <w:tc>
          <w:tcPr>
            <w:tcW w:w="5000" w:type="pct"/>
            <w:shd w:val="clear" w:color="auto" w:fill="auto"/>
          </w:tcPr>
          <w:p w:rsidRPr="001F3EF7" w:rsidR="00EA73B3" w:rsidP="0A57A144" w:rsidRDefault="00AE1AB4" w14:paraId="7B2B5B58" w14:textId="35BF64CA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</w:tr>
    </w:tbl>
    <w:p w:rsidR="001C2268" w:rsidP="00EA73B3" w:rsidRDefault="001C2268" w14:paraId="4CC1E547" w14:textId="77777777">
      <w:pPr>
        <w:rPr>
          <w:rFonts w:eastAsia="Arial" w:cs="Arial"/>
          <w:b/>
        </w:rPr>
      </w:pPr>
    </w:p>
    <w:p w:rsidRPr="001C2268" w:rsidR="001C2268" w:rsidP="001C2268" w:rsidRDefault="001C2268" w14:paraId="3796074C" w14:textId="77777777">
      <w:pPr>
        <w:pStyle w:val="NoSpacing"/>
        <w:rPr>
          <w:rFonts w:eastAsia="Arial"/>
        </w:rPr>
      </w:pPr>
    </w:p>
    <w:p w:rsidRPr="00EA73B3" w:rsidR="00D66C7E" w:rsidP="00EA73B3" w:rsidRDefault="00D66C7E" w14:paraId="7651F714" w14:textId="77777777"/>
    <w:sectPr w:rsidRPr="00EA73B3" w:rsidR="00D66C7E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1E" w:rsidP="00324744" w:rsidRDefault="00D3431E" w14:paraId="7C5F9280" w14:textId="77777777">
      <w:pPr>
        <w:spacing w:after="0" w:line="240" w:lineRule="auto"/>
      </w:pPr>
      <w:r>
        <w:separator/>
      </w:r>
    </w:p>
  </w:endnote>
  <w:endnote w:type="continuationSeparator" w:id="0">
    <w:p w:rsidR="00D3431E" w:rsidP="00324744" w:rsidRDefault="00D3431E" w14:paraId="5D6C86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BD0A45" w:rsidRDefault="00BD0A45" w14:paraId="67279F8C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6277E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1E" w:rsidP="00324744" w:rsidRDefault="00D3431E" w14:paraId="0F5914D2" w14:textId="77777777">
      <w:pPr>
        <w:spacing w:after="0" w:line="240" w:lineRule="auto"/>
      </w:pPr>
      <w:r>
        <w:separator/>
      </w:r>
    </w:p>
  </w:footnote>
  <w:footnote w:type="continuationSeparator" w:id="0">
    <w:p w:rsidR="00D3431E" w:rsidP="00324744" w:rsidRDefault="00D3431E" w14:paraId="43F953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24744" w:rsidRDefault="00324744" w14:paraId="67279F8B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62DDA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80"/>
    <w:multiLevelType w:val="hybridMultilevel"/>
    <w:tmpl w:val="B86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D54E16"/>
    <w:multiLevelType w:val="hybridMultilevel"/>
    <w:tmpl w:val="CFD0FF36"/>
    <w:lvl w:ilvl="0" w:tplc="6CF2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E569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0643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744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CA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3E6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3AA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C845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8909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570E"/>
    <w:rsid w:val="000068F1"/>
    <w:rsid w:val="00006C99"/>
    <w:rsid w:val="0002051D"/>
    <w:rsid w:val="00031B38"/>
    <w:rsid w:val="00035481"/>
    <w:rsid w:val="00037DF7"/>
    <w:rsid w:val="00040FE3"/>
    <w:rsid w:val="000433B9"/>
    <w:rsid w:val="00060149"/>
    <w:rsid w:val="000628C1"/>
    <w:rsid w:val="00086147"/>
    <w:rsid w:val="00095D36"/>
    <w:rsid w:val="00097798"/>
    <w:rsid w:val="000A1AD1"/>
    <w:rsid w:val="000E6268"/>
    <w:rsid w:val="000F2D3A"/>
    <w:rsid w:val="00111780"/>
    <w:rsid w:val="00113A04"/>
    <w:rsid w:val="00117FAF"/>
    <w:rsid w:val="00125B61"/>
    <w:rsid w:val="00126697"/>
    <w:rsid w:val="00131456"/>
    <w:rsid w:val="00144E00"/>
    <w:rsid w:val="00154E9C"/>
    <w:rsid w:val="00161D8C"/>
    <w:rsid w:val="00195A39"/>
    <w:rsid w:val="001B4F53"/>
    <w:rsid w:val="001B77A0"/>
    <w:rsid w:val="001C2268"/>
    <w:rsid w:val="001F3EF7"/>
    <w:rsid w:val="00205AB1"/>
    <w:rsid w:val="00226D34"/>
    <w:rsid w:val="002362D0"/>
    <w:rsid w:val="0025441F"/>
    <w:rsid w:val="002604D1"/>
    <w:rsid w:val="00260C48"/>
    <w:rsid w:val="00271200"/>
    <w:rsid w:val="00275A7F"/>
    <w:rsid w:val="00276C03"/>
    <w:rsid w:val="00285816"/>
    <w:rsid w:val="002902EB"/>
    <w:rsid w:val="002951C3"/>
    <w:rsid w:val="002B5E11"/>
    <w:rsid w:val="002C0538"/>
    <w:rsid w:val="002E3A44"/>
    <w:rsid w:val="00322D44"/>
    <w:rsid w:val="00324744"/>
    <w:rsid w:val="00344C38"/>
    <w:rsid w:val="00355F83"/>
    <w:rsid w:val="00393F83"/>
    <w:rsid w:val="003A5A6E"/>
    <w:rsid w:val="003B0759"/>
    <w:rsid w:val="003C2C71"/>
    <w:rsid w:val="004237FE"/>
    <w:rsid w:val="00426807"/>
    <w:rsid w:val="00470DA6"/>
    <w:rsid w:val="00476E4E"/>
    <w:rsid w:val="00485D56"/>
    <w:rsid w:val="004C410F"/>
    <w:rsid w:val="004D0F26"/>
    <w:rsid w:val="004D30FA"/>
    <w:rsid w:val="004F3362"/>
    <w:rsid w:val="00510BAF"/>
    <w:rsid w:val="005153B1"/>
    <w:rsid w:val="00517659"/>
    <w:rsid w:val="00517F6F"/>
    <w:rsid w:val="00540DCA"/>
    <w:rsid w:val="005451A0"/>
    <w:rsid w:val="00547236"/>
    <w:rsid w:val="0055298E"/>
    <w:rsid w:val="00567890"/>
    <w:rsid w:val="00574523"/>
    <w:rsid w:val="005817A1"/>
    <w:rsid w:val="00590BC9"/>
    <w:rsid w:val="005A2A3E"/>
    <w:rsid w:val="005D54C1"/>
    <w:rsid w:val="006031F4"/>
    <w:rsid w:val="00613931"/>
    <w:rsid w:val="00622752"/>
    <w:rsid w:val="00637EC1"/>
    <w:rsid w:val="00644AB6"/>
    <w:rsid w:val="0066138B"/>
    <w:rsid w:val="0069300D"/>
    <w:rsid w:val="00695137"/>
    <w:rsid w:val="006B1D12"/>
    <w:rsid w:val="006B5222"/>
    <w:rsid w:val="00701D8A"/>
    <w:rsid w:val="0072164C"/>
    <w:rsid w:val="007243D3"/>
    <w:rsid w:val="007342A0"/>
    <w:rsid w:val="007636D3"/>
    <w:rsid w:val="00773970"/>
    <w:rsid w:val="00776452"/>
    <w:rsid w:val="00781401"/>
    <w:rsid w:val="007A56DB"/>
    <w:rsid w:val="007B0518"/>
    <w:rsid w:val="007C1E37"/>
    <w:rsid w:val="007D4F26"/>
    <w:rsid w:val="007E7C5B"/>
    <w:rsid w:val="00801F30"/>
    <w:rsid w:val="0080633E"/>
    <w:rsid w:val="00817A62"/>
    <w:rsid w:val="00842F48"/>
    <w:rsid w:val="0088455C"/>
    <w:rsid w:val="008C0CFD"/>
    <w:rsid w:val="008D1C51"/>
    <w:rsid w:val="00910B6B"/>
    <w:rsid w:val="00922315"/>
    <w:rsid w:val="009363F0"/>
    <w:rsid w:val="009D45A7"/>
    <w:rsid w:val="00A333F0"/>
    <w:rsid w:val="00A57D06"/>
    <w:rsid w:val="00A727A1"/>
    <w:rsid w:val="00A947D5"/>
    <w:rsid w:val="00AB5B54"/>
    <w:rsid w:val="00AB63DE"/>
    <w:rsid w:val="00AC147E"/>
    <w:rsid w:val="00AE1AB4"/>
    <w:rsid w:val="00B03FF3"/>
    <w:rsid w:val="00B45464"/>
    <w:rsid w:val="00B84E82"/>
    <w:rsid w:val="00B8770C"/>
    <w:rsid w:val="00B93200"/>
    <w:rsid w:val="00BA5D1D"/>
    <w:rsid w:val="00BB601B"/>
    <w:rsid w:val="00BD0A45"/>
    <w:rsid w:val="00BF3764"/>
    <w:rsid w:val="00C2661E"/>
    <w:rsid w:val="00C42C03"/>
    <w:rsid w:val="00C61AB1"/>
    <w:rsid w:val="00C73228"/>
    <w:rsid w:val="00CD01AA"/>
    <w:rsid w:val="00CE4BEF"/>
    <w:rsid w:val="00D17E3D"/>
    <w:rsid w:val="00D225B3"/>
    <w:rsid w:val="00D3431E"/>
    <w:rsid w:val="00D66C7E"/>
    <w:rsid w:val="00D76610"/>
    <w:rsid w:val="00DB79B2"/>
    <w:rsid w:val="00DD0C65"/>
    <w:rsid w:val="00DD2E5B"/>
    <w:rsid w:val="00DE030D"/>
    <w:rsid w:val="00DE4461"/>
    <w:rsid w:val="00E2457A"/>
    <w:rsid w:val="00E45955"/>
    <w:rsid w:val="00EA73B3"/>
    <w:rsid w:val="00ED75D4"/>
    <w:rsid w:val="00F31066"/>
    <w:rsid w:val="00F45E21"/>
    <w:rsid w:val="00F841C7"/>
    <w:rsid w:val="00F95876"/>
    <w:rsid w:val="00FB7BFE"/>
    <w:rsid w:val="0A57A144"/>
    <w:rsid w:val="664836CC"/>
    <w:rsid w:val="6BA18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79F40"/>
  <w15:docId w15:val="{1A277DF5-CE81-4284-864A-797CDE3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E2C5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styleId="Heading1Char" w:customStyle="1">
    <w:name w:val="Heading 1 Char"/>
    <w:aliases w:val="Xo Heading 1 Char"/>
    <w:basedOn w:val="DefaultParagraphFont"/>
    <w:link w:val="Heading1"/>
    <w:uiPriority w:val="9"/>
    <w:rsid w:val="007A56DB"/>
    <w:rPr>
      <w:rFonts w:ascii="Arial" w:hAnsi="Arial" w:eastAsiaTheme="majorEastAsia" w:cstheme="majorBidi"/>
      <w:b/>
      <w:bCs/>
      <w:color w:val="3E5AA8"/>
      <w:sz w:val="28"/>
      <w:szCs w:val="28"/>
    </w:rPr>
  </w:style>
  <w:style w:type="character" w:styleId="Heading2Char" w:customStyle="1">
    <w:name w:val="Heading 2 Char"/>
    <w:aliases w:val="Xo Heading 2 Char"/>
    <w:basedOn w:val="DefaultParagraphFont"/>
    <w:link w:val="Heading2"/>
    <w:uiPriority w:val="9"/>
    <w:rsid w:val="007A56DB"/>
    <w:rPr>
      <w:rFonts w:ascii="Arial" w:hAnsi="Arial" w:eastAsiaTheme="majorEastAsia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color="3E5AA8" w:themeColor="accent1" w:sz="8" w:space="4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styleId="TitleChar" w:customStyle="1">
    <w:name w:val="Title Char"/>
    <w:aliases w:val="Xo Title Char"/>
    <w:basedOn w:val="DefaultParagraphFont"/>
    <w:link w:val="Title"/>
    <w:uiPriority w:val="10"/>
    <w:rsid w:val="00BD0A45"/>
    <w:rPr>
      <w:rFonts w:ascii="Arial" w:hAnsi="Arial" w:eastAsiaTheme="majorEastAsia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styleId="SubtitleChar" w:customStyle="1">
    <w:name w:val="Subtitle Char"/>
    <w:aliases w:val="Xo Subtitle Char"/>
    <w:basedOn w:val="DefaultParagraphFont"/>
    <w:link w:val="Subtitle"/>
    <w:uiPriority w:val="11"/>
    <w:rsid w:val="00324744"/>
    <w:rPr>
      <w:rFonts w:ascii="Arial" w:hAnsi="Arial" w:eastAsiaTheme="majorEastAsia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styleId="Heading3Char" w:customStyle="1">
    <w:name w:val="Heading 3 Char"/>
    <w:basedOn w:val="DefaultParagraphFont"/>
    <w:link w:val="Heading3"/>
    <w:uiPriority w:val="9"/>
    <w:rsid w:val="00BD0A45"/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styleId="Heading4Char" w:customStyle="1">
    <w:name w:val="Heading 4 Char"/>
    <w:aliases w:val="Xo Heading 4 Char"/>
    <w:basedOn w:val="DefaultParagraphFont"/>
    <w:link w:val="Heading4"/>
    <w:uiPriority w:val="9"/>
    <w:rsid w:val="0000140B"/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0140B"/>
    <w:rPr>
      <w:rFonts w:asciiTheme="majorHAnsi" w:hAnsiTheme="majorHAnsi" w:eastAsiaTheme="majorEastAsia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1" w:customStyle="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A5D1D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paragraph" w:customStyle="1">
    <w:name w:val="paragraph"/>
    <w:basedOn w:val="Normal"/>
    <w:rsid w:val="000E62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E6268"/>
  </w:style>
  <w:style w:type="character" w:styleId="eop" w:customStyle="1">
    <w:name w:val="eop"/>
    <w:basedOn w:val="DefaultParagraphFont"/>
    <w:rsid w:val="000E6268"/>
  </w:style>
  <w:style w:type="character" w:styleId="CommentReference">
    <w:name w:val="annotation reference"/>
    <w:basedOn w:val="DefaultParagraphFont"/>
    <w:uiPriority w:val="99"/>
    <w:semiHidden/>
    <w:unhideWhenUsed/>
    <w:rsid w:val="0002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5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051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05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1fef8d34-828c-4bf0-a9d1-47ac614b5be5"/>
    <ds:schemaRef ds:uri="http://schemas.openxmlformats.org/package/2006/metadata/core-properties"/>
    <ds:schemaRef ds:uri="8e4dd5e6-ebf7-4b0c-aba8-145947f833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CC6891-CEFD-4D96-946D-532151CA68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National Grid</dc:creator>
  <lastModifiedBy>Kate Lancaster</lastModifiedBy>
  <revision>19</revision>
  <dcterms:created xsi:type="dcterms:W3CDTF">2021-06-24T15:29:00.0000000Z</dcterms:created>
  <dcterms:modified xsi:type="dcterms:W3CDTF">2021-06-25T09:57:33.4676954Z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