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1CD525A3" w:rsidR="00EA73B3" w:rsidRPr="00EA73B3" w:rsidRDefault="009046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iConversion2 Part1 (NG interfaces)</w:t>
            </w:r>
          </w:p>
        </w:tc>
      </w:tr>
      <w:tr w:rsidR="00EA73B3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27A81E16" w:rsidR="00EA73B3" w:rsidRPr="00EA73B3" w:rsidRDefault="00601A4C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90461F">
              <w:rPr>
                <w:rFonts w:eastAsia="Times New Roman" w:cs="Arial"/>
                <w:sz w:val="20"/>
                <w:szCs w:val="20"/>
              </w:rPr>
              <w:t>5092</w:t>
            </w:r>
          </w:p>
        </w:tc>
      </w:tr>
      <w:tr w:rsidR="00EA73B3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1B37A6B8" w:rsidR="00EA73B3" w:rsidRPr="00EA73B3" w:rsidRDefault="009046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Rachel Addison</w:t>
            </w:r>
          </w:p>
        </w:tc>
      </w:tr>
      <w:tr w:rsidR="00EA73B3" w:rsidRPr="00EA73B3" w14:paraId="2390A8AC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2E8597BC" w:rsidR="00EA73B3" w:rsidRPr="00EA73B3" w:rsidRDefault="0090461F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Pr="00A33D3D">
                <w:rPr>
                  <w:rStyle w:val="Hyperlink"/>
                  <w:rFonts w:eastAsia="Times New Roman" w:cs="Arial"/>
                  <w:sz w:val="20"/>
                  <w:szCs w:val="20"/>
                </w:rPr>
                <w:t>Rachel.Addison@xoserve.com</w:t>
              </w:r>
            </w:hyperlink>
          </w:p>
        </w:tc>
      </w:tr>
      <w:tr w:rsidR="00EA73B3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057C6368" w:rsidR="00EA73B3" w:rsidRPr="00EA73B3" w:rsidRDefault="00652822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0121229</w:t>
            </w:r>
            <w:r w:rsidR="0090461F">
              <w:rPr>
                <w:rFonts w:eastAsia="Times New Roman" w:cs="Arial"/>
                <w:sz w:val="20"/>
                <w:szCs w:val="20"/>
              </w:rPr>
              <w:t>2528</w:t>
            </w:r>
          </w:p>
        </w:tc>
      </w:tr>
      <w:tr w:rsidR="00EA73B3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28B75E58" w:rsidR="00EA73B3" w:rsidRPr="00EA73B3" w:rsidRDefault="0090461F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="00CF16A1">
              <w:rPr>
                <w:rFonts w:eastAsia="Times New Roman" w:cs="Arial"/>
                <w:sz w:val="20"/>
                <w:szCs w:val="20"/>
              </w:rPr>
              <w:t>9/12/20</w:t>
            </w:r>
            <w:r>
              <w:rPr>
                <w:rFonts w:eastAsia="Times New Roman" w:cs="Arial"/>
                <w:sz w:val="20"/>
                <w:szCs w:val="20"/>
              </w:rPr>
              <w:t>20</w:t>
            </w:r>
          </w:p>
        </w:tc>
      </w:tr>
      <w:tr w:rsidR="00EA73B3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32DC8F4D" w:rsidR="00EA73B3" w:rsidRPr="00EA73B3" w:rsidRDefault="00DA5DA5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May </w:t>
            </w:r>
            <w:r w:rsidR="0037078A">
              <w:rPr>
                <w:rFonts w:eastAsia="Times New Roman" w:cs="Arial"/>
                <w:sz w:val="20"/>
                <w:szCs w:val="20"/>
              </w:rPr>
              <w:t>2020</w:t>
            </w:r>
          </w:p>
        </w:tc>
      </w:tr>
      <w:tr w:rsidR="00EA73B3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729D40F3" w14:textId="77777777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0A30ACD8" w14:textId="1163E968" w:rsidR="00AA7ABA" w:rsidRDefault="00AA7ABA" w:rsidP="00AA7ABA">
            <w:pPr>
              <w:pStyle w:val="Bullet1"/>
              <w:ind w:left="0" w:firstLine="0"/>
            </w:pPr>
            <w:r w:rsidRPr="00344C9C">
              <w:t xml:space="preserve">The </w:t>
            </w:r>
            <w:r>
              <w:t>scope of the project</w:t>
            </w:r>
            <w:r w:rsidRPr="00344C9C">
              <w:t xml:space="preserve"> </w:t>
            </w:r>
            <w:r w:rsidR="00DA5DA5">
              <w:t>wa</w:t>
            </w:r>
            <w:r w:rsidRPr="00344C9C">
              <w:t xml:space="preserve">s to migrate all </w:t>
            </w:r>
            <w:r>
              <w:t xml:space="preserve">National Grid </w:t>
            </w:r>
            <w:r w:rsidRPr="00344C9C">
              <w:t>se</w:t>
            </w:r>
            <w:r>
              <w:t xml:space="preserve">rvices running on </w:t>
            </w:r>
            <w:proofErr w:type="spellStart"/>
            <w:r>
              <w:t>Globalscape</w:t>
            </w:r>
            <w:proofErr w:type="spellEnd"/>
            <w:r>
              <w:t xml:space="preserve">, BFTS, Chamois and Revenge to </w:t>
            </w:r>
            <w:r w:rsidRPr="00344C9C">
              <w:t>Oracle Fusion Managed File Transfer (MFT) on the Strategic CIS Platform</w:t>
            </w:r>
            <w:r>
              <w:t xml:space="preserve">. </w:t>
            </w:r>
          </w:p>
          <w:p w14:paraId="3CF00982" w14:textId="77777777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2943FD08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152C0D61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49F1A4D7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6BFDB63D" w:rsidR="00EA73B3" w:rsidRPr="00EA73B3" w:rsidRDefault="009F361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46B8C30" w14:textId="74CAE4AC" w:rsidR="00EA73B3" w:rsidRP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A57A144">
              <w:tc>
                <w:tcPr>
                  <w:tcW w:w="2547" w:type="dxa"/>
                </w:tcPr>
                <w:p w14:paraId="7FC01E34" w14:textId="7B5E251A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EA73B3" w:rsidRDefault="00EA73B3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F0EFF" w14:textId="413F560A" w:rsidR="0A57A144" w:rsidRDefault="0A57A144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2D0F9EFD" w14:textId="25E994B2" w:rsidR="00195A39" w:rsidRPr="00EA73B3" w:rsidRDefault="00195A39" w:rsidP="00195A39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4B531AFD" w14:textId="64F156D4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4E3F35E6" w14:textId="740FB99C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2A0C4AA" w14:textId="7F64C070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6A039829" w14:textId="29D32856" w:rsidR="00EA73B3" w:rsidRPr="00EA73B3" w:rsidRDefault="00EA73B3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2A63D92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3C064A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6E130A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1814716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20392846" w:rsidR="00EA73B3" w:rsidRPr="00EA73B3" w:rsidRDefault="0085761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01610E66" w:rsidR="00EA73B3" w:rsidRPr="00EA73B3" w:rsidRDefault="0085761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0E4B9DF7" w:rsidR="00EA73B3" w:rsidRPr="00EA73B3" w:rsidRDefault="00CC5376" w:rsidP="00CC5376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DA5DA5">
                    <w:rPr>
                      <w:rFonts w:eastAsia="Times New Roman" w:cs="Arial"/>
                      <w:sz w:val="20"/>
                      <w:szCs w:val="20"/>
                    </w:rPr>
                    <w:t>12,529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29962E1B" w:rsidR="00EA73B3" w:rsidRPr="00EA73B3" w:rsidRDefault="00FE4BEB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DA5DA5">
                    <w:rPr>
                      <w:rFonts w:eastAsia="Times New Roman" w:cs="Arial"/>
                      <w:sz w:val="20"/>
                      <w:szCs w:val="20"/>
                    </w:rPr>
                    <w:t>13,450</w:t>
                  </w:r>
                </w:p>
              </w:tc>
            </w:tr>
            <w:tr w:rsidR="00EA73B3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648D21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12B102F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CC920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232FB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47055F6" w14:textId="3DE22272" w:rsidR="0065667C" w:rsidRDefault="00DA5DA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testing phase took longer than originally anticipated due to connectivity issues hence the slight increase in the actual cost compared to the forecast value provided in the BER. </w:t>
            </w:r>
            <w:bookmarkStart w:id="0" w:name="_GoBack"/>
            <w:bookmarkEnd w:id="0"/>
          </w:p>
          <w:p w14:paraId="4156BA78" w14:textId="549E8493" w:rsidR="0065667C" w:rsidRPr="00EA73B3" w:rsidRDefault="0065667C" w:rsidP="00DA5DA5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501CD33A" w14:textId="77777777" w:rsidR="00E00CD8" w:rsidRDefault="00E00CD8" w:rsidP="00E00CD8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7CE036B4" w14:textId="77777777" w:rsidR="00E00CD8" w:rsidRDefault="00E00CD8" w:rsidP="00E00CD8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There are no changes identified / required to the Xoserve Service Descriptions.</w:t>
            </w:r>
          </w:p>
          <w:p w14:paraId="46992048" w14:textId="726815B0" w:rsidR="00810DFC" w:rsidRPr="00EA73B3" w:rsidRDefault="00810DFC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55D47851" w14:textId="77777777" w:rsidR="00E00CD8" w:rsidRPr="00E31BA4" w:rsidRDefault="00E00CD8" w:rsidP="0A57A144">
            <w:pPr>
              <w:spacing w:line="276" w:lineRule="auto"/>
              <w:contextualSpacing/>
              <w:rPr>
                <w:rFonts w:eastAsia="Times New Roman" w:cs="Arial"/>
                <w:szCs w:val="16"/>
              </w:rPr>
            </w:pPr>
          </w:p>
          <w:p w14:paraId="72C3F09F" w14:textId="0258528F" w:rsidR="00E00CD8" w:rsidRPr="00DA5DA5" w:rsidRDefault="00E00CD8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DA5DA5">
              <w:rPr>
                <w:rFonts w:eastAsia="Times New Roman" w:cs="Arial"/>
                <w:sz w:val="20"/>
                <w:szCs w:val="20"/>
              </w:rPr>
              <w:t>There are no revisions required to the UK Link Manual</w:t>
            </w:r>
            <w:r w:rsidR="001E0989" w:rsidRPr="00DA5DA5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DA5DA5" w:rsidRPr="00DA5DA5">
              <w:rPr>
                <w:rFonts w:eastAsia="Times New Roman" w:cs="Arial"/>
                <w:sz w:val="20"/>
                <w:szCs w:val="20"/>
              </w:rPr>
              <w:t xml:space="preserve">The structure of the impacted files has not been changed. </w:t>
            </w:r>
          </w:p>
          <w:p w14:paraId="1AB0B5C7" w14:textId="5318A021" w:rsidR="00E00CD8" w:rsidRPr="00EA73B3" w:rsidRDefault="00E00CD8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6: Lessons Learnt</w:t>
            </w:r>
          </w:p>
        </w:tc>
      </w:tr>
      <w:tr w:rsidR="00EA73B3" w:rsidRPr="00EA73B3" w14:paraId="495C3462" w14:textId="77777777" w:rsidTr="0A57A144">
        <w:tc>
          <w:tcPr>
            <w:tcW w:w="5000" w:type="pct"/>
            <w:gridSpan w:val="2"/>
            <w:shd w:val="clear" w:color="auto" w:fill="auto"/>
          </w:tcPr>
          <w:p w14:paraId="06DCF6E4" w14:textId="38E002AE" w:rsidR="00EA73B3" w:rsidRDefault="00EA73B3" w:rsidP="0A57A144">
            <w:pPr>
              <w:spacing w:after="200" w:line="276" w:lineRule="auto"/>
              <w:rPr>
                <w:rFonts w:eastAsia="Times New Roman" w:cs="Times New Roman"/>
                <w:iCs/>
                <w:color w:val="0070C0"/>
                <w:sz w:val="20"/>
                <w:szCs w:val="20"/>
              </w:rPr>
            </w:pPr>
          </w:p>
          <w:p w14:paraId="7B2B5B58" w14:textId="6E3AA328" w:rsidR="00EA73B3" w:rsidRPr="00DA5DA5" w:rsidRDefault="00AB3DF7" w:rsidP="0A57A144">
            <w:pPr>
              <w:spacing w:after="200" w:line="276" w:lineRule="auto"/>
              <w:rPr>
                <w:rFonts w:eastAsia="Times New Roman" w:cs="Arial"/>
                <w:sz w:val="20"/>
                <w:szCs w:val="16"/>
              </w:rPr>
            </w:pPr>
            <w:r w:rsidRPr="001068B3">
              <w:rPr>
                <w:rFonts w:eastAsia="Times New Roman" w:cs="Arial"/>
                <w:sz w:val="20"/>
                <w:szCs w:val="16"/>
              </w:rPr>
              <w:t xml:space="preserve">Given the nature </w:t>
            </w:r>
            <w:r w:rsidR="001B7D37" w:rsidRPr="001068B3">
              <w:rPr>
                <w:rFonts w:eastAsia="Times New Roman" w:cs="Arial"/>
                <w:sz w:val="20"/>
                <w:szCs w:val="16"/>
              </w:rPr>
              <w:t xml:space="preserve">and size </w:t>
            </w:r>
            <w:r w:rsidRPr="001068B3">
              <w:rPr>
                <w:rFonts w:eastAsia="Times New Roman" w:cs="Arial"/>
                <w:sz w:val="20"/>
                <w:szCs w:val="16"/>
              </w:rPr>
              <w:t xml:space="preserve">of the project </w:t>
            </w:r>
            <w:r w:rsidR="00DA5DA5">
              <w:rPr>
                <w:rFonts w:eastAsia="Times New Roman" w:cs="Arial"/>
                <w:sz w:val="20"/>
                <w:szCs w:val="16"/>
              </w:rPr>
              <w:t xml:space="preserve">lessons learned were not captured. 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7F68B798" w:rsidR="00EA73B3" w:rsidRPr="00EA73B3" w:rsidRDefault="00DA5DA5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1C04D0C5" w:rsidR="00EA73B3" w:rsidRPr="00EA73B3" w:rsidRDefault="000E7850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1E0989">
              <w:rPr>
                <w:rFonts w:eastAsia="Times New Roman" w:cs="Arial"/>
                <w:sz w:val="20"/>
                <w:szCs w:val="20"/>
              </w:rPr>
              <w:t>6</w:t>
            </w:r>
            <w:r w:rsidR="00A70E18">
              <w:rPr>
                <w:rFonts w:eastAsia="Times New Roman" w:cs="Arial"/>
                <w:sz w:val="20"/>
                <w:szCs w:val="20"/>
              </w:rPr>
              <w:t>/11/20</w:t>
            </w:r>
          </w:p>
        </w:tc>
        <w:tc>
          <w:tcPr>
            <w:tcW w:w="763" w:type="pct"/>
          </w:tcPr>
          <w:p w14:paraId="4350D9F9" w14:textId="5CD0005A" w:rsidR="00EA73B3" w:rsidRPr="00EA73B3" w:rsidRDefault="001E098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 Addison</w:t>
            </w:r>
            <w:r w:rsidR="0086754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pct"/>
          </w:tcPr>
          <w:p w14:paraId="0FC70C39" w14:textId="03BA69F4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0E75" w14:textId="77777777" w:rsidR="007F1EC5" w:rsidRDefault="007F1EC5" w:rsidP="00324744">
      <w:pPr>
        <w:spacing w:after="0" w:line="240" w:lineRule="auto"/>
      </w:pPr>
      <w:r>
        <w:separator/>
      </w:r>
    </w:p>
  </w:endnote>
  <w:endnote w:type="continuationSeparator" w:id="0">
    <w:p w14:paraId="421246C2" w14:textId="77777777" w:rsidR="007F1EC5" w:rsidRDefault="007F1EC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7325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BB20" w14:textId="77777777" w:rsidR="007F1EC5" w:rsidRDefault="007F1EC5" w:rsidP="00324744">
      <w:pPr>
        <w:spacing w:after="0" w:line="240" w:lineRule="auto"/>
      </w:pPr>
      <w:r>
        <w:separator/>
      </w:r>
    </w:p>
  </w:footnote>
  <w:footnote w:type="continuationSeparator" w:id="0">
    <w:p w14:paraId="0F32EF73" w14:textId="77777777" w:rsidR="007F1EC5" w:rsidRDefault="007F1EC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D966F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2377A"/>
    <w:rsid w:val="00037DF7"/>
    <w:rsid w:val="000A1AD1"/>
    <w:rsid w:val="000A27DC"/>
    <w:rsid w:val="000E7850"/>
    <w:rsid w:val="001068B3"/>
    <w:rsid w:val="00124B09"/>
    <w:rsid w:val="00125B61"/>
    <w:rsid w:val="00131696"/>
    <w:rsid w:val="00144E00"/>
    <w:rsid w:val="00195A39"/>
    <w:rsid w:val="001B7D37"/>
    <w:rsid w:val="001C2268"/>
    <w:rsid w:val="001E0989"/>
    <w:rsid w:val="00226D34"/>
    <w:rsid w:val="002D3491"/>
    <w:rsid w:val="00324744"/>
    <w:rsid w:val="00365196"/>
    <w:rsid w:val="0037078A"/>
    <w:rsid w:val="00426807"/>
    <w:rsid w:val="004F3362"/>
    <w:rsid w:val="00517F6F"/>
    <w:rsid w:val="0055140B"/>
    <w:rsid w:val="0055298E"/>
    <w:rsid w:val="00601A4C"/>
    <w:rsid w:val="00652822"/>
    <w:rsid w:val="0065667C"/>
    <w:rsid w:val="007243D3"/>
    <w:rsid w:val="007A56DB"/>
    <w:rsid w:val="007D4F26"/>
    <w:rsid w:val="007E7C5B"/>
    <w:rsid w:val="007F1EC5"/>
    <w:rsid w:val="00800537"/>
    <w:rsid w:val="00810DFC"/>
    <w:rsid w:val="00817A62"/>
    <w:rsid w:val="00855D2C"/>
    <w:rsid w:val="00857613"/>
    <w:rsid w:val="0086754C"/>
    <w:rsid w:val="008E5E8D"/>
    <w:rsid w:val="0090461F"/>
    <w:rsid w:val="009F3614"/>
    <w:rsid w:val="00A70E18"/>
    <w:rsid w:val="00AA7ABA"/>
    <w:rsid w:val="00AB3DF7"/>
    <w:rsid w:val="00AB5B54"/>
    <w:rsid w:val="00AB63DE"/>
    <w:rsid w:val="00B8770C"/>
    <w:rsid w:val="00BD0A45"/>
    <w:rsid w:val="00CC5376"/>
    <w:rsid w:val="00CF16A1"/>
    <w:rsid w:val="00D66C7E"/>
    <w:rsid w:val="00D87736"/>
    <w:rsid w:val="00DA107C"/>
    <w:rsid w:val="00DA5DA5"/>
    <w:rsid w:val="00E00CD8"/>
    <w:rsid w:val="00E31BA4"/>
    <w:rsid w:val="00EA73B3"/>
    <w:rsid w:val="00F12ABC"/>
    <w:rsid w:val="00F73112"/>
    <w:rsid w:val="00F77B63"/>
    <w:rsid w:val="00F95876"/>
    <w:rsid w:val="00FE2A7C"/>
    <w:rsid w:val="00FE4BEB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A6E5F44A-A65E-4E2F-8066-9AC662B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A4C"/>
    <w:rPr>
      <w:color w:val="605E5C"/>
      <w:shd w:val="clear" w:color="auto" w:fill="E1DFDD"/>
    </w:rPr>
  </w:style>
  <w:style w:type="paragraph" w:customStyle="1" w:styleId="Bullet1">
    <w:name w:val="Bullet 1"/>
    <w:basedOn w:val="BodyText"/>
    <w:uiPriority w:val="1"/>
    <w:qFormat/>
    <w:rsid w:val="00AA7ABA"/>
    <w:pPr>
      <w:spacing w:line="240" w:lineRule="auto"/>
      <w:ind w:left="284" w:hanging="284"/>
    </w:pPr>
    <w:rPr>
      <w:rFonts w:asciiTheme="minorHAnsi" w:eastAsiaTheme="minorHAnsi" w:hAnsiTheme="minorHAnsi"/>
      <w:color w:val="000000" w:themeColor="text1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A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.Addison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4f7902d1-1e24-4186-a6a7-5050410aad6b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141e6de-1288-460b-86bc-8094cfe395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08E6B4-85CC-4C63-89F1-D4DEA7EBF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Addison</cp:lastModifiedBy>
  <cp:revision>4</cp:revision>
  <dcterms:created xsi:type="dcterms:W3CDTF">2020-11-26T20:42:00Z</dcterms:created>
  <dcterms:modified xsi:type="dcterms:W3CDTF">2020-11-26T21:32:00Z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