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4E07" w14:textId="77777777" w:rsidR="00CB5EDC" w:rsidRDefault="008343E0">
      <w:pPr>
        <w:pStyle w:val="Title"/>
      </w:pPr>
      <w:bookmarkStart w:id="0" w:name="_GoBack"/>
      <w:bookmarkEnd w:id="0"/>
      <w:r>
        <w:t>Section G: Change Pack</w:t>
      </w:r>
    </w:p>
    <w:p w14:paraId="21EB4274" w14:textId="77777777" w:rsidR="00CB5EDC" w:rsidRDefault="008343E0">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CB5EDC" w14:paraId="2EDD59F1" w14:textId="77777777">
        <w:trPr>
          <w:trHeight w:val="403"/>
        </w:trPr>
        <w:tc>
          <w:tcPr>
            <w:tcW w:w="1223" w:type="pct"/>
            <w:shd w:val="clear" w:color="auto" w:fill="B3EDFB"/>
            <w:vAlign w:val="center"/>
          </w:tcPr>
          <w:p w14:paraId="596122CC" w14:textId="77777777" w:rsidR="00CB5EDC" w:rsidRDefault="008343E0">
            <w:pPr>
              <w:jc w:val="right"/>
              <w:rPr>
                <w:rFonts w:cs="Arial"/>
              </w:rPr>
            </w:pPr>
            <w:r>
              <w:rPr>
                <w:rFonts w:cs="Arial"/>
              </w:rPr>
              <w:t>Comm Reference:</w:t>
            </w:r>
          </w:p>
        </w:tc>
        <w:tc>
          <w:tcPr>
            <w:tcW w:w="3777" w:type="pct"/>
            <w:vAlign w:val="center"/>
          </w:tcPr>
          <w:p w14:paraId="7E80D0F6" w14:textId="77777777" w:rsidR="00CB5EDC" w:rsidRDefault="008343E0">
            <w:pPr>
              <w:rPr>
                <w:rFonts w:cs="Arial"/>
              </w:rPr>
            </w:pPr>
            <w:r>
              <w:rPr>
                <w:rFonts w:cs="Arial"/>
              </w:rPr>
              <w:t>2634.5 – MT – JR</w:t>
            </w:r>
          </w:p>
        </w:tc>
      </w:tr>
      <w:tr w:rsidR="00CB5EDC" w14:paraId="739CC437" w14:textId="77777777">
        <w:trPr>
          <w:trHeight w:val="403"/>
        </w:trPr>
        <w:tc>
          <w:tcPr>
            <w:tcW w:w="1223" w:type="pct"/>
            <w:shd w:val="clear" w:color="auto" w:fill="B3EDFB"/>
            <w:vAlign w:val="center"/>
          </w:tcPr>
          <w:p w14:paraId="7CD02DAA" w14:textId="77777777" w:rsidR="00CB5EDC" w:rsidRDefault="008343E0">
            <w:pPr>
              <w:jc w:val="right"/>
              <w:rPr>
                <w:rFonts w:cs="Arial"/>
              </w:rPr>
            </w:pPr>
            <w:r>
              <w:rPr>
                <w:rFonts w:cs="Arial"/>
              </w:rPr>
              <w:t>Comm Title:</w:t>
            </w:r>
          </w:p>
        </w:tc>
        <w:tc>
          <w:tcPr>
            <w:tcW w:w="3777" w:type="pct"/>
            <w:vAlign w:val="center"/>
          </w:tcPr>
          <w:p w14:paraId="5974DF06" w14:textId="77777777" w:rsidR="00CB5EDC" w:rsidRDefault="008343E0">
            <w:pPr>
              <w:rPr>
                <w:rFonts w:cs="Arial"/>
              </w:rPr>
            </w:pPr>
            <w:r>
              <w:rPr>
                <w:rFonts w:cs="Arial"/>
              </w:rPr>
              <w:t>XRN</w:t>
            </w:r>
            <w:proofErr w:type="gramStart"/>
            <w:r>
              <w:rPr>
                <w:rFonts w:cs="Arial"/>
              </w:rPr>
              <w:t>5209  Amendments</w:t>
            </w:r>
            <w:proofErr w:type="gramEnd"/>
            <w:r>
              <w:rPr>
                <w:rFonts w:cs="Arial"/>
              </w:rPr>
              <w:t xml:space="preserve"> to the CDSP Service Document - Budget &amp; Charging Methodology v4</w:t>
            </w:r>
          </w:p>
        </w:tc>
      </w:tr>
      <w:tr w:rsidR="00CB5EDC" w14:paraId="3E82B5AF" w14:textId="77777777">
        <w:trPr>
          <w:trHeight w:val="403"/>
        </w:trPr>
        <w:tc>
          <w:tcPr>
            <w:tcW w:w="1223" w:type="pct"/>
            <w:shd w:val="clear" w:color="auto" w:fill="B3EDFB"/>
            <w:vAlign w:val="center"/>
          </w:tcPr>
          <w:p w14:paraId="6020666B" w14:textId="77777777" w:rsidR="00CB5EDC" w:rsidRDefault="008343E0">
            <w:pPr>
              <w:jc w:val="right"/>
              <w:rPr>
                <w:rFonts w:cs="Arial"/>
              </w:rPr>
            </w:pPr>
            <w:r>
              <w:rPr>
                <w:rFonts w:cs="Arial"/>
              </w:rPr>
              <w:t>Comm Date:</w:t>
            </w:r>
          </w:p>
        </w:tc>
        <w:tc>
          <w:tcPr>
            <w:tcW w:w="3777" w:type="pct"/>
            <w:vAlign w:val="center"/>
          </w:tcPr>
          <w:p w14:paraId="5605FB33" w14:textId="77777777" w:rsidR="00CB5EDC" w:rsidRDefault="008343E0">
            <w:pPr>
              <w:rPr>
                <w:rFonts w:cs="Arial"/>
              </w:rPr>
            </w:pPr>
            <w:r>
              <w:rPr>
                <w:rFonts w:cs="Arial"/>
              </w:rPr>
              <w:t>16/07/2020</w:t>
            </w:r>
          </w:p>
        </w:tc>
      </w:tr>
    </w:tbl>
    <w:p w14:paraId="3780D277" w14:textId="77777777" w:rsidR="00CB5EDC" w:rsidRDefault="00CB5EDC"/>
    <w:p w14:paraId="6416FB8A" w14:textId="77777777" w:rsidR="00CB5EDC" w:rsidRDefault="008343E0">
      <w:pPr>
        <w:spacing w:after="0"/>
        <w:rPr>
          <w:b/>
          <w:bCs/>
          <w:color w:val="3E5AA8"/>
          <w:sz w:val="28"/>
          <w:szCs w:val="28"/>
        </w:rPr>
      </w:pPr>
      <w:r>
        <w:rPr>
          <w:b/>
          <w:bCs/>
          <w:color w:val="3E5AA8"/>
          <w:sz w:val="28"/>
          <w:szCs w:val="28"/>
        </w:rPr>
        <w:t>G2: 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CB5EDC" w14:paraId="4BE27FA5" w14:textId="77777777">
        <w:trPr>
          <w:trHeight w:val="403"/>
        </w:trPr>
        <w:tc>
          <w:tcPr>
            <w:tcW w:w="1223" w:type="pct"/>
            <w:shd w:val="clear" w:color="auto" w:fill="B3EDFB"/>
            <w:vAlign w:val="center"/>
          </w:tcPr>
          <w:p w14:paraId="60BCD4F1" w14:textId="77777777" w:rsidR="00CB5EDC" w:rsidRDefault="008343E0">
            <w:pPr>
              <w:jc w:val="right"/>
              <w:rPr>
                <w:rFonts w:cs="Arial"/>
              </w:rPr>
            </w:pPr>
            <w:r>
              <w:rPr>
                <w:rFonts w:cs="Arial"/>
              </w:rPr>
              <w:t>Action Required:</w:t>
            </w:r>
          </w:p>
        </w:tc>
        <w:tc>
          <w:tcPr>
            <w:tcW w:w="3777" w:type="pct"/>
            <w:vAlign w:val="center"/>
          </w:tcPr>
          <w:p w14:paraId="47420C66" w14:textId="77777777" w:rsidR="00CB5EDC" w:rsidRDefault="008343E0">
            <w:pPr>
              <w:rPr>
                <w:rFonts w:cs="Arial"/>
              </w:rPr>
            </w:pPr>
            <w:r>
              <w:rPr>
                <w:rFonts w:cs="Arial"/>
              </w:rPr>
              <w:t>For representation</w:t>
            </w:r>
          </w:p>
        </w:tc>
      </w:tr>
      <w:tr w:rsidR="00CB5EDC" w14:paraId="3876C01A" w14:textId="77777777">
        <w:trPr>
          <w:trHeight w:val="403"/>
        </w:trPr>
        <w:tc>
          <w:tcPr>
            <w:tcW w:w="1223" w:type="pct"/>
            <w:shd w:val="clear" w:color="auto" w:fill="B3EDFB"/>
            <w:vAlign w:val="center"/>
          </w:tcPr>
          <w:p w14:paraId="4B47A792" w14:textId="77777777" w:rsidR="00CB5EDC" w:rsidRDefault="008343E0">
            <w:pPr>
              <w:jc w:val="right"/>
              <w:rPr>
                <w:rFonts w:cs="Arial"/>
              </w:rPr>
            </w:pPr>
            <w:r>
              <w:rPr>
                <w:rFonts w:cs="Arial"/>
              </w:rPr>
              <w:t>Close Out Date:</w:t>
            </w:r>
          </w:p>
        </w:tc>
        <w:tc>
          <w:tcPr>
            <w:tcW w:w="3777" w:type="pct"/>
            <w:vAlign w:val="center"/>
          </w:tcPr>
          <w:p w14:paraId="16F46296" w14:textId="77777777" w:rsidR="00CB5EDC" w:rsidRDefault="008343E0">
            <w:pPr>
              <w:rPr>
                <w:rFonts w:cs="Arial"/>
              </w:rPr>
            </w:pPr>
            <w:r>
              <w:rPr>
                <w:rFonts w:cs="Arial"/>
              </w:rPr>
              <w:t>31/07/2020</w:t>
            </w:r>
          </w:p>
        </w:tc>
      </w:tr>
    </w:tbl>
    <w:p w14:paraId="3EB47458" w14:textId="77777777" w:rsidR="00CB5EDC" w:rsidRDefault="008343E0">
      <w:pPr>
        <w:pStyle w:val="Heading1"/>
      </w:pPr>
      <w:r>
        <w:t>G3: Change Detail</w:t>
      </w:r>
    </w:p>
    <w:tbl>
      <w:tblPr>
        <w:tblStyle w:val="TableGrid"/>
        <w:tblW w:w="5018" w:type="pct"/>
        <w:tblInd w:w="-34" w:type="dxa"/>
        <w:tblLayout w:type="fixed"/>
        <w:tblLook w:val="04A0" w:firstRow="1" w:lastRow="0" w:firstColumn="1" w:lastColumn="0" w:noHBand="0" w:noVBand="1"/>
      </w:tblPr>
      <w:tblGrid>
        <w:gridCol w:w="2213"/>
        <w:gridCol w:w="6835"/>
      </w:tblGrid>
      <w:tr w:rsidR="00CB5EDC" w14:paraId="06CA026D" w14:textId="77777777">
        <w:trPr>
          <w:trHeight w:val="403"/>
        </w:trPr>
        <w:tc>
          <w:tcPr>
            <w:tcW w:w="1223" w:type="pct"/>
            <w:shd w:val="clear" w:color="auto" w:fill="B3EDFB"/>
            <w:vAlign w:val="center"/>
          </w:tcPr>
          <w:p w14:paraId="2BE03813" w14:textId="77777777" w:rsidR="00CB5EDC" w:rsidRDefault="008343E0">
            <w:pPr>
              <w:jc w:val="right"/>
              <w:rPr>
                <w:rFonts w:cs="Arial"/>
              </w:rPr>
            </w:pPr>
            <w:r>
              <w:rPr>
                <w:rFonts w:cs="Arial"/>
              </w:rPr>
              <w:t xml:space="preserve">Xoserve Reference Number: </w:t>
            </w:r>
          </w:p>
        </w:tc>
        <w:tc>
          <w:tcPr>
            <w:tcW w:w="3777" w:type="pct"/>
            <w:vAlign w:val="center"/>
          </w:tcPr>
          <w:p w14:paraId="53D3FE27" w14:textId="77777777" w:rsidR="00CB5EDC" w:rsidRDefault="008343E0">
            <w:pPr>
              <w:rPr>
                <w:rFonts w:cs="Arial"/>
              </w:rPr>
            </w:pPr>
            <w:r>
              <w:rPr>
                <w:rFonts w:cs="Arial"/>
              </w:rPr>
              <w:t>XRN5209</w:t>
            </w:r>
          </w:p>
        </w:tc>
      </w:tr>
      <w:tr w:rsidR="00CB5EDC" w14:paraId="0DF62FD4" w14:textId="77777777">
        <w:trPr>
          <w:trHeight w:val="403"/>
        </w:trPr>
        <w:tc>
          <w:tcPr>
            <w:tcW w:w="1223" w:type="pct"/>
            <w:shd w:val="clear" w:color="auto" w:fill="B3EDFB"/>
            <w:vAlign w:val="center"/>
          </w:tcPr>
          <w:p w14:paraId="0ECBC46D" w14:textId="77777777" w:rsidR="00CB5EDC" w:rsidRDefault="008343E0">
            <w:pPr>
              <w:jc w:val="right"/>
              <w:rPr>
                <w:rFonts w:cs="Arial"/>
              </w:rPr>
            </w:pPr>
            <w:r>
              <w:rPr>
                <w:rFonts w:cs="Arial"/>
              </w:rPr>
              <w:t>Change Class:</w:t>
            </w:r>
          </w:p>
        </w:tc>
        <w:tc>
          <w:tcPr>
            <w:tcW w:w="3777" w:type="pct"/>
            <w:vAlign w:val="center"/>
          </w:tcPr>
          <w:p w14:paraId="3A3B3F3F" w14:textId="77777777" w:rsidR="00CB5EDC" w:rsidRDefault="008343E0">
            <w:pPr>
              <w:rPr>
                <w:rFonts w:cs="Arial"/>
              </w:rPr>
            </w:pPr>
            <w:r>
              <w:rPr>
                <w:rFonts w:cs="Arial"/>
              </w:rPr>
              <w:t>Documentation</w:t>
            </w:r>
          </w:p>
        </w:tc>
      </w:tr>
      <w:tr w:rsidR="00CB5EDC" w14:paraId="345C35E9" w14:textId="77777777">
        <w:trPr>
          <w:trHeight w:val="403"/>
        </w:trPr>
        <w:tc>
          <w:tcPr>
            <w:tcW w:w="1223" w:type="pct"/>
            <w:shd w:val="clear" w:color="auto" w:fill="B3EDFB"/>
            <w:vAlign w:val="center"/>
          </w:tcPr>
          <w:p w14:paraId="3895869F" w14:textId="77777777" w:rsidR="00CB5EDC" w:rsidRDefault="008343E0">
            <w:pPr>
              <w:jc w:val="right"/>
              <w:rPr>
                <w:rFonts w:cs="Arial"/>
              </w:rPr>
            </w:pPr>
            <w:r>
              <w:rPr>
                <w:rFonts w:cs="Arial"/>
              </w:rPr>
              <w:t>ChMC Constituency Impacted:</w:t>
            </w:r>
          </w:p>
        </w:tc>
        <w:tc>
          <w:tcPr>
            <w:tcW w:w="3777" w:type="pct"/>
            <w:vAlign w:val="center"/>
          </w:tcPr>
          <w:p w14:paraId="5B5A5ADA" w14:textId="77777777" w:rsidR="00CB5EDC" w:rsidRDefault="008343E0">
            <w:pPr>
              <w:rPr>
                <w:rFonts w:cs="Arial"/>
              </w:rPr>
            </w:pPr>
            <w:r>
              <w:rPr>
                <w:rFonts w:cs="Arial"/>
              </w:rPr>
              <w:t>Shipper, DNO, IGT &amp; NTS</w:t>
            </w:r>
          </w:p>
        </w:tc>
      </w:tr>
      <w:tr w:rsidR="00CB5EDC" w14:paraId="53F53D82" w14:textId="77777777">
        <w:trPr>
          <w:trHeight w:val="403"/>
        </w:trPr>
        <w:tc>
          <w:tcPr>
            <w:tcW w:w="1223" w:type="pct"/>
            <w:shd w:val="clear" w:color="auto" w:fill="B3EDFB"/>
            <w:vAlign w:val="center"/>
          </w:tcPr>
          <w:p w14:paraId="508D07E1" w14:textId="77777777" w:rsidR="00CB5EDC" w:rsidRDefault="008343E0">
            <w:pPr>
              <w:jc w:val="right"/>
              <w:rPr>
                <w:rFonts w:cs="Arial"/>
              </w:rPr>
            </w:pPr>
            <w:r>
              <w:rPr>
                <w:rFonts w:cs="Arial"/>
              </w:rPr>
              <w:t xml:space="preserve">Change Owner: </w:t>
            </w:r>
          </w:p>
        </w:tc>
        <w:tc>
          <w:tcPr>
            <w:tcW w:w="3777" w:type="pct"/>
            <w:vAlign w:val="center"/>
          </w:tcPr>
          <w:p w14:paraId="4D743394" w14:textId="77777777" w:rsidR="00CB5EDC" w:rsidRDefault="008343E0">
            <w:pPr>
              <w:rPr>
                <w:rFonts w:cs="Arial"/>
              </w:rPr>
            </w:pPr>
            <w:r>
              <w:rPr>
                <w:rFonts w:cs="Arial"/>
              </w:rPr>
              <w:t>Nick Stace</w:t>
            </w:r>
          </w:p>
          <w:p w14:paraId="7DEBA3BB" w14:textId="77777777" w:rsidR="00CB5EDC" w:rsidRDefault="008343E0">
            <w:pPr>
              <w:rPr>
                <w:rFonts w:cs="Arial"/>
              </w:rPr>
            </w:pPr>
            <w:r>
              <w:rPr>
                <w:rFonts w:cs="Arial"/>
              </w:rPr>
              <w:t>Email: nick.stace@xoserve.com</w:t>
            </w:r>
          </w:p>
        </w:tc>
      </w:tr>
      <w:tr w:rsidR="00CB5EDC" w14:paraId="6D7A2E04" w14:textId="77777777">
        <w:trPr>
          <w:trHeight w:val="403"/>
        </w:trPr>
        <w:tc>
          <w:tcPr>
            <w:tcW w:w="1223" w:type="pct"/>
            <w:shd w:val="clear" w:color="auto" w:fill="B3EDFB"/>
            <w:vAlign w:val="center"/>
          </w:tcPr>
          <w:p w14:paraId="024598BF" w14:textId="77777777" w:rsidR="00CB5EDC" w:rsidRDefault="008343E0">
            <w:pPr>
              <w:jc w:val="right"/>
              <w:rPr>
                <w:rFonts w:cs="Arial"/>
              </w:rPr>
            </w:pPr>
            <w:r>
              <w:rPr>
                <w:rFonts w:cs="Arial"/>
              </w:rPr>
              <w:t>Background and Context:</w:t>
            </w:r>
          </w:p>
        </w:tc>
        <w:tc>
          <w:tcPr>
            <w:tcW w:w="3777" w:type="pct"/>
            <w:vAlign w:val="center"/>
          </w:tcPr>
          <w:p w14:paraId="430175CF" w14:textId="77777777" w:rsidR="00CB5EDC" w:rsidRDefault="008343E0">
            <w:pPr>
              <w:rPr>
                <w:rFonts w:cs="Arial"/>
              </w:rPr>
            </w:pPr>
            <w:r>
              <w:rPr>
                <w:rFonts w:cs="Arial"/>
              </w:rPr>
              <w:t>This is a proposal to amend v4 of the Budget &amp; Charging Methodology. The slide deck attached (which is based on what was submitted to the 15</w:t>
            </w:r>
            <w:r>
              <w:rPr>
                <w:rFonts w:cs="Arial"/>
                <w:vertAlign w:val="superscript"/>
              </w:rPr>
              <w:t>th</w:t>
            </w:r>
            <w:r>
              <w:rPr>
                <w:rFonts w:cs="Arial"/>
              </w:rPr>
              <w:t xml:space="preserve"> July CoMC) provides the background to the change; a summar</w:t>
            </w:r>
            <w:r>
              <w:rPr>
                <w:rFonts w:cs="Arial"/>
              </w:rPr>
              <w:t xml:space="preserve">y of our engagement with customers through attendance at various industry and constituency meetings; and the assessment of financial impacts on charges that result in the proposals below. </w:t>
            </w:r>
          </w:p>
          <w:p w14:paraId="2A11564D" w14:textId="77777777" w:rsidR="00CB5EDC" w:rsidRDefault="00CB5EDC">
            <w:pPr>
              <w:rPr>
                <w:rFonts w:cs="Arial"/>
              </w:rPr>
            </w:pPr>
          </w:p>
          <w:p w14:paraId="7628991E" w14:textId="77777777" w:rsidR="00CB5EDC" w:rsidRDefault="008343E0">
            <w:pPr>
              <w:rPr>
                <w:rFonts w:cs="Arial"/>
              </w:rPr>
            </w:pPr>
            <w:r>
              <w:rPr>
                <w:rFonts w:cs="Arial"/>
              </w:rPr>
              <w:t xml:space="preserve">For more information please click </w:t>
            </w:r>
            <w:hyperlink r:id="rId9">
              <w:r>
                <w:rPr>
                  <w:rStyle w:val="Hyperlink"/>
                  <w:rFonts w:cs="Arial"/>
                </w:rPr>
                <w:t>here</w:t>
              </w:r>
            </w:hyperlink>
          </w:p>
          <w:p w14:paraId="0E87093D" w14:textId="77777777" w:rsidR="00CB5EDC" w:rsidRDefault="00CB5EDC"/>
        </w:tc>
      </w:tr>
    </w:tbl>
    <w:p w14:paraId="03444CE3" w14:textId="77777777" w:rsidR="00CB5EDC" w:rsidRDefault="008343E0">
      <w:pPr>
        <w:pStyle w:val="Heading1"/>
      </w:pPr>
      <w:r>
        <w:t>G4: 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CB5EDC" w14:paraId="2EBB5D3D" w14:textId="77777777">
        <w:trPr>
          <w:trHeight w:val="403"/>
        </w:trPr>
        <w:tc>
          <w:tcPr>
            <w:tcW w:w="1223" w:type="pct"/>
            <w:shd w:val="clear" w:color="auto" w:fill="B3EDFB"/>
            <w:vAlign w:val="center"/>
          </w:tcPr>
          <w:p w14:paraId="6E4656A3" w14:textId="77777777" w:rsidR="00CB5EDC" w:rsidRDefault="008343E0">
            <w:pPr>
              <w:jc w:val="right"/>
              <w:rPr>
                <w:rFonts w:cs="Arial"/>
              </w:rPr>
            </w:pPr>
            <w:r>
              <w:rPr>
                <w:rFonts w:cs="Arial"/>
              </w:rPr>
              <w:t>Functional:</w:t>
            </w:r>
          </w:p>
        </w:tc>
        <w:tc>
          <w:tcPr>
            <w:tcW w:w="3777" w:type="pct"/>
            <w:shd w:val="clear" w:color="auto" w:fill="FFFFFF"/>
            <w:vAlign w:val="center"/>
          </w:tcPr>
          <w:p w14:paraId="1B769192" w14:textId="77777777" w:rsidR="00CB5EDC" w:rsidRDefault="008343E0">
            <w:pPr>
              <w:rPr>
                <w:rFonts w:cs="Arial"/>
              </w:rPr>
            </w:pPr>
            <w:r>
              <w:rPr>
                <w:rFonts w:cs="Arial"/>
              </w:rPr>
              <w:t>N/A</w:t>
            </w:r>
          </w:p>
        </w:tc>
      </w:tr>
      <w:tr w:rsidR="00CB5EDC" w14:paraId="7F1C8E33" w14:textId="77777777">
        <w:trPr>
          <w:trHeight w:val="403"/>
        </w:trPr>
        <w:tc>
          <w:tcPr>
            <w:tcW w:w="1223" w:type="pct"/>
            <w:shd w:val="clear" w:color="auto" w:fill="B3EDFB"/>
            <w:vAlign w:val="center"/>
          </w:tcPr>
          <w:p w14:paraId="64F4C6C6" w14:textId="77777777" w:rsidR="00CB5EDC" w:rsidRDefault="008343E0">
            <w:pPr>
              <w:jc w:val="right"/>
              <w:rPr>
                <w:rFonts w:cs="Arial"/>
              </w:rPr>
            </w:pPr>
            <w:r>
              <w:rPr>
                <w:rFonts w:cs="Arial"/>
              </w:rPr>
              <w:t>Non-Functional:</w:t>
            </w:r>
          </w:p>
        </w:tc>
        <w:tc>
          <w:tcPr>
            <w:tcW w:w="3777" w:type="pct"/>
            <w:shd w:val="clear" w:color="auto" w:fill="FFFFFF"/>
          </w:tcPr>
          <w:p w14:paraId="1D7A7D10" w14:textId="77777777" w:rsidR="00CB5EDC" w:rsidRDefault="008343E0">
            <w:pPr>
              <w:rPr>
                <w:rFonts w:cs="Arial"/>
              </w:rPr>
            </w:pPr>
            <w:r>
              <w:rPr>
                <w:rFonts w:cs="Arial"/>
              </w:rPr>
              <w:t>N/A</w:t>
            </w:r>
          </w:p>
        </w:tc>
      </w:tr>
      <w:tr w:rsidR="00CB5EDC" w14:paraId="7EEC4727" w14:textId="77777777">
        <w:trPr>
          <w:trHeight w:val="403"/>
        </w:trPr>
        <w:tc>
          <w:tcPr>
            <w:tcW w:w="1223" w:type="pct"/>
            <w:shd w:val="clear" w:color="auto" w:fill="B3EDFB"/>
            <w:vAlign w:val="center"/>
          </w:tcPr>
          <w:p w14:paraId="05882DFF" w14:textId="77777777" w:rsidR="00CB5EDC" w:rsidRDefault="008343E0">
            <w:pPr>
              <w:jc w:val="right"/>
              <w:rPr>
                <w:rFonts w:cs="Arial"/>
              </w:rPr>
            </w:pPr>
            <w:r>
              <w:rPr>
                <w:rFonts w:cs="Arial"/>
              </w:rPr>
              <w:t>Application:</w:t>
            </w:r>
          </w:p>
        </w:tc>
        <w:tc>
          <w:tcPr>
            <w:tcW w:w="3777" w:type="pct"/>
            <w:shd w:val="clear" w:color="auto" w:fill="FFFFFF"/>
          </w:tcPr>
          <w:p w14:paraId="54593FAA" w14:textId="77777777" w:rsidR="00CB5EDC" w:rsidRDefault="008343E0">
            <w:pPr>
              <w:rPr>
                <w:rFonts w:cs="Arial"/>
                <w:highlight w:val="yellow"/>
                <w:shd w:val="clear" w:color="auto" w:fill="FFFF00"/>
              </w:rPr>
            </w:pPr>
            <w:r>
              <w:rPr>
                <w:rFonts w:cs="Arial"/>
              </w:rPr>
              <w:t>N/A</w:t>
            </w:r>
          </w:p>
        </w:tc>
      </w:tr>
      <w:tr w:rsidR="00CB5EDC" w14:paraId="6070F145" w14:textId="77777777">
        <w:trPr>
          <w:trHeight w:val="403"/>
        </w:trPr>
        <w:tc>
          <w:tcPr>
            <w:tcW w:w="1223" w:type="pct"/>
            <w:shd w:val="clear" w:color="auto" w:fill="B3EDFB"/>
            <w:vAlign w:val="center"/>
          </w:tcPr>
          <w:p w14:paraId="4972A0AC" w14:textId="77777777" w:rsidR="00CB5EDC" w:rsidRDefault="008343E0">
            <w:pPr>
              <w:jc w:val="right"/>
              <w:rPr>
                <w:rFonts w:cs="Arial"/>
              </w:rPr>
            </w:pPr>
            <w:r>
              <w:rPr>
                <w:rFonts w:cs="Arial"/>
              </w:rPr>
              <w:t>User(s):</w:t>
            </w:r>
          </w:p>
        </w:tc>
        <w:tc>
          <w:tcPr>
            <w:tcW w:w="3777" w:type="pct"/>
            <w:shd w:val="clear" w:color="auto" w:fill="FFFFFF"/>
          </w:tcPr>
          <w:p w14:paraId="4D8AC9EA" w14:textId="77777777" w:rsidR="00CB5EDC" w:rsidRDefault="008343E0">
            <w:pPr>
              <w:rPr>
                <w:rFonts w:cs="Arial"/>
                <w:highlight w:val="yellow"/>
                <w:shd w:val="clear" w:color="auto" w:fill="FFFF00"/>
              </w:rPr>
            </w:pPr>
            <w:r>
              <w:rPr>
                <w:rFonts w:cs="Arial"/>
              </w:rPr>
              <w:t>N/A</w:t>
            </w:r>
          </w:p>
        </w:tc>
      </w:tr>
      <w:tr w:rsidR="00CB5EDC" w14:paraId="0E4866B2" w14:textId="77777777">
        <w:trPr>
          <w:trHeight w:val="403"/>
        </w:trPr>
        <w:tc>
          <w:tcPr>
            <w:tcW w:w="1223" w:type="pct"/>
            <w:shd w:val="clear" w:color="auto" w:fill="B3EDFB"/>
            <w:vAlign w:val="center"/>
          </w:tcPr>
          <w:p w14:paraId="67E4C70B" w14:textId="77777777" w:rsidR="00CB5EDC" w:rsidRDefault="008343E0">
            <w:pPr>
              <w:jc w:val="right"/>
              <w:rPr>
                <w:rFonts w:cs="Arial"/>
              </w:rPr>
            </w:pPr>
            <w:r>
              <w:rPr>
                <w:rFonts w:cs="Arial"/>
              </w:rPr>
              <w:t>Documentation:</w:t>
            </w:r>
          </w:p>
        </w:tc>
        <w:tc>
          <w:tcPr>
            <w:tcW w:w="3777" w:type="pct"/>
            <w:shd w:val="clear" w:color="auto" w:fill="FFFFFF"/>
            <w:vAlign w:val="center"/>
          </w:tcPr>
          <w:p w14:paraId="4EB4EF2D" w14:textId="77777777" w:rsidR="00CB5EDC" w:rsidRDefault="008343E0">
            <w:pPr>
              <w:rPr>
                <w:rFonts w:cs="Arial"/>
              </w:rPr>
            </w:pPr>
            <w:r>
              <w:rPr>
                <w:rFonts w:cs="Arial"/>
              </w:rPr>
              <w:t>CDSP Service Document - Budget &amp; Charging Methodology</w:t>
            </w:r>
          </w:p>
        </w:tc>
      </w:tr>
      <w:tr w:rsidR="00CB5EDC" w14:paraId="04020760" w14:textId="77777777">
        <w:trPr>
          <w:trHeight w:val="403"/>
        </w:trPr>
        <w:tc>
          <w:tcPr>
            <w:tcW w:w="1223" w:type="pct"/>
            <w:shd w:val="clear" w:color="auto" w:fill="B3EDFB"/>
            <w:vAlign w:val="center"/>
          </w:tcPr>
          <w:p w14:paraId="0A9869DF" w14:textId="77777777" w:rsidR="00CB5EDC" w:rsidRDefault="008343E0">
            <w:pPr>
              <w:jc w:val="right"/>
              <w:rPr>
                <w:rFonts w:cs="Arial"/>
              </w:rPr>
            </w:pPr>
            <w:r>
              <w:rPr>
                <w:rFonts w:cs="Arial"/>
              </w:rPr>
              <w:t>Other:</w:t>
            </w:r>
          </w:p>
        </w:tc>
        <w:tc>
          <w:tcPr>
            <w:tcW w:w="3777" w:type="pct"/>
            <w:shd w:val="clear" w:color="auto" w:fill="FFFFFF"/>
            <w:vAlign w:val="center"/>
          </w:tcPr>
          <w:p w14:paraId="14225420" w14:textId="77777777" w:rsidR="00CB5EDC" w:rsidRDefault="008343E0">
            <w:pPr>
              <w:rPr>
                <w:rFonts w:cs="Arial"/>
              </w:rPr>
            </w:pPr>
            <w:r>
              <w:rPr>
                <w:rFonts w:cs="Arial"/>
              </w:rPr>
              <w:t>N/A</w:t>
            </w:r>
          </w:p>
        </w:tc>
      </w:tr>
    </w:tbl>
    <w:p w14:paraId="5CE1A6BE" w14:textId="77777777" w:rsidR="00CB5EDC" w:rsidRDefault="00CB5EDC">
      <w:pPr>
        <w:spacing w:after="0"/>
      </w:pPr>
    </w:p>
    <w:p w14:paraId="57C6C20E" w14:textId="77777777" w:rsidR="00CB5EDC" w:rsidRDefault="008343E0">
      <w:pPr>
        <w:pStyle w:val="Heading1"/>
      </w:pPr>
      <w:r>
        <w:lastRenderedPageBreak/>
        <w:t>G5: Change Design Description</w:t>
      </w:r>
    </w:p>
    <w:tbl>
      <w:tblPr>
        <w:tblStyle w:val="TableGrid"/>
        <w:tblW w:w="5018" w:type="pct"/>
        <w:tblInd w:w="-34" w:type="dxa"/>
        <w:tblLayout w:type="fixed"/>
        <w:tblLook w:val="04A0" w:firstRow="1" w:lastRow="0" w:firstColumn="1" w:lastColumn="0" w:noHBand="0" w:noVBand="1"/>
      </w:tblPr>
      <w:tblGrid>
        <w:gridCol w:w="9048"/>
      </w:tblGrid>
      <w:tr w:rsidR="00CB5EDC" w14:paraId="7918D6E3" w14:textId="77777777">
        <w:trPr>
          <w:trHeight w:val="5850"/>
        </w:trPr>
        <w:tc>
          <w:tcPr>
            <w:tcW w:w="5000" w:type="pct"/>
            <w:vAlign w:val="center"/>
          </w:tcPr>
          <w:p w14:paraId="7F0F76AA" w14:textId="77777777" w:rsidR="00CB5EDC" w:rsidRDefault="008343E0">
            <w:r>
              <w:t>XRN5209 describes the proposed changes to the CDSP Service Document – Budget and Charging Methodology following a Cost Allocation Review undertaken by Xoserve</w:t>
            </w:r>
            <w:r>
              <w:t>. Xoserve intends to seek approval of the proposed changes at CoMC on August 19</w:t>
            </w:r>
            <w:r>
              <w:rPr>
                <w:vertAlign w:val="superscript"/>
              </w:rPr>
              <w:t>th</w:t>
            </w:r>
            <w:proofErr w:type="gramStart"/>
            <w:r>
              <w:t xml:space="preserve"> 2020</w:t>
            </w:r>
            <w:proofErr w:type="gramEnd"/>
            <w:r>
              <w:t>.</w:t>
            </w:r>
          </w:p>
          <w:p w14:paraId="0F4840F6" w14:textId="77777777" w:rsidR="00CB5EDC" w:rsidRDefault="00CB5EDC"/>
          <w:p w14:paraId="61F0D1BE" w14:textId="77777777" w:rsidR="00CB5EDC" w:rsidRDefault="008343E0">
            <w:pPr>
              <w:rPr>
                <w:rFonts w:ascii="Calibri" w:hAnsi="Calibri"/>
              </w:rPr>
            </w:pPr>
            <w:r>
              <w:t xml:space="preserve">Please see the summary below of the changes within the attached document. </w:t>
            </w:r>
          </w:p>
          <w:p w14:paraId="6EAB3E96" w14:textId="77777777" w:rsidR="00CB5EDC" w:rsidRDefault="00CB5EDC">
            <w:pPr>
              <w:rPr>
                <w:rFonts w:cs="Arial"/>
              </w:rPr>
            </w:pPr>
          </w:p>
          <w:p w14:paraId="3A8CF528" w14:textId="77777777" w:rsidR="00CB5EDC" w:rsidRDefault="008343E0">
            <w:pPr>
              <w:rPr>
                <w:rFonts w:cs="Arial"/>
              </w:rPr>
            </w:pPr>
            <w:r>
              <w:rPr>
                <w:rFonts w:cs="Arial"/>
              </w:rPr>
              <w:t xml:space="preserve">1) To change the Charge Base Apportionment Table in paragraph 3.1 replacing the current 22 </w:t>
            </w:r>
            <w:r>
              <w:rPr>
                <w:rFonts w:cs="Arial"/>
              </w:rPr>
              <w:t xml:space="preserve">Service Areas with 15 new Service Area descriptions and for each new Service Area, the revised percentage allocations to Customers. </w:t>
            </w:r>
          </w:p>
          <w:p w14:paraId="4CA5D254" w14:textId="77777777" w:rsidR="00CB5EDC" w:rsidRDefault="00CB5EDC">
            <w:pPr>
              <w:rPr>
                <w:rFonts w:cs="Arial"/>
              </w:rPr>
            </w:pPr>
          </w:p>
          <w:p w14:paraId="1082AF58" w14:textId="77777777" w:rsidR="00CB5EDC" w:rsidRDefault="008343E0">
            <w:pPr>
              <w:rPr>
                <w:rFonts w:cs="Arial"/>
              </w:rPr>
            </w:pPr>
            <w:r>
              <w:rPr>
                <w:rFonts w:cs="Arial"/>
              </w:rPr>
              <w:t>2) Clarified the definition of cost to include debt (per June CoMC discussions)</w:t>
            </w:r>
          </w:p>
          <w:p w14:paraId="008D79BF" w14:textId="77777777" w:rsidR="00CB5EDC" w:rsidRDefault="00CB5EDC">
            <w:pPr>
              <w:rPr>
                <w:rFonts w:cs="Arial"/>
              </w:rPr>
            </w:pPr>
          </w:p>
          <w:p w14:paraId="4E843F65" w14:textId="77777777" w:rsidR="00CB5EDC" w:rsidRDefault="008343E0">
            <w:pPr>
              <w:rPr>
                <w:rFonts w:cs="Arial"/>
              </w:rPr>
            </w:pPr>
            <w:r>
              <w:rPr>
                <w:rFonts w:cs="Arial"/>
              </w:rPr>
              <w:t>3) Cosmetic updates to paragraph referenc</w:t>
            </w:r>
            <w:r>
              <w:rPr>
                <w:rFonts w:cs="Arial"/>
              </w:rPr>
              <w:t>es in paragraph 4</w:t>
            </w:r>
          </w:p>
          <w:p w14:paraId="4280E992" w14:textId="77777777" w:rsidR="00CB5EDC" w:rsidRDefault="00CB5EDC">
            <w:pPr>
              <w:rPr>
                <w:rFonts w:cs="Arial"/>
              </w:rPr>
            </w:pPr>
          </w:p>
          <w:p w14:paraId="668D7036" w14:textId="77777777" w:rsidR="00CB5EDC" w:rsidRDefault="008343E0">
            <w:pPr>
              <w:rPr>
                <w:rFonts w:ascii="Calibri" w:hAnsi="Calibri" w:cs="Calibri"/>
              </w:rPr>
            </w:pPr>
            <w:r>
              <w:rPr>
                <w:rFonts w:cs="Arial"/>
              </w:rPr>
              <w:t>4) Update references to Service Areas in paragraph 7.2.2. and include the Managing Change service area as an exception from the standard funding % calculation.</w:t>
            </w:r>
          </w:p>
          <w:p w14:paraId="5B16B037" w14:textId="77777777" w:rsidR="00CB5EDC" w:rsidRDefault="00CB5EDC">
            <w:pPr>
              <w:rPr>
                <w:rFonts w:cs="Arial"/>
              </w:rPr>
            </w:pPr>
          </w:p>
          <w:p w14:paraId="10731DB4" w14:textId="77777777" w:rsidR="00CB5EDC" w:rsidRDefault="008343E0">
            <w:pPr>
              <w:rPr>
                <w:rFonts w:cs="Arial"/>
              </w:rPr>
            </w:pPr>
            <w:r>
              <w:rPr>
                <w:rFonts w:cs="Arial"/>
              </w:rPr>
              <w:t xml:space="preserve">A track changes version of the Budget and Charging Methodology v4 with the amendments described above is </w:t>
            </w:r>
            <w:proofErr w:type="gramStart"/>
            <w:r>
              <w:rPr>
                <w:rFonts w:cs="Arial"/>
              </w:rPr>
              <w:t>attached;-</w:t>
            </w:r>
            <w:proofErr w:type="gramEnd"/>
          </w:p>
          <w:p w14:paraId="2B472F33" w14:textId="77777777" w:rsidR="00CB5EDC" w:rsidRDefault="00CB5EDC">
            <w:pPr>
              <w:tabs>
                <w:tab w:val="left" w:pos="7290"/>
              </w:tabs>
              <w:rPr>
                <w:rFonts w:cs="Arial"/>
              </w:rPr>
            </w:pPr>
          </w:p>
          <w:p w14:paraId="64EA82D4" w14:textId="77777777" w:rsidR="00CB5EDC" w:rsidRDefault="008343E0">
            <w:pPr>
              <w:tabs>
                <w:tab w:val="left" w:pos="7290"/>
              </w:tabs>
              <w:rPr>
                <w:rFonts w:cs="Arial"/>
              </w:rPr>
            </w:pPr>
            <w:hyperlink r:id="rId10">
              <w:r>
                <w:rPr>
                  <w:rStyle w:val="Hyperlink"/>
                  <w:rFonts w:cs="Arial"/>
                </w:rPr>
                <w:t>Budget and Charging Me</w:t>
              </w:r>
              <w:r>
                <w:rPr>
                  <w:rStyle w:val="Hyperlink"/>
                  <w:rFonts w:cs="Arial"/>
                </w:rPr>
                <w:t>thodology v4</w:t>
              </w:r>
            </w:hyperlink>
            <w:r>
              <w:rPr>
                <w:rFonts w:cs="Arial"/>
              </w:rPr>
              <w:t xml:space="preserve"> </w:t>
            </w:r>
          </w:p>
          <w:p w14:paraId="13A9EDEA" w14:textId="77777777" w:rsidR="00CB5EDC" w:rsidRDefault="00CB5EDC">
            <w:pPr>
              <w:tabs>
                <w:tab w:val="left" w:pos="7290"/>
              </w:tabs>
              <w:rPr>
                <w:rFonts w:cs="Arial"/>
              </w:rPr>
            </w:pPr>
          </w:p>
        </w:tc>
      </w:tr>
    </w:tbl>
    <w:p w14:paraId="48F8BB19" w14:textId="77777777" w:rsidR="00CB5EDC" w:rsidRDefault="008343E0">
      <w:pPr>
        <w:pStyle w:val="Heading1"/>
      </w:pPr>
      <w:r>
        <w:t>G6: 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CB5EDC" w14:paraId="2180D03E" w14:textId="77777777">
        <w:trPr>
          <w:trHeight w:val="403"/>
        </w:trPr>
        <w:tc>
          <w:tcPr>
            <w:tcW w:w="1223" w:type="pct"/>
            <w:shd w:val="clear" w:color="auto" w:fill="B3EDFB"/>
            <w:vAlign w:val="center"/>
          </w:tcPr>
          <w:p w14:paraId="092E9902" w14:textId="77777777" w:rsidR="00CB5EDC" w:rsidRDefault="008343E0">
            <w:pPr>
              <w:jc w:val="right"/>
              <w:rPr>
                <w:rFonts w:cs="Arial"/>
              </w:rPr>
            </w:pPr>
            <w:r>
              <w:rPr>
                <w:rFonts w:cs="Arial"/>
              </w:rPr>
              <w:t>Associated Change(s) and Title(s):</w:t>
            </w:r>
          </w:p>
        </w:tc>
        <w:tc>
          <w:tcPr>
            <w:tcW w:w="3777" w:type="pct"/>
            <w:vAlign w:val="center"/>
          </w:tcPr>
          <w:p w14:paraId="5BB09CEB" w14:textId="77777777" w:rsidR="00CB5EDC" w:rsidRDefault="008343E0">
            <w:pPr>
              <w:rPr>
                <w:rFonts w:cs="Arial"/>
              </w:rPr>
            </w:pPr>
            <w:r>
              <w:rPr>
                <w:rFonts w:cs="Arial"/>
              </w:rPr>
              <w:t>N/A</w:t>
            </w:r>
          </w:p>
        </w:tc>
      </w:tr>
    </w:tbl>
    <w:p w14:paraId="65C1B170" w14:textId="77777777" w:rsidR="00CB5EDC" w:rsidRDefault="008343E0">
      <w:pPr>
        <w:pStyle w:val="Heading1"/>
      </w:pPr>
      <w:r>
        <w:t>G7: CoMC</w:t>
      </w:r>
    </w:p>
    <w:tbl>
      <w:tblPr>
        <w:tblStyle w:val="TableGrid"/>
        <w:tblW w:w="5018" w:type="pct"/>
        <w:tblInd w:w="-34" w:type="dxa"/>
        <w:tblLayout w:type="fixed"/>
        <w:tblLook w:val="04A0" w:firstRow="1" w:lastRow="0" w:firstColumn="1" w:lastColumn="0" w:noHBand="0" w:noVBand="1"/>
      </w:tblPr>
      <w:tblGrid>
        <w:gridCol w:w="2213"/>
        <w:gridCol w:w="6835"/>
      </w:tblGrid>
      <w:tr w:rsidR="00CB5EDC" w14:paraId="2BE53183" w14:textId="77777777">
        <w:trPr>
          <w:trHeight w:val="403"/>
        </w:trPr>
        <w:tc>
          <w:tcPr>
            <w:tcW w:w="1223" w:type="pct"/>
            <w:shd w:val="clear" w:color="auto" w:fill="B3EDFB"/>
            <w:vAlign w:val="center"/>
          </w:tcPr>
          <w:p w14:paraId="52C10A80" w14:textId="77777777" w:rsidR="00CB5EDC" w:rsidRDefault="008343E0">
            <w:pPr>
              <w:jc w:val="right"/>
              <w:rPr>
                <w:rFonts w:cs="Arial"/>
              </w:rPr>
            </w:pPr>
            <w:r>
              <w:rPr>
                <w:rFonts w:cs="Arial"/>
              </w:rPr>
              <w:t>Target DSG discussion date:</w:t>
            </w:r>
          </w:p>
        </w:tc>
        <w:tc>
          <w:tcPr>
            <w:tcW w:w="3777" w:type="pct"/>
            <w:vAlign w:val="center"/>
          </w:tcPr>
          <w:p w14:paraId="52BCB128" w14:textId="77777777" w:rsidR="00CB5EDC" w:rsidRDefault="008343E0">
            <w:pPr>
              <w:rPr>
                <w:rFonts w:cs="Arial"/>
              </w:rPr>
            </w:pPr>
            <w:r>
              <w:rPr>
                <w:rFonts w:cs="Arial"/>
              </w:rPr>
              <w:t>15/07/2020</w:t>
            </w:r>
          </w:p>
        </w:tc>
      </w:tr>
      <w:tr w:rsidR="00CB5EDC" w14:paraId="0E70EF4F" w14:textId="77777777">
        <w:trPr>
          <w:trHeight w:val="403"/>
        </w:trPr>
        <w:tc>
          <w:tcPr>
            <w:tcW w:w="1223" w:type="pct"/>
            <w:shd w:val="clear" w:color="auto" w:fill="B3EDFB"/>
            <w:vAlign w:val="center"/>
          </w:tcPr>
          <w:p w14:paraId="12A92A3C" w14:textId="77777777" w:rsidR="00CB5EDC" w:rsidRDefault="008343E0">
            <w:pPr>
              <w:jc w:val="right"/>
              <w:rPr>
                <w:rFonts w:cs="Arial"/>
              </w:rPr>
            </w:pPr>
            <w:r>
              <w:rPr>
                <w:rFonts w:cs="Arial"/>
              </w:rPr>
              <w:t>Any further information:</w:t>
            </w:r>
          </w:p>
        </w:tc>
        <w:tc>
          <w:tcPr>
            <w:tcW w:w="3777" w:type="pct"/>
            <w:vAlign w:val="center"/>
          </w:tcPr>
          <w:p w14:paraId="7EC609BF" w14:textId="77777777" w:rsidR="00CB5EDC" w:rsidRDefault="008343E0">
            <w:pPr>
              <w:rPr>
                <w:rFonts w:cs="Arial"/>
              </w:rPr>
            </w:pPr>
            <w:r>
              <w:rPr>
                <w:rFonts w:cs="Arial"/>
              </w:rPr>
              <w:t>Send out for Industry review</w:t>
            </w:r>
          </w:p>
        </w:tc>
      </w:tr>
    </w:tbl>
    <w:p w14:paraId="1D995430" w14:textId="77777777" w:rsidR="00CB5EDC" w:rsidRDefault="008343E0">
      <w:pPr>
        <w:pStyle w:val="Heading1"/>
      </w:pPr>
      <w:r>
        <w:t>G8: 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CB5EDC" w14:paraId="17489D26" w14:textId="77777777">
        <w:trPr>
          <w:trHeight w:val="403"/>
        </w:trPr>
        <w:tc>
          <w:tcPr>
            <w:tcW w:w="1223" w:type="pct"/>
            <w:shd w:val="clear" w:color="auto" w:fill="B3EDFB"/>
            <w:vAlign w:val="center"/>
          </w:tcPr>
          <w:p w14:paraId="1E3F688A" w14:textId="77777777" w:rsidR="00CB5EDC" w:rsidRDefault="008343E0">
            <w:pPr>
              <w:jc w:val="right"/>
              <w:rPr>
                <w:rFonts w:cs="Arial"/>
              </w:rPr>
            </w:pPr>
            <w:r>
              <w:rPr>
                <w:rFonts w:cs="Arial"/>
              </w:rPr>
              <w:t>Target Release:</w:t>
            </w:r>
          </w:p>
        </w:tc>
        <w:tc>
          <w:tcPr>
            <w:tcW w:w="3777" w:type="pct"/>
            <w:vAlign w:val="center"/>
          </w:tcPr>
          <w:p w14:paraId="019A4B55" w14:textId="77777777" w:rsidR="00CB5EDC" w:rsidRDefault="008343E0">
            <w:pPr>
              <w:rPr>
                <w:rFonts w:cs="Arial"/>
              </w:rPr>
            </w:pPr>
            <w:r>
              <w:rPr>
                <w:rFonts w:cs="Arial"/>
              </w:rPr>
              <w:t>Live from 01/04/2021</w:t>
            </w:r>
          </w:p>
        </w:tc>
      </w:tr>
      <w:tr w:rsidR="00CB5EDC" w14:paraId="3FE1DB37" w14:textId="77777777">
        <w:trPr>
          <w:trHeight w:val="403"/>
        </w:trPr>
        <w:tc>
          <w:tcPr>
            <w:tcW w:w="1223" w:type="pct"/>
            <w:shd w:val="clear" w:color="auto" w:fill="B3EDFB"/>
            <w:vAlign w:val="center"/>
          </w:tcPr>
          <w:p w14:paraId="57C18728" w14:textId="77777777" w:rsidR="00CB5EDC" w:rsidRDefault="008343E0">
            <w:pPr>
              <w:jc w:val="right"/>
              <w:rPr>
                <w:rFonts w:cs="Arial"/>
              </w:rPr>
            </w:pPr>
            <w:r>
              <w:rPr>
                <w:rFonts w:cs="Arial"/>
              </w:rPr>
              <w:t>Status:</w:t>
            </w:r>
          </w:p>
        </w:tc>
        <w:tc>
          <w:tcPr>
            <w:tcW w:w="3777" w:type="pct"/>
            <w:vAlign w:val="center"/>
          </w:tcPr>
          <w:p w14:paraId="366AF265" w14:textId="77777777" w:rsidR="00CB5EDC" w:rsidRDefault="008343E0">
            <w:pPr>
              <w:rPr>
                <w:rFonts w:cs="Arial"/>
              </w:rPr>
            </w:pPr>
            <w:r>
              <w:rPr>
                <w:rFonts w:cs="Arial"/>
              </w:rPr>
              <w:t>For Approval</w:t>
            </w:r>
          </w:p>
        </w:tc>
      </w:tr>
    </w:tbl>
    <w:p w14:paraId="56A3B49B" w14:textId="77777777" w:rsidR="00CB5EDC" w:rsidRDefault="00CB5EDC"/>
    <w:p w14:paraId="6154802A" w14:textId="77777777" w:rsidR="00CB5EDC" w:rsidRDefault="00CB5EDC"/>
    <w:p w14:paraId="01C5ADA5" w14:textId="77777777" w:rsidR="00CB5EDC" w:rsidRDefault="008343E0">
      <w:r>
        <w:t xml:space="preserve">Please see the following page for representation comments template; responses to </w:t>
      </w:r>
      <w:hyperlink r:id="rId11">
        <w:r>
          <w:rPr>
            <w:rStyle w:val="Hyperlink"/>
          </w:rPr>
          <w:t>uklink@xoserve.com</w:t>
        </w:r>
      </w:hyperlink>
      <w:r>
        <w:t xml:space="preserve"> </w:t>
      </w:r>
    </w:p>
    <w:p w14:paraId="17A33303" w14:textId="77777777" w:rsidR="00CB5EDC" w:rsidRDefault="008343E0">
      <w:r>
        <w:br w:type="page"/>
      </w:r>
    </w:p>
    <w:p w14:paraId="6AE8CA0A" w14:textId="77777777" w:rsidR="00CB5EDC" w:rsidRDefault="008343E0">
      <w:pPr>
        <w:pStyle w:val="Title"/>
      </w:pPr>
      <w:r>
        <w:lastRenderedPageBreak/>
        <w:t>Section H: Representation Response</w:t>
      </w:r>
    </w:p>
    <w:p w14:paraId="7F9BCB34" w14:textId="77777777" w:rsidR="00CB5EDC" w:rsidRDefault="008343E0">
      <w:r>
        <w:br/>
      </w:r>
      <w:r>
        <w:br/>
      </w:r>
      <w:r>
        <w:rPr>
          <w:rStyle w:val="Heading1Char"/>
        </w:rPr>
        <w:t>H1: Change Representation</w:t>
      </w:r>
      <w:r>
        <w:t xml:space="preserve"> </w:t>
      </w:r>
    </w:p>
    <w:p w14:paraId="16CF878C" w14:textId="77777777" w:rsidR="00CB5EDC" w:rsidRDefault="008343E0">
      <w:r>
        <w:t>(To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CB5EDC" w14:paraId="714369F2" w14:textId="77777777">
        <w:trPr>
          <w:trHeight w:val="403"/>
        </w:trPr>
        <w:tc>
          <w:tcPr>
            <w:tcW w:w="1223" w:type="pct"/>
            <w:vMerge w:val="restart"/>
            <w:shd w:val="clear" w:color="auto" w:fill="B3EDFB"/>
            <w:vAlign w:val="center"/>
          </w:tcPr>
          <w:p w14:paraId="328FD0DD" w14:textId="77777777" w:rsidR="00CB5EDC" w:rsidRDefault="008343E0">
            <w:pPr>
              <w:jc w:val="right"/>
              <w:rPr>
                <w:rFonts w:cs="Arial"/>
              </w:rPr>
            </w:pPr>
            <w:r>
              <w:rPr>
                <w:rFonts w:cs="Arial"/>
              </w:rPr>
              <w:t>User Contact Details:</w:t>
            </w:r>
          </w:p>
        </w:tc>
        <w:tc>
          <w:tcPr>
            <w:tcW w:w="917" w:type="pct"/>
            <w:shd w:val="clear" w:color="auto" w:fill="B3EDFB"/>
            <w:vAlign w:val="center"/>
          </w:tcPr>
          <w:p w14:paraId="524C814E" w14:textId="77777777" w:rsidR="00CB5EDC" w:rsidRDefault="008343E0">
            <w:pPr>
              <w:jc w:val="right"/>
              <w:rPr>
                <w:rFonts w:cs="Arial"/>
              </w:rPr>
            </w:pPr>
            <w:r>
              <w:rPr>
                <w:rFonts w:cs="Arial"/>
              </w:rPr>
              <w:t>Organisation:</w:t>
            </w:r>
          </w:p>
        </w:tc>
        <w:tc>
          <w:tcPr>
            <w:tcW w:w="2860" w:type="pct"/>
            <w:gridSpan w:val="2"/>
            <w:vAlign w:val="center"/>
          </w:tcPr>
          <w:p w14:paraId="5C097110" w14:textId="77777777" w:rsidR="00CB5EDC" w:rsidRDefault="008343E0">
            <w:pPr>
              <w:rPr>
                <w:rFonts w:cs="Arial"/>
              </w:rPr>
            </w:pPr>
            <w:r>
              <w:rPr>
                <w:rFonts w:cs="Arial"/>
              </w:rPr>
              <w:t>Northern Gas Networks</w:t>
            </w:r>
          </w:p>
        </w:tc>
      </w:tr>
      <w:tr w:rsidR="00CB5EDC" w14:paraId="4A6C6F35" w14:textId="77777777">
        <w:trPr>
          <w:trHeight w:val="403"/>
        </w:trPr>
        <w:tc>
          <w:tcPr>
            <w:tcW w:w="1223" w:type="pct"/>
            <w:vMerge/>
            <w:shd w:val="clear" w:color="auto" w:fill="B3EDFB"/>
            <w:vAlign w:val="center"/>
          </w:tcPr>
          <w:p w14:paraId="424461C6" w14:textId="77777777" w:rsidR="00CB5EDC" w:rsidRDefault="00CB5EDC"/>
        </w:tc>
        <w:tc>
          <w:tcPr>
            <w:tcW w:w="917" w:type="pct"/>
            <w:shd w:val="clear" w:color="auto" w:fill="B3EDFB"/>
            <w:vAlign w:val="center"/>
          </w:tcPr>
          <w:p w14:paraId="5467C251" w14:textId="77777777" w:rsidR="00CB5EDC" w:rsidRDefault="008343E0">
            <w:pPr>
              <w:jc w:val="right"/>
              <w:rPr>
                <w:rFonts w:cs="Arial"/>
              </w:rPr>
            </w:pPr>
            <w:r>
              <w:rPr>
                <w:rFonts w:cs="Arial"/>
              </w:rPr>
              <w:t>Name:</w:t>
            </w:r>
          </w:p>
        </w:tc>
        <w:tc>
          <w:tcPr>
            <w:tcW w:w="2860" w:type="pct"/>
            <w:gridSpan w:val="2"/>
            <w:vAlign w:val="center"/>
          </w:tcPr>
          <w:p w14:paraId="2B969204" w14:textId="77777777" w:rsidR="00CB5EDC" w:rsidRDefault="008343E0">
            <w:pPr>
              <w:rPr>
                <w:rFonts w:cs="Arial"/>
              </w:rPr>
            </w:pPr>
            <w:r>
              <w:rPr>
                <w:rFonts w:cs="Arial"/>
              </w:rPr>
              <w:t>Helen Chandler</w:t>
            </w:r>
          </w:p>
        </w:tc>
      </w:tr>
      <w:tr w:rsidR="00CB5EDC" w14:paraId="02119C90" w14:textId="77777777">
        <w:trPr>
          <w:trHeight w:val="403"/>
        </w:trPr>
        <w:tc>
          <w:tcPr>
            <w:tcW w:w="1223" w:type="pct"/>
            <w:vMerge/>
            <w:shd w:val="clear" w:color="auto" w:fill="B3EDFB"/>
            <w:vAlign w:val="center"/>
          </w:tcPr>
          <w:p w14:paraId="3CF3103B" w14:textId="77777777" w:rsidR="00CB5EDC" w:rsidRDefault="00CB5EDC"/>
        </w:tc>
        <w:tc>
          <w:tcPr>
            <w:tcW w:w="917" w:type="pct"/>
            <w:shd w:val="clear" w:color="auto" w:fill="B3EDFB"/>
            <w:vAlign w:val="center"/>
          </w:tcPr>
          <w:p w14:paraId="53C28851" w14:textId="77777777" w:rsidR="00CB5EDC" w:rsidRDefault="008343E0">
            <w:pPr>
              <w:jc w:val="right"/>
              <w:rPr>
                <w:rFonts w:cs="Arial"/>
              </w:rPr>
            </w:pPr>
            <w:r>
              <w:rPr>
                <w:rFonts w:cs="Arial"/>
              </w:rPr>
              <w:t>Email:</w:t>
            </w:r>
          </w:p>
        </w:tc>
        <w:tc>
          <w:tcPr>
            <w:tcW w:w="2860" w:type="pct"/>
            <w:gridSpan w:val="2"/>
            <w:vAlign w:val="center"/>
          </w:tcPr>
          <w:p w14:paraId="68F45FF1" w14:textId="77777777" w:rsidR="00CB5EDC" w:rsidRDefault="008343E0">
            <w:pPr>
              <w:rPr>
                <w:rFonts w:cs="Arial"/>
              </w:rPr>
            </w:pPr>
            <w:r>
              <w:rPr>
                <w:rFonts w:cs="Arial"/>
              </w:rPr>
              <w:t>hchandler@northerngas.co.uk</w:t>
            </w:r>
          </w:p>
        </w:tc>
      </w:tr>
      <w:tr w:rsidR="00CB5EDC" w14:paraId="09498EE7" w14:textId="77777777">
        <w:trPr>
          <w:trHeight w:val="403"/>
        </w:trPr>
        <w:tc>
          <w:tcPr>
            <w:tcW w:w="1223" w:type="pct"/>
            <w:vMerge/>
            <w:shd w:val="clear" w:color="auto" w:fill="B3EDFB"/>
            <w:vAlign w:val="center"/>
          </w:tcPr>
          <w:p w14:paraId="78AFE506" w14:textId="77777777" w:rsidR="00CB5EDC" w:rsidRDefault="00CB5EDC"/>
        </w:tc>
        <w:tc>
          <w:tcPr>
            <w:tcW w:w="917" w:type="pct"/>
            <w:shd w:val="clear" w:color="auto" w:fill="B3EDFB"/>
            <w:vAlign w:val="center"/>
          </w:tcPr>
          <w:p w14:paraId="0EF2178A" w14:textId="77777777" w:rsidR="00CB5EDC" w:rsidRDefault="008343E0">
            <w:pPr>
              <w:jc w:val="right"/>
              <w:rPr>
                <w:rFonts w:cs="Arial"/>
              </w:rPr>
            </w:pPr>
            <w:r>
              <w:rPr>
                <w:rFonts w:cs="Arial"/>
              </w:rPr>
              <w:t>Telephone:</w:t>
            </w:r>
          </w:p>
        </w:tc>
        <w:tc>
          <w:tcPr>
            <w:tcW w:w="2860" w:type="pct"/>
            <w:gridSpan w:val="2"/>
            <w:vAlign w:val="center"/>
          </w:tcPr>
          <w:p w14:paraId="787DB304" w14:textId="77777777" w:rsidR="00CB5EDC" w:rsidRDefault="008343E0">
            <w:pPr>
              <w:rPr>
                <w:rFonts w:cs="Arial"/>
              </w:rPr>
            </w:pPr>
            <w:r>
              <w:rPr>
                <w:rFonts w:cs="Arial"/>
              </w:rPr>
              <w:t>01133975471</w:t>
            </w:r>
          </w:p>
        </w:tc>
      </w:tr>
      <w:tr w:rsidR="00CB5EDC" w14:paraId="237F329C" w14:textId="77777777">
        <w:trPr>
          <w:trHeight w:val="403"/>
        </w:trPr>
        <w:tc>
          <w:tcPr>
            <w:tcW w:w="1223" w:type="pct"/>
            <w:shd w:val="clear" w:color="auto" w:fill="B3EDFB"/>
            <w:vAlign w:val="center"/>
          </w:tcPr>
          <w:p w14:paraId="65FBDD80" w14:textId="77777777" w:rsidR="00CB5EDC" w:rsidRDefault="008343E0">
            <w:pPr>
              <w:jc w:val="right"/>
              <w:rPr>
                <w:rFonts w:cs="Arial"/>
              </w:rPr>
            </w:pPr>
            <w:r>
              <w:rPr>
                <w:rFonts w:cs="Arial"/>
              </w:rPr>
              <w:t>Representation Status:</w:t>
            </w:r>
          </w:p>
        </w:tc>
        <w:tc>
          <w:tcPr>
            <w:tcW w:w="3777" w:type="pct"/>
            <w:gridSpan w:val="3"/>
            <w:vAlign w:val="center"/>
          </w:tcPr>
          <w:p w14:paraId="0A6D7070" w14:textId="77777777" w:rsidR="00CB5EDC" w:rsidRDefault="008343E0">
            <w:pPr>
              <w:rPr>
                <w:rFonts w:cs="Arial"/>
              </w:rPr>
            </w:pPr>
            <w:r>
              <w:rPr>
                <w:rFonts w:cs="Arial"/>
              </w:rPr>
              <w:t>Support</w:t>
            </w:r>
          </w:p>
        </w:tc>
      </w:tr>
      <w:tr w:rsidR="00CB5EDC" w14:paraId="5C6AD9DB" w14:textId="77777777">
        <w:trPr>
          <w:trHeight w:val="403"/>
        </w:trPr>
        <w:tc>
          <w:tcPr>
            <w:tcW w:w="1223" w:type="pct"/>
            <w:shd w:val="clear" w:color="auto" w:fill="B3EDFB"/>
            <w:vAlign w:val="center"/>
          </w:tcPr>
          <w:p w14:paraId="61C54DCE" w14:textId="77777777" w:rsidR="00CB5EDC" w:rsidRDefault="008343E0">
            <w:pPr>
              <w:jc w:val="right"/>
              <w:rPr>
                <w:rFonts w:cs="Arial"/>
              </w:rPr>
            </w:pPr>
            <w:r>
              <w:rPr>
                <w:rFonts w:cs="Arial"/>
              </w:rPr>
              <w:t>Representation Publication:</w:t>
            </w:r>
          </w:p>
        </w:tc>
        <w:tc>
          <w:tcPr>
            <w:tcW w:w="3777" w:type="pct"/>
            <w:gridSpan w:val="3"/>
            <w:vAlign w:val="center"/>
          </w:tcPr>
          <w:p w14:paraId="6946CE72" w14:textId="77777777" w:rsidR="00CB5EDC" w:rsidRDefault="008343E0">
            <w:pPr>
              <w:rPr>
                <w:rFonts w:cs="Arial"/>
              </w:rPr>
            </w:pPr>
            <w:r>
              <w:rPr>
                <w:rFonts w:cs="Arial"/>
              </w:rPr>
              <w:t>Publish</w:t>
            </w:r>
          </w:p>
        </w:tc>
      </w:tr>
      <w:tr w:rsidR="00CB5EDC" w14:paraId="39EB05A2" w14:textId="77777777">
        <w:trPr>
          <w:trHeight w:val="403"/>
        </w:trPr>
        <w:tc>
          <w:tcPr>
            <w:tcW w:w="1223" w:type="pct"/>
            <w:shd w:val="clear" w:color="auto" w:fill="B3EDFB"/>
            <w:vAlign w:val="center"/>
          </w:tcPr>
          <w:p w14:paraId="0A349CB9" w14:textId="77777777" w:rsidR="00CB5EDC" w:rsidRDefault="008343E0">
            <w:pPr>
              <w:jc w:val="right"/>
              <w:rPr>
                <w:rFonts w:cs="Arial"/>
              </w:rPr>
            </w:pPr>
            <w:r>
              <w:rPr>
                <w:rFonts w:cs="Arial"/>
              </w:rPr>
              <w:t>Representation Comments:</w:t>
            </w:r>
          </w:p>
        </w:tc>
        <w:tc>
          <w:tcPr>
            <w:tcW w:w="3777" w:type="pct"/>
            <w:gridSpan w:val="3"/>
            <w:vAlign w:val="center"/>
          </w:tcPr>
          <w:p w14:paraId="1F6D29D8" w14:textId="77777777" w:rsidR="00CB5EDC" w:rsidRDefault="008343E0">
            <w:pPr>
              <w:rPr>
                <w:rFonts w:cs="Arial"/>
              </w:rPr>
            </w:pPr>
            <w:r>
              <w:rPr>
                <w:rFonts w:cs="Arial"/>
              </w:rPr>
              <w:t>Northern Gas Networks support the amendments made to the charging methodology.</w:t>
            </w:r>
            <w:r>
              <w:rPr>
                <w:rFonts w:cs="Arial"/>
              </w:rPr>
              <w:br/>
              <w:t>We would be in favour of a flexible change budget to allow for unexpected or urgent</w:t>
            </w:r>
            <w:r>
              <w:rPr>
                <w:rFonts w:cs="Arial"/>
              </w:rPr>
              <w:t xml:space="preserve"> </w:t>
            </w:r>
            <w:proofErr w:type="gramStart"/>
            <w:r>
              <w:rPr>
                <w:rFonts w:cs="Arial"/>
              </w:rPr>
              <w:t>change</w:t>
            </w:r>
            <w:proofErr w:type="gramEnd"/>
            <w:r>
              <w:rPr>
                <w:rFonts w:cs="Arial"/>
              </w:rPr>
              <w:t xml:space="preserve"> but we would not want our monthly invoices to vary month to month so would support a reconciliation for the next financial year.</w:t>
            </w:r>
          </w:p>
        </w:tc>
      </w:tr>
      <w:tr w:rsidR="00CB5EDC" w14:paraId="0CE82C98" w14:textId="77777777">
        <w:trPr>
          <w:trHeight w:val="403"/>
        </w:trPr>
        <w:tc>
          <w:tcPr>
            <w:tcW w:w="1223" w:type="pct"/>
            <w:shd w:val="clear" w:color="auto" w:fill="B3EDFB"/>
            <w:vAlign w:val="center"/>
          </w:tcPr>
          <w:p w14:paraId="0843DA3E" w14:textId="77777777" w:rsidR="00CB5EDC" w:rsidRDefault="008343E0">
            <w:pPr>
              <w:jc w:val="right"/>
              <w:rPr>
                <w:rFonts w:cs="Arial"/>
              </w:rPr>
            </w:pPr>
            <w:r>
              <w:rPr>
                <w:rFonts w:cs="Arial"/>
              </w:rPr>
              <w:t>Confirm Target Release Date?</w:t>
            </w:r>
          </w:p>
        </w:tc>
        <w:tc>
          <w:tcPr>
            <w:tcW w:w="1452" w:type="pct"/>
            <w:gridSpan w:val="2"/>
            <w:vAlign w:val="center"/>
          </w:tcPr>
          <w:p w14:paraId="2E182D74" w14:textId="77777777" w:rsidR="00CB5EDC" w:rsidRDefault="008343E0">
            <w:pPr>
              <w:rPr>
                <w:rFonts w:cs="Arial"/>
              </w:rPr>
            </w:pPr>
            <w:r>
              <w:rPr>
                <w:rFonts w:cs="Arial"/>
              </w:rPr>
              <w:t>Yes</w:t>
            </w:r>
          </w:p>
        </w:tc>
        <w:tc>
          <w:tcPr>
            <w:tcW w:w="2325" w:type="pct"/>
            <w:vAlign w:val="center"/>
          </w:tcPr>
          <w:p w14:paraId="70948611" w14:textId="77777777" w:rsidR="00CB5EDC" w:rsidRDefault="008343E0">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420384C8" w14:textId="77777777" w:rsidR="00CB5EDC" w:rsidRDefault="00CB5EDC"/>
    <w:p w14:paraId="1C09C406" w14:textId="77777777" w:rsidR="00CB5EDC" w:rsidRDefault="008343E0">
      <w:pPr>
        <w:pStyle w:val="Heading1"/>
      </w:pPr>
      <w:r>
        <w:t xml:space="preserve">H1: 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CB5EDC" w14:paraId="2747FD64" w14:textId="77777777">
        <w:trPr>
          <w:trHeight w:val="663"/>
        </w:trPr>
        <w:tc>
          <w:tcPr>
            <w:tcW w:w="1223" w:type="pct"/>
            <w:shd w:val="clear" w:color="auto" w:fill="B3EDFB"/>
            <w:vAlign w:val="center"/>
          </w:tcPr>
          <w:p w14:paraId="3DB1EC14" w14:textId="77777777" w:rsidR="00CB5EDC" w:rsidRDefault="008343E0">
            <w:pPr>
              <w:jc w:val="right"/>
              <w:rPr>
                <w:rFonts w:cs="Arial"/>
              </w:rPr>
            </w:pPr>
            <w:r>
              <w:rPr>
                <w:rFonts w:cs="Arial"/>
              </w:rPr>
              <w:t>Xoserve Response to Organisations Comments:</w:t>
            </w:r>
          </w:p>
        </w:tc>
        <w:tc>
          <w:tcPr>
            <w:tcW w:w="3777" w:type="pct"/>
            <w:vAlign w:val="center"/>
          </w:tcPr>
          <w:p w14:paraId="6DBA8332" w14:textId="77777777" w:rsidR="00CB5EDC" w:rsidRDefault="008343E0">
            <w:pPr>
              <w:rPr>
                <w:rFonts w:cs="Arial"/>
              </w:rPr>
            </w:pPr>
            <w:r>
              <w:rPr>
                <w:rFonts w:cs="Arial"/>
              </w:rPr>
              <w:t>Thank you for your representation, we will feed this into ChMC for a final decision.</w:t>
            </w:r>
          </w:p>
        </w:tc>
      </w:tr>
    </w:tbl>
    <w:p w14:paraId="0FD0B248" w14:textId="77777777" w:rsidR="00CB5EDC" w:rsidRDefault="00CB5EDC"/>
    <w:p w14:paraId="54543C89" w14:textId="77777777" w:rsidR="00CB5EDC" w:rsidRDefault="00CB5EDC"/>
    <w:p w14:paraId="3EA33F71" w14:textId="77777777" w:rsidR="00CB5EDC" w:rsidRDefault="008343E0">
      <w:r>
        <w:br/>
      </w:r>
      <w:r>
        <w:br/>
      </w:r>
      <w:r>
        <w:rPr>
          <w:rStyle w:val="Heading1Char"/>
        </w:rPr>
        <w:t>H1: Change Repr</w:t>
      </w:r>
      <w:r>
        <w:rPr>
          <w:rStyle w:val="Heading1Char"/>
        </w:rPr>
        <w:t>esentation</w:t>
      </w:r>
      <w:r>
        <w:t xml:space="preserve"> </w:t>
      </w:r>
    </w:p>
    <w:p w14:paraId="17C5AC91" w14:textId="77777777" w:rsidR="00CB5EDC" w:rsidRDefault="008343E0">
      <w:r>
        <w:t>(To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CB5EDC" w14:paraId="1B05F229" w14:textId="77777777">
        <w:trPr>
          <w:trHeight w:val="403"/>
        </w:trPr>
        <w:tc>
          <w:tcPr>
            <w:tcW w:w="1223" w:type="pct"/>
            <w:vMerge w:val="restart"/>
            <w:shd w:val="clear" w:color="auto" w:fill="B3EDFB"/>
            <w:vAlign w:val="center"/>
          </w:tcPr>
          <w:p w14:paraId="1579FA57" w14:textId="77777777" w:rsidR="00CB5EDC" w:rsidRDefault="008343E0">
            <w:pPr>
              <w:jc w:val="right"/>
              <w:rPr>
                <w:rFonts w:cs="Arial"/>
              </w:rPr>
            </w:pPr>
            <w:r>
              <w:rPr>
                <w:rFonts w:cs="Arial"/>
              </w:rPr>
              <w:t>User Contact Details:</w:t>
            </w:r>
          </w:p>
        </w:tc>
        <w:tc>
          <w:tcPr>
            <w:tcW w:w="917" w:type="pct"/>
            <w:shd w:val="clear" w:color="auto" w:fill="B3EDFB"/>
            <w:vAlign w:val="center"/>
          </w:tcPr>
          <w:p w14:paraId="03858FE9" w14:textId="77777777" w:rsidR="00CB5EDC" w:rsidRDefault="008343E0">
            <w:pPr>
              <w:jc w:val="right"/>
              <w:rPr>
                <w:rFonts w:cs="Arial"/>
              </w:rPr>
            </w:pPr>
            <w:r>
              <w:rPr>
                <w:rFonts w:cs="Arial"/>
              </w:rPr>
              <w:t>Organisation:</w:t>
            </w:r>
          </w:p>
        </w:tc>
        <w:tc>
          <w:tcPr>
            <w:tcW w:w="2860" w:type="pct"/>
            <w:gridSpan w:val="2"/>
            <w:vAlign w:val="center"/>
          </w:tcPr>
          <w:p w14:paraId="35EE88E1" w14:textId="77777777" w:rsidR="00CB5EDC" w:rsidRDefault="008343E0">
            <w:pPr>
              <w:rPr>
                <w:rFonts w:cs="Arial"/>
              </w:rPr>
            </w:pPr>
            <w:r>
              <w:rPr>
                <w:rFonts w:cs="Arial"/>
              </w:rPr>
              <w:t>Orsted</w:t>
            </w:r>
          </w:p>
        </w:tc>
      </w:tr>
      <w:tr w:rsidR="00CB5EDC" w14:paraId="63EC5312" w14:textId="77777777">
        <w:trPr>
          <w:trHeight w:val="403"/>
        </w:trPr>
        <w:tc>
          <w:tcPr>
            <w:tcW w:w="1223" w:type="pct"/>
            <w:vMerge/>
            <w:shd w:val="clear" w:color="auto" w:fill="B3EDFB"/>
            <w:vAlign w:val="center"/>
          </w:tcPr>
          <w:p w14:paraId="4E27E13D" w14:textId="77777777" w:rsidR="00CB5EDC" w:rsidRDefault="00CB5EDC"/>
        </w:tc>
        <w:tc>
          <w:tcPr>
            <w:tcW w:w="917" w:type="pct"/>
            <w:shd w:val="clear" w:color="auto" w:fill="B3EDFB"/>
            <w:vAlign w:val="center"/>
          </w:tcPr>
          <w:p w14:paraId="6AF8D2E6" w14:textId="77777777" w:rsidR="00CB5EDC" w:rsidRDefault="008343E0">
            <w:pPr>
              <w:jc w:val="right"/>
              <w:rPr>
                <w:rFonts w:cs="Arial"/>
              </w:rPr>
            </w:pPr>
            <w:r>
              <w:rPr>
                <w:rFonts w:cs="Arial"/>
              </w:rPr>
              <w:t>Name:</w:t>
            </w:r>
          </w:p>
        </w:tc>
        <w:tc>
          <w:tcPr>
            <w:tcW w:w="2860" w:type="pct"/>
            <w:gridSpan w:val="2"/>
            <w:vAlign w:val="center"/>
          </w:tcPr>
          <w:p w14:paraId="66BFB76A" w14:textId="77777777" w:rsidR="00CB5EDC" w:rsidRDefault="008343E0">
            <w:pPr>
              <w:rPr>
                <w:rFonts w:cs="Arial"/>
              </w:rPr>
            </w:pPr>
            <w:r>
              <w:rPr>
                <w:rFonts w:cs="Arial"/>
              </w:rPr>
              <w:t>Lorna</w:t>
            </w:r>
          </w:p>
        </w:tc>
      </w:tr>
      <w:tr w:rsidR="00CB5EDC" w14:paraId="428C73C2" w14:textId="77777777">
        <w:trPr>
          <w:trHeight w:val="403"/>
        </w:trPr>
        <w:tc>
          <w:tcPr>
            <w:tcW w:w="1223" w:type="pct"/>
            <w:vMerge/>
            <w:shd w:val="clear" w:color="auto" w:fill="B3EDFB"/>
            <w:vAlign w:val="center"/>
          </w:tcPr>
          <w:p w14:paraId="7C3BB326" w14:textId="77777777" w:rsidR="00CB5EDC" w:rsidRDefault="00CB5EDC"/>
        </w:tc>
        <w:tc>
          <w:tcPr>
            <w:tcW w:w="917" w:type="pct"/>
            <w:shd w:val="clear" w:color="auto" w:fill="B3EDFB"/>
            <w:vAlign w:val="center"/>
          </w:tcPr>
          <w:p w14:paraId="1954C24D" w14:textId="77777777" w:rsidR="00CB5EDC" w:rsidRDefault="008343E0">
            <w:pPr>
              <w:jc w:val="right"/>
              <w:rPr>
                <w:rFonts w:cs="Arial"/>
              </w:rPr>
            </w:pPr>
            <w:r>
              <w:rPr>
                <w:rFonts w:cs="Arial"/>
              </w:rPr>
              <w:t>Email:</w:t>
            </w:r>
          </w:p>
        </w:tc>
        <w:tc>
          <w:tcPr>
            <w:tcW w:w="2860" w:type="pct"/>
            <w:gridSpan w:val="2"/>
            <w:vAlign w:val="center"/>
          </w:tcPr>
          <w:p w14:paraId="63AEC36F" w14:textId="77777777" w:rsidR="00CB5EDC" w:rsidRDefault="008343E0">
            <w:pPr>
              <w:rPr>
                <w:rFonts w:cs="Arial"/>
              </w:rPr>
            </w:pPr>
            <w:r>
              <w:rPr>
                <w:rFonts w:cs="Arial"/>
              </w:rPr>
              <w:t>lolew@orsted.co.uk</w:t>
            </w:r>
          </w:p>
        </w:tc>
      </w:tr>
      <w:tr w:rsidR="00CB5EDC" w14:paraId="17E80F94" w14:textId="77777777">
        <w:trPr>
          <w:trHeight w:val="403"/>
        </w:trPr>
        <w:tc>
          <w:tcPr>
            <w:tcW w:w="1223" w:type="pct"/>
            <w:vMerge/>
            <w:shd w:val="clear" w:color="auto" w:fill="B3EDFB"/>
            <w:vAlign w:val="center"/>
          </w:tcPr>
          <w:p w14:paraId="2141ABAD" w14:textId="77777777" w:rsidR="00CB5EDC" w:rsidRDefault="00CB5EDC"/>
        </w:tc>
        <w:tc>
          <w:tcPr>
            <w:tcW w:w="917" w:type="pct"/>
            <w:shd w:val="clear" w:color="auto" w:fill="B3EDFB"/>
            <w:vAlign w:val="center"/>
          </w:tcPr>
          <w:p w14:paraId="6F63C949" w14:textId="77777777" w:rsidR="00CB5EDC" w:rsidRDefault="008343E0">
            <w:pPr>
              <w:jc w:val="right"/>
              <w:rPr>
                <w:rFonts w:cs="Arial"/>
              </w:rPr>
            </w:pPr>
            <w:r>
              <w:rPr>
                <w:rFonts w:cs="Arial"/>
              </w:rPr>
              <w:t>Telephone:</w:t>
            </w:r>
          </w:p>
        </w:tc>
        <w:tc>
          <w:tcPr>
            <w:tcW w:w="2860" w:type="pct"/>
            <w:gridSpan w:val="2"/>
            <w:vAlign w:val="center"/>
          </w:tcPr>
          <w:p w14:paraId="622DF39F" w14:textId="77777777" w:rsidR="00CB5EDC" w:rsidRDefault="008343E0">
            <w:pPr>
              <w:rPr>
                <w:rFonts w:cs="Arial"/>
              </w:rPr>
            </w:pPr>
            <w:r>
              <w:rPr>
                <w:rFonts w:cs="Arial"/>
              </w:rPr>
              <w:t>02074511974</w:t>
            </w:r>
          </w:p>
        </w:tc>
      </w:tr>
      <w:tr w:rsidR="00CB5EDC" w14:paraId="7B0C1B9A" w14:textId="77777777">
        <w:trPr>
          <w:trHeight w:val="403"/>
        </w:trPr>
        <w:tc>
          <w:tcPr>
            <w:tcW w:w="1223" w:type="pct"/>
            <w:shd w:val="clear" w:color="auto" w:fill="B3EDFB"/>
            <w:vAlign w:val="center"/>
          </w:tcPr>
          <w:p w14:paraId="3CAA5B0F" w14:textId="77777777" w:rsidR="00CB5EDC" w:rsidRDefault="008343E0">
            <w:pPr>
              <w:jc w:val="right"/>
              <w:rPr>
                <w:rFonts w:cs="Arial"/>
              </w:rPr>
            </w:pPr>
            <w:r>
              <w:rPr>
                <w:rFonts w:cs="Arial"/>
              </w:rPr>
              <w:t>Representation Status:</w:t>
            </w:r>
          </w:p>
        </w:tc>
        <w:tc>
          <w:tcPr>
            <w:tcW w:w="3777" w:type="pct"/>
            <w:gridSpan w:val="3"/>
            <w:vAlign w:val="center"/>
          </w:tcPr>
          <w:p w14:paraId="6E74346D" w14:textId="77777777" w:rsidR="00CB5EDC" w:rsidRDefault="008343E0">
            <w:pPr>
              <w:rPr>
                <w:rFonts w:cs="Arial"/>
              </w:rPr>
            </w:pPr>
            <w:r>
              <w:rPr>
                <w:rFonts w:cs="Arial"/>
              </w:rPr>
              <w:t>Approve</w:t>
            </w:r>
          </w:p>
        </w:tc>
      </w:tr>
      <w:tr w:rsidR="00CB5EDC" w14:paraId="596A22C2" w14:textId="77777777">
        <w:trPr>
          <w:trHeight w:val="403"/>
        </w:trPr>
        <w:tc>
          <w:tcPr>
            <w:tcW w:w="1223" w:type="pct"/>
            <w:shd w:val="clear" w:color="auto" w:fill="B3EDFB"/>
            <w:vAlign w:val="center"/>
          </w:tcPr>
          <w:p w14:paraId="1A8BD344" w14:textId="77777777" w:rsidR="00CB5EDC" w:rsidRDefault="008343E0">
            <w:pPr>
              <w:jc w:val="right"/>
              <w:rPr>
                <w:rFonts w:cs="Arial"/>
              </w:rPr>
            </w:pPr>
            <w:r>
              <w:rPr>
                <w:rFonts w:cs="Arial"/>
              </w:rPr>
              <w:t>Representation Publication:</w:t>
            </w:r>
          </w:p>
        </w:tc>
        <w:tc>
          <w:tcPr>
            <w:tcW w:w="3777" w:type="pct"/>
            <w:gridSpan w:val="3"/>
            <w:vAlign w:val="center"/>
          </w:tcPr>
          <w:p w14:paraId="013495F9" w14:textId="77777777" w:rsidR="00CB5EDC" w:rsidRDefault="008343E0">
            <w:pPr>
              <w:rPr>
                <w:rFonts w:cs="Arial"/>
              </w:rPr>
            </w:pPr>
            <w:r>
              <w:rPr>
                <w:rFonts w:cs="Arial"/>
              </w:rPr>
              <w:t>Publish</w:t>
            </w:r>
          </w:p>
        </w:tc>
      </w:tr>
      <w:tr w:rsidR="00CB5EDC" w14:paraId="492A629A" w14:textId="77777777">
        <w:trPr>
          <w:trHeight w:val="403"/>
        </w:trPr>
        <w:tc>
          <w:tcPr>
            <w:tcW w:w="1223" w:type="pct"/>
            <w:shd w:val="clear" w:color="auto" w:fill="B3EDFB"/>
            <w:vAlign w:val="center"/>
          </w:tcPr>
          <w:p w14:paraId="57C45A3F" w14:textId="77777777" w:rsidR="00CB5EDC" w:rsidRDefault="008343E0">
            <w:pPr>
              <w:jc w:val="right"/>
              <w:rPr>
                <w:rFonts w:cs="Arial"/>
              </w:rPr>
            </w:pPr>
            <w:r>
              <w:rPr>
                <w:rFonts w:cs="Arial"/>
              </w:rPr>
              <w:t>Representation Comments:</w:t>
            </w:r>
          </w:p>
        </w:tc>
        <w:tc>
          <w:tcPr>
            <w:tcW w:w="3777" w:type="pct"/>
            <w:gridSpan w:val="3"/>
            <w:vAlign w:val="center"/>
          </w:tcPr>
          <w:p w14:paraId="22C70C2A" w14:textId="77777777" w:rsidR="00CB5EDC" w:rsidRDefault="008343E0">
            <w:pPr>
              <w:rPr>
                <w:rFonts w:cs="Arial"/>
              </w:rPr>
            </w:pPr>
            <w:r>
              <w:rPr>
                <w:rFonts w:cs="Arial"/>
              </w:rPr>
              <w:t xml:space="preserve">We support the proposed </w:t>
            </w:r>
            <w:proofErr w:type="spellStart"/>
            <w:r>
              <w:rPr>
                <w:rFonts w:cs="Arial"/>
              </w:rPr>
              <w:t>changev</w:t>
            </w:r>
            <w:proofErr w:type="spellEnd"/>
            <w:r>
              <w:rPr>
                <w:rFonts w:cs="Arial"/>
              </w:rPr>
              <w:t xml:space="preserve"> the Charge Base Apportionment Table to reduce the service areas from 22 to 15 and the inclusion of debt provision to be included in the budget &amp; charging methodol</w:t>
            </w:r>
            <w:r>
              <w:rPr>
                <w:rFonts w:cs="Arial"/>
              </w:rPr>
              <w:t xml:space="preserve">ogy. </w:t>
            </w:r>
          </w:p>
        </w:tc>
      </w:tr>
      <w:tr w:rsidR="00CB5EDC" w14:paraId="73E81BAA" w14:textId="77777777">
        <w:trPr>
          <w:trHeight w:val="403"/>
        </w:trPr>
        <w:tc>
          <w:tcPr>
            <w:tcW w:w="1223" w:type="pct"/>
            <w:shd w:val="clear" w:color="auto" w:fill="B3EDFB"/>
            <w:vAlign w:val="center"/>
          </w:tcPr>
          <w:p w14:paraId="7A158263" w14:textId="77777777" w:rsidR="00CB5EDC" w:rsidRDefault="008343E0">
            <w:pPr>
              <w:jc w:val="right"/>
              <w:rPr>
                <w:rFonts w:cs="Arial"/>
              </w:rPr>
            </w:pPr>
            <w:r>
              <w:rPr>
                <w:rFonts w:cs="Arial"/>
              </w:rPr>
              <w:t>Confirm Target Release Date?</w:t>
            </w:r>
          </w:p>
        </w:tc>
        <w:tc>
          <w:tcPr>
            <w:tcW w:w="1452" w:type="pct"/>
            <w:gridSpan w:val="2"/>
            <w:vAlign w:val="center"/>
          </w:tcPr>
          <w:p w14:paraId="26380501" w14:textId="77777777" w:rsidR="00CB5EDC" w:rsidRDefault="008343E0">
            <w:pPr>
              <w:rPr>
                <w:rFonts w:cs="Arial"/>
              </w:rPr>
            </w:pPr>
            <w:r>
              <w:rPr>
                <w:rFonts w:cs="Arial"/>
              </w:rPr>
              <w:t>Yes</w:t>
            </w:r>
          </w:p>
        </w:tc>
        <w:tc>
          <w:tcPr>
            <w:tcW w:w="2325" w:type="pct"/>
            <w:vAlign w:val="center"/>
          </w:tcPr>
          <w:p w14:paraId="4E24C6B6" w14:textId="77777777" w:rsidR="00CB5EDC" w:rsidRDefault="008343E0">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2A7A4A03" w14:textId="77777777" w:rsidR="00CB5EDC" w:rsidRDefault="00CB5EDC"/>
    <w:p w14:paraId="3076154E" w14:textId="77777777" w:rsidR="00CB5EDC" w:rsidRDefault="008343E0">
      <w:pPr>
        <w:pStyle w:val="Heading1"/>
      </w:pPr>
      <w:r>
        <w:t xml:space="preserve">H1: 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CB5EDC" w14:paraId="0B5CF0E8" w14:textId="77777777">
        <w:trPr>
          <w:trHeight w:val="663"/>
        </w:trPr>
        <w:tc>
          <w:tcPr>
            <w:tcW w:w="1223" w:type="pct"/>
            <w:shd w:val="clear" w:color="auto" w:fill="B3EDFB"/>
            <w:vAlign w:val="center"/>
          </w:tcPr>
          <w:p w14:paraId="3D1C1E5D" w14:textId="77777777" w:rsidR="00CB5EDC" w:rsidRDefault="008343E0">
            <w:pPr>
              <w:jc w:val="right"/>
              <w:rPr>
                <w:rFonts w:cs="Arial"/>
              </w:rPr>
            </w:pPr>
            <w:r>
              <w:rPr>
                <w:rFonts w:cs="Arial"/>
              </w:rPr>
              <w:t>Xoserve Response to Organisations Comments:</w:t>
            </w:r>
          </w:p>
        </w:tc>
        <w:tc>
          <w:tcPr>
            <w:tcW w:w="3777" w:type="pct"/>
            <w:vAlign w:val="center"/>
          </w:tcPr>
          <w:p w14:paraId="7AC5A522" w14:textId="77777777" w:rsidR="00CB5EDC" w:rsidRDefault="008343E0">
            <w:pPr>
              <w:rPr>
                <w:rFonts w:cs="Arial"/>
              </w:rPr>
            </w:pPr>
            <w:r>
              <w:rPr>
                <w:rFonts w:cs="Arial"/>
              </w:rPr>
              <w:t>Thank you for your representation, we will feed this into ChMC for a final decision.</w:t>
            </w:r>
          </w:p>
        </w:tc>
      </w:tr>
    </w:tbl>
    <w:p w14:paraId="0792A8F6" w14:textId="77777777" w:rsidR="00CB5EDC" w:rsidRDefault="00CB5EDC"/>
    <w:p w14:paraId="20688D15" w14:textId="77777777" w:rsidR="00CB5EDC" w:rsidRDefault="00CB5EDC"/>
    <w:p w14:paraId="65F91C71" w14:textId="77777777" w:rsidR="00CB5EDC" w:rsidRDefault="008343E0">
      <w:r>
        <w:br/>
      </w:r>
      <w:r>
        <w:br/>
      </w:r>
      <w:r>
        <w:rPr>
          <w:rStyle w:val="Heading1Char"/>
        </w:rPr>
        <w:t>H1: Change Representation</w:t>
      </w:r>
      <w:r>
        <w:t xml:space="preserve"> </w:t>
      </w:r>
    </w:p>
    <w:p w14:paraId="20C515A3" w14:textId="77777777" w:rsidR="00CB5EDC" w:rsidRDefault="008343E0">
      <w:r>
        <w:t>(To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CB5EDC" w14:paraId="5EB79D17" w14:textId="77777777">
        <w:trPr>
          <w:trHeight w:val="403"/>
        </w:trPr>
        <w:tc>
          <w:tcPr>
            <w:tcW w:w="1223" w:type="pct"/>
            <w:vMerge w:val="restart"/>
            <w:shd w:val="clear" w:color="auto" w:fill="B3EDFB"/>
            <w:vAlign w:val="center"/>
          </w:tcPr>
          <w:p w14:paraId="43DBC7FC" w14:textId="77777777" w:rsidR="00CB5EDC" w:rsidRDefault="008343E0">
            <w:pPr>
              <w:jc w:val="right"/>
              <w:rPr>
                <w:rFonts w:cs="Arial"/>
              </w:rPr>
            </w:pPr>
            <w:r>
              <w:rPr>
                <w:rFonts w:cs="Arial"/>
              </w:rPr>
              <w:t>User Contact Details:</w:t>
            </w:r>
          </w:p>
        </w:tc>
        <w:tc>
          <w:tcPr>
            <w:tcW w:w="917" w:type="pct"/>
            <w:shd w:val="clear" w:color="auto" w:fill="B3EDFB"/>
            <w:vAlign w:val="center"/>
          </w:tcPr>
          <w:p w14:paraId="6193EA1C" w14:textId="77777777" w:rsidR="00CB5EDC" w:rsidRDefault="008343E0">
            <w:pPr>
              <w:jc w:val="right"/>
              <w:rPr>
                <w:rFonts w:cs="Arial"/>
              </w:rPr>
            </w:pPr>
            <w:r>
              <w:rPr>
                <w:rFonts w:cs="Arial"/>
              </w:rPr>
              <w:t>Organisation:</w:t>
            </w:r>
          </w:p>
        </w:tc>
        <w:tc>
          <w:tcPr>
            <w:tcW w:w="2860" w:type="pct"/>
            <w:gridSpan w:val="2"/>
            <w:vAlign w:val="center"/>
          </w:tcPr>
          <w:p w14:paraId="02890CAB" w14:textId="77777777" w:rsidR="00CB5EDC" w:rsidRDefault="008343E0">
            <w:pPr>
              <w:rPr>
                <w:rFonts w:cs="Arial"/>
              </w:rPr>
            </w:pPr>
            <w:r>
              <w:rPr>
                <w:rFonts w:cs="Arial"/>
              </w:rPr>
              <w:t>Scotland and Southern Gas Networks</w:t>
            </w:r>
          </w:p>
        </w:tc>
      </w:tr>
      <w:tr w:rsidR="00CB5EDC" w14:paraId="4CD269E6" w14:textId="77777777">
        <w:trPr>
          <w:trHeight w:val="403"/>
        </w:trPr>
        <w:tc>
          <w:tcPr>
            <w:tcW w:w="1223" w:type="pct"/>
            <w:vMerge/>
            <w:shd w:val="clear" w:color="auto" w:fill="B3EDFB"/>
            <w:vAlign w:val="center"/>
          </w:tcPr>
          <w:p w14:paraId="45125233" w14:textId="77777777" w:rsidR="00CB5EDC" w:rsidRDefault="00CB5EDC"/>
        </w:tc>
        <w:tc>
          <w:tcPr>
            <w:tcW w:w="917" w:type="pct"/>
            <w:shd w:val="clear" w:color="auto" w:fill="B3EDFB"/>
            <w:vAlign w:val="center"/>
          </w:tcPr>
          <w:p w14:paraId="6AE84D02" w14:textId="77777777" w:rsidR="00CB5EDC" w:rsidRDefault="008343E0">
            <w:pPr>
              <w:jc w:val="right"/>
              <w:rPr>
                <w:rFonts w:cs="Arial"/>
              </w:rPr>
            </w:pPr>
            <w:r>
              <w:rPr>
                <w:rFonts w:cs="Arial"/>
              </w:rPr>
              <w:t>Name:</w:t>
            </w:r>
          </w:p>
        </w:tc>
        <w:tc>
          <w:tcPr>
            <w:tcW w:w="2860" w:type="pct"/>
            <w:gridSpan w:val="2"/>
            <w:vAlign w:val="center"/>
          </w:tcPr>
          <w:p w14:paraId="6CDF47CD" w14:textId="77777777" w:rsidR="00CB5EDC" w:rsidRDefault="008343E0">
            <w:pPr>
              <w:rPr>
                <w:rFonts w:cs="Arial"/>
              </w:rPr>
            </w:pPr>
            <w:r>
              <w:rPr>
                <w:rFonts w:cs="Arial"/>
              </w:rPr>
              <w:t>Sally Hardman</w:t>
            </w:r>
          </w:p>
        </w:tc>
      </w:tr>
      <w:tr w:rsidR="00CB5EDC" w14:paraId="2A775335" w14:textId="77777777">
        <w:trPr>
          <w:trHeight w:val="403"/>
        </w:trPr>
        <w:tc>
          <w:tcPr>
            <w:tcW w:w="1223" w:type="pct"/>
            <w:vMerge/>
            <w:shd w:val="clear" w:color="auto" w:fill="B3EDFB"/>
            <w:vAlign w:val="center"/>
          </w:tcPr>
          <w:p w14:paraId="3F358215" w14:textId="77777777" w:rsidR="00CB5EDC" w:rsidRDefault="00CB5EDC"/>
        </w:tc>
        <w:tc>
          <w:tcPr>
            <w:tcW w:w="917" w:type="pct"/>
            <w:shd w:val="clear" w:color="auto" w:fill="B3EDFB"/>
            <w:vAlign w:val="center"/>
          </w:tcPr>
          <w:p w14:paraId="02CC3E31" w14:textId="77777777" w:rsidR="00CB5EDC" w:rsidRDefault="008343E0">
            <w:pPr>
              <w:jc w:val="right"/>
              <w:rPr>
                <w:rFonts w:cs="Arial"/>
              </w:rPr>
            </w:pPr>
            <w:r>
              <w:rPr>
                <w:rFonts w:cs="Arial"/>
              </w:rPr>
              <w:t>Email:</w:t>
            </w:r>
          </w:p>
        </w:tc>
        <w:tc>
          <w:tcPr>
            <w:tcW w:w="2860" w:type="pct"/>
            <w:gridSpan w:val="2"/>
            <w:vAlign w:val="center"/>
          </w:tcPr>
          <w:p w14:paraId="707A9A1E" w14:textId="77777777" w:rsidR="00CB5EDC" w:rsidRDefault="008343E0">
            <w:pPr>
              <w:rPr>
                <w:rFonts w:cs="Arial"/>
              </w:rPr>
            </w:pPr>
            <w:r>
              <w:rPr>
                <w:rFonts w:cs="Arial"/>
              </w:rPr>
              <w:t>sally.hardman@sgn.co.uk</w:t>
            </w:r>
          </w:p>
        </w:tc>
      </w:tr>
      <w:tr w:rsidR="00CB5EDC" w14:paraId="1DB9ED26" w14:textId="77777777">
        <w:trPr>
          <w:trHeight w:val="403"/>
        </w:trPr>
        <w:tc>
          <w:tcPr>
            <w:tcW w:w="1223" w:type="pct"/>
            <w:vMerge/>
            <w:shd w:val="clear" w:color="auto" w:fill="B3EDFB"/>
            <w:vAlign w:val="center"/>
          </w:tcPr>
          <w:p w14:paraId="3EBFEECC" w14:textId="77777777" w:rsidR="00CB5EDC" w:rsidRDefault="00CB5EDC"/>
        </w:tc>
        <w:tc>
          <w:tcPr>
            <w:tcW w:w="917" w:type="pct"/>
            <w:shd w:val="clear" w:color="auto" w:fill="B3EDFB"/>
            <w:vAlign w:val="center"/>
          </w:tcPr>
          <w:p w14:paraId="6438DA14" w14:textId="77777777" w:rsidR="00CB5EDC" w:rsidRDefault="008343E0">
            <w:pPr>
              <w:jc w:val="right"/>
              <w:rPr>
                <w:rFonts w:cs="Arial"/>
              </w:rPr>
            </w:pPr>
            <w:r>
              <w:rPr>
                <w:rFonts w:cs="Arial"/>
              </w:rPr>
              <w:t>Telephone:</w:t>
            </w:r>
          </w:p>
        </w:tc>
        <w:tc>
          <w:tcPr>
            <w:tcW w:w="2860" w:type="pct"/>
            <w:gridSpan w:val="2"/>
            <w:vAlign w:val="center"/>
          </w:tcPr>
          <w:p w14:paraId="74132687" w14:textId="77777777" w:rsidR="00CB5EDC" w:rsidRDefault="008343E0">
            <w:pPr>
              <w:rPr>
                <w:rFonts w:cs="Arial"/>
              </w:rPr>
            </w:pPr>
            <w:r>
              <w:rPr>
                <w:rFonts w:cs="Arial"/>
              </w:rPr>
              <w:t>01293818129</w:t>
            </w:r>
          </w:p>
        </w:tc>
      </w:tr>
      <w:tr w:rsidR="00CB5EDC" w14:paraId="002C25CC" w14:textId="77777777">
        <w:trPr>
          <w:trHeight w:val="403"/>
        </w:trPr>
        <w:tc>
          <w:tcPr>
            <w:tcW w:w="1223" w:type="pct"/>
            <w:shd w:val="clear" w:color="auto" w:fill="B3EDFB"/>
            <w:vAlign w:val="center"/>
          </w:tcPr>
          <w:p w14:paraId="00CB980F" w14:textId="77777777" w:rsidR="00CB5EDC" w:rsidRDefault="008343E0">
            <w:pPr>
              <w:jc w:val="right"/>
              <w:rPr>
                <w:rFonts w:cs="Arial"/>
              </w:rPr>
            </w:pPr>
            <w:r>
              <w:rPr>
                <w:rFonts w:cs="Arial"/>
              </w:rPr>
              <w:t>Representation Status:</w:t>
            </w:r>
          </w:p>
        </w:tc>
        <w:tc>
          <w:tcPr>
            <w:tcW w:w="3777" w:type="pct"/>
            <w:gridSpan w:val="3"/>
            <w:vAlign w:val="center"/>
          </w:tcPr>
          <w:p w14:paraId="1D953558" w14:textId="77777777" w:rsidR="00CB5EDC" w:rsidRDefault="008343E0">
            <w:pPr>
              <w:rPr>
                <w:rFonts w:cs="Arial"/>
              </w:rPr>
            </w:pPr>
            <w:r>
              <w:rPr>
                <w:rFonts w:cs="Arial"/>
              </w:rPr>
              <w:t xml:space="preserve"> Support</w:t>
            </w:r>
          </w:p>
        </w:tc>
      </w:tr>
      <w:tr w:rsidR="00CB5EDC" w14:paraId="100F320C" w14:textId="77777777">
        <w:trPr>
          <w:trHeight w:val="403"/>
        </w:trPr>
        <w:tc>
          <w:tcPr>
            <w:tcW w:w="1223" w:type="pct"/>
            <w:shd w:val="clear" w:color="auto" w:fill="B3EDFB"/>
            <w:vAlign w:val="center"/>
          </w:tcPr>
          <w:p w14:paraId="38B2C443" w14:textId="77777777" w:rsidR="00CB5EDC" w:rsidRDefault="008343E0">
            <w:pPr>
              <w:jc w:val="right"/>
              <w:rPr>
                <w:rFonts w:cs="Arial"/>
              </w:rPr>
            </w:pPr>
            <w:r>
              <w:rPr>
                <w:rFonts w:cs="Arial"/>
              </w:rPr>
              <w:t>Representation Publication:</w:t>
            </w:r>
          </w:p>
        </w:tc>
        <w:tc>
          <w:tcPr>
            <w:tcW w:w="3777" w:type="pct"/>
            <w:gridSpan w:val="3"/>
            <w:vAlign w:val="center"/>
          </w:tcPr>
          <w:p w14:paraId="3D200290" w14:textId="77777777" w:rsidR="00CB5EDC" w:rsidRDefault="008343E0">
            <w:pPr>
              <w:rPr>
                <w:rFonts w:cs="Arial"/>
              </w:rPr>
            </w:pPr>
            <w:r>
              <w:rPr>
                <w:rFonts w:cs="Arial"/>
              </w:rPr>
              <w:t>Publish</w:t>
            </w:r>
          </w:p>
        </w:tc>
      </w:tr>
      <w:tr w:rsidR="00CB5EDC" w14:paraId="1D55D721" w14:textId="77777777">
        <w:trPr>
          <w:trHeight w:val="403"/>
        </w:trPr>
        <w:tc>
          <w:tcPr>
            <w:tcW w:w="1223" w:type="pct"/>
            <w:shd w:val="clear" w:color="auto" w:fill="B3EDFB"/>
            <w:vAlign w:val="center"/>
          </w:tcPr>
          <w:p w14:paraId="31FFA0C5" w14:textId="77777777" w:rsidR="00CB5EDC" w:rsidRDefault="008343E0">
            <w:pPr>
              <w:jc w:val="right"/>
              <w:rPr>
                <w:rFonts w:cs="Arial"/>
              </w:rPr>
            </w:pPr>
            <w:r>
              <w:rPr>
                <w:rFonts w:cs="Arial"/>
              </w:rPr>
              <w:t>Representation Comments:</w:t>
            </w:r>
          </w:p>
        </w:tc>
        <w:tc>
          <w:tcPr>
            <w:tcW w:w="3777" w:type="pct"/>
            <w:gridSpan w:val="3"/>
            <w:vAlign w:val="center"/>
          </w:tcPr>
          <w:p w14:paraId="36C77810" w14:textId="77777777" w:rsidR="00CB5EDC" w:rsidRDefault="008343E0">
            <w:pPr>
              <w:rPr>
                <w:rFonts w:cs="Arial"/>
              </w:rPr>
            </w:pPr>
            <w:r>
              <w:rPr>
                <w:rFonts w:cs="Arial"/>
              </w:rPr>
              <w:t xml:space="preserve">SGN supports the proposed amendments to the current charging methodology from 22 to 15 Service Lines being effective from 1st April 2021 and the inclusion of a debt provision. We </w:t>
            </w:r>
            <w:proofErr w:type="gramStart"/>
            <w:r>
              <w:rPr>
                <w:rFonts w:cs="Arial"/>
              </w:rPr>
              <w:t>would  however</w:t>
            </w:r>
            <w:proofErr w:type="gramEnd"/>
            <w:r>
              <w:rPr>
                <w:rFonts w:cs="Arial"/>
              </w:rPr>
              <w:t xml:space="preserve"> wish to highlight the need for a process to be developed and i</w:t>
            </w:r>
            <w:r>
              <w:rPr>
                <w:rFonts w:cs="Arial"/>
              </w:rPr>
              <w:t>mplemented for the allocation of debt.</w:t>
            </w:r>
            <w:r>
              <w:rPr>
                <w:rFonts w:cs="Arial"/>
              </w:rPr>
              <w:br/>
              <w:t>In addition our preference would be for a fixed percentage change budget as is currently in place providing stability of costs.</w:t>
            </w:r>
          </w:p>
        </w:tc>
      </w:tr>
      <w:tr w:rsidR="00CB5EDC" w14:paraId="5F27B6EB" w14:textId="77777777">
        <w:trPr>
          <w:trHeight w:val="403"/>
        </w:trPr>
        <w:tc>
          <w:tcPr>
            <w:tcW w:w="1223" w:type="pct"/>
            <w:shd w:val="clear" w:color="auto" w:fill="B3EDFB"/>
            <w:vAlign w:val="center"/>
          </w:tcPr>
          <w:p w14:paraId="012AD440" w14:textId="77777777" w:rsidR="00CB5EDC" w:rsidRDefault="008343E0">
            <w:pPr>
              <w:jc w:val="right"/>
              <w:rPr>
                <w:rFonts w:cs="Arial"/>
              </w:rPr>
            </w:pPr>
            <w:r>
              <w:rPr>
                <w:rFonts w:cs="Arial"/>
              </w:rPr>
              <w:t>Confirm Target Release Date?</w:t>
            </w:r>
          </w:p>
        </w:tc>
        <w:tc>
          <w:tcPr>
            <w:tcW w:w="1452" w:type="pct"/>
            <w:gridSpan w:val="2"/>
            <w:vAlign w:val="center"/>
          </w:tcPr>
          <w:p w14:paraId="631D44C2" w14:textId="77777777" w:rsidR="00CB5EDC" w:rsidRDefault="008343E0">
            <w:pPr>
              <w:rPr>
                <w:rFonts w:cs="Arial"/>
              </w:rPr>
            </w:pPr>
            <w:r>
              <w:rPr>
                <w:rFonts w:cs="Arial"/>
              </w:rPr>
              <w:t>Yes</w:t>
            </w:r>
          </w:p>
        </w:tc>
        <w:tc>
          <w:tcPr>
            <w:tcW w:w="2325" w:type="pct"/>
            <w:vAlign w:val="center"/>
          </w:tcPr>
          <w:p w14:paraId="74E3B871" w14:textId="77777777" w:rsidR="00CB5EDC" w:rsidRDefault="008343E0">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11A1368E" w14:textId="77777777" w:rsidR="00CB5EDC" w:rsidRDefault="00CB5EDC"/>
    <w:p w14:paraId="70B6AF9D" w14:textId="77777777" w:rsidR="00CB5EDC" w:rsidRDefault="008343E0">
      <w:pPr>
        <w:pStyle w:val="Heading1"/>
      </w:pPr>
      <w:r>
        <w:lastRenderedPageBreak/>
        <w:t xml:space="preserve">H1: 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CB5EDC" w14:paraId="7A3FE5D0" w14:textId="77777777">
        <w:trPr>
          <w:trHeight w:val="663"/>
        </w:trPr>
        <w:tc>
          <w:tcPr>
            <w:tcW w:w="1223" w:type="pct"/>
            <w:shd w:val="clear" w:color="auto" w:fill="B3EDFB"/>
            <w:vAlign w:val="center"/>
          </w:tcPr>
          <w:p w14:paraId="2B7C058F" w14:textId="77777777" w:rsidR="00CB5EDC" w:rsidRDefault="008343E0">
            <w:pPr>
              <w:jc w:val="right"/>
              <w:rPr>
                <w:rFonts w:cs="Arial"/>
              </w:rPr>
            </w:pPr>
            <w:r>
              <w:rPr>
                <w:rFonts w:cs="Arial"/>
              </w:rPr>
              <w:t>Xoserve Response to Organisations Comments:</w:t>
            </w:r>
          </w:p>
        </w:tc>
        <w:tc>
          <w:tcPr>
            <w:tcW w:w="3777" w:type="pct"/>
            <w:vAlign w:val="center"/>
          </w:tcPr>
          <w:p w14:paraId="4FEE0B9A" w14:textId="77777777" w:rsidR="00CB5EDC" w:rsidRDefault="008343E0">
            <w:pPr>
              <w:rPr>
                <w:rFonts w:cs="Arial"/>
              </w:rPr>
            </w:pPr>
            <w:r>
              <w:rPr>
                <w:rFonts w:cs="Arial"/>
              </w:rPr>
              <w:t>Thank you for your representation, we will feed this into ChMC for a final decision.</w:t>
            </w:r>
          </w:p>
        </w:tc>
      </w:tr>
    </w:tbl>
    <w:p w14:paraId="006058B9" w14:textId="77777777" w:rsidR="00CB5EDC" w:rsidRDefault="00CB5EDC"/>
    <w:p w14:paraId="0B3863F0" w14:textId="77777777" w:rsidR="00CB5EDC" w:rsidRDefault="00CB5EDC"/>
    <w:p w14:paraId="0D5EA08B" w14:textId="77777777" w:rsidR="00CB5EDC" w:rsidRDefault="008343E0">
      <w:r>
        <w:br/>
      </w:r>
      <w:r>
        <w:br/>
      </w:r>
      <w:r>
        <w:rPr>
          <w:rStyle w:val="Heading1Char"/>
        </w:rPr>
        <w:t>H1: Change Repr</w:t>
      </w:r>
      <w:r>
        <w:rPr>
          <w:rStyle w:val="Heading1Char"/>
        </w:rPr>
        <w:t>esentation</w:t>
      </w:r>
      <w:r>
        <w:t xml:space="preserve"> </w:t>
      </w:r>
    </w:p>
    <w:p w14:paraId="0241B8C0" w14:textId="77777777" w:rsidR="00CB5EDC" w:rsidRDefault="008343E0">
      <w:r>
        <w:t>(To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CB5EDC" w14:paraId="75E7FA09" w14:textId="77777777">
        <w:trPr>
          <w:trHeight w:val="403"/>
        </w:trPr>
        <w:tc>
          <w:tcPr>
            <w:tcW w:w="1223" w:type="pct"/>
            <w:vMerge w:val="restart"/>
            <w:shd w:val="clear" w:color="auto" w:fill="B3EDFB"/>
            <w:vAlign w:val="center"/>
          </w:tcPr>
          <w:p w14:paraId="2E595430" w14:textId="77777777" w:rsidR="00CB5EDC" w:rsidRDefault="008343E0">
            <w:pPr>
              <w:jc w:val="right"/>
              <w:rPr>
                <w:rFonts w:cs="Arial"/>
              </w:rPr>
            </w:pPr>
            <w:r>
              <w:rPr>
                <w:rFonts w:cs="Arial"/>
              </w:rPr>
              <w:t>User Contact Details:</w:t>
            </w:r>
          </w:p>
        </w:tc>
        <w:tc>
          <w:tcPr>
            <w:tcW w:w="917" w:type="pct"/>
            <w:shd w:val="clear" w:color="auto" w:fill="B3EDFB"/>
            <w:vAlign w:val="center"/>
          </w:tcPr>
          <w:p w14:paraId="33FF7AA3" w14:textId="77777777" w:rsidR="00CB5EDC" w:rsidRDefault="008343E0">
            <w:pPr>
              <w:jc w:val="right"/>
              <w:rPr>
                <w:rFonts w:cs="Arial"/>
              </w:rPr>
            </w:pPr>
            <w:r>
              <w:rPr>
                <w:rFonts w:cs="Arial"/>
              </w:rPr>
              <w:t>Organisation:</w:t>
            </w:r>
          </w:p>
        </w:tc>
        <w:tc>
          <w:tcPr>
            <w:tcW w:w="2860" w:type="pct"/>
            <w:gridSpan w:val="2"/>
            <w:vAlign w:val="center"/>
          </w:tcPr>
          <w:p w14:paraId="6B109318" w14:textId="77777777" w:rsidR="00CB5EDC" w:rsidRDefault="008343E0">
            <w:pPr>
              <w:rPr>
                <w:rFonts w:cs="Arial"/>
              </w:rPr>
            </w:pPr>
            <w:r>
              <w:rPr>
                <w:rFonts w:cs="Arial"/>
              </w:rPr>
              <w:t>Centrica</w:t>
            </w:r>
          </w:p>
        </w:tc>
      </w:tr>
      <w:tr w:rsidR="00CB5EDC" w14:paraId="791B0A3F" w14:textId="77777777">
        <w:trPr>
          <w:trHeight w:val="403"/>
        </w:trPr>
        <w:tc>
          <w:tcPr>
            <w:tcW w:w="1223" w:type="pct"/>
            <w:vMerge/>
            <w:shd w:val="clear" w:color="auto" w:fill="B3EDFB"/>
            <w:vAlign w:val="center"/>
          </w:tcPr>
          <w:p w14:paraId="5F702CAB" w14:textId="77777777" w:rsidR="00CB5EDC" w:rsidRDefault="00CB5EDC"/>
        </w:tc>
        <w:tc>
          <w:tcPr>
            <w:tcW w:w="917" w:type="pct"/>
            <w:shd w:val="clear" w:color="auto" w:fill="B3EDFB"/>
            <w:vAlign w:val="center"/>
          </w:tcPr>
          <w:p w14:paraId="6D6E90A2" w14:textId="77777777" w:rsidR="00CB5EDC" w:rsidRDefault="008343E0">
            <w:pPr>
              <w:jc w:val="right"/>
              <w:rPr>
                <w:rFonts w:cs="Arial"/>
              </w:rPr>
            </w:pPr>
            <w:r>
              <w:rPr>
                <w:rFonts w:cs="Arial"/>
              </w:rPr>
              <w:t>Name:</w:t>
            </w:r>
          </w:p>
        </w:tc>
        <w:tc>
          <w:tcPr>
            <w:tcW w:w="2860" w:type="pct"/>
            <w:gridSpan w:val="2"/>
            <w:vAlign w:val="center"/>
          </w:tcPr>
          <w:p w14:paraId="45AF8200" w14:textId="77777777" w:rsidR="00CB5EDC" w:rsidRDefault="008343E0">
            <w:pPr>
              <w:rPr>
                <w:rFonts w:cs="Arial"/>
              </w:rPr>
            </w:pPr>
            <w:r>
              <w:rPr>
                <w:rFonts w:cs="Arial"/>
              </w:rPr>
              <w:t>Oorlagh Chapman</w:t>
            </w:r>
          </w:p>
        </w:tc>
      </w:tr>
      <w:tr w:rsidR="00CB5EDC" w14:paraId="7EEC26C6" w14:textId="77777777">
        <w:trPr>
          <w:trHeight w:val="403"/>
        </w:trPr>
        <w:tc>
          <w:tcPr>
            <w:tcW w:w="1223" w:type="pct"/>
            <w:vMerge/>
            <w:shd w:val="clear" w:color="auto" w:fill="B3EDFB"/>
            <w:vAlign w:val="center"/>
          </w:tcPr>
          <w:p w14:paraId="1D650155" w14:textId="77777777" w:rsidR="00CB5EDC" w:rsidRDefault="00CB5EDC"/>
        </w:tc>
        <w:tc>
          <w:tcPr>
            <w:tcW w:w="917" w:type="pct"/>
            <w:shd w:val="clear" w:color="auto" w:fill="B3EDFB"/>
            <w:vAlign w:val="center"/>
          </w:tcPr>
          <w:p w14:paraId="46F0E9D4" w14:textId="77777777" w:rsidR="00CB5EDC" w:rsidRDefault="008343E0">
            <w:pPr>
              <w:jc w:val="right"/>
              <w:rPr>
                <w:rFonts w:cs="Arial"/>
              </w:rPr>
            </w:pPr>
            <w:r>
              <w:rPr>
                <w:rFonts w:cs="Arial"/>
              </w:rPr>
              <w:t>Email:</w:t>
            </w:r>
          </w:p>
        </w:tc>
        <w:tc>
          <w:tcPr>
            <w:tcW w:w="2860" w:type="pct"/>
            <w:gridSpan w:val="2"/>
            <w:vAlign w:val="center"/>
          </w:tcPr>
          <w:p w14:paraId="23473C97" w14:textId="77777777" w:rsidR="00CB5EDC" w:rsidRDefault="008343E0">
            <w:pPr>
              <w:rPr>
                <w:rFonts w:cs="Arial"/>
              </w:rPr>
            </w:pPr>
            <w:r>
              <w:rPr>
                <w:rFonts w:cs="Arial"/>
              </w:rPr>
              <w:t>Oorlagh.chapman@centrica.com</w:t>
            </w:r>
          </w:p>
        </w:tc>
      </w:tr>
      <w:tr w:rsidR="00CB5EDC" w14:paraId="274540D4" w14:textId="77777777">
        <w:trPr>
          <w:trHeight w:val="403"/>
        </w:trPr>
        <w:tc>
          <w:tcPr>
            <w:tcW w:w="1223" w:type="pct"/>
            <w:vMerge/>
            <w:shd w:val="clear" w:color="auto" w:fill="B3EDFB"/>
            <w:vAlign w:val="center"/>
          </w:tcPr>
          <w:p w14:paraId="4498636E" w14:textId="77777777" w:rsidR="00CB5EDC" w:rsidRDefault="00CB5EDC"/>
        </w:tc>
        <w:tc>
          <w:tcPr>
            <w:tcW w:w="917" w:type="pct"/>
            <w:shd w:val="clear" w:color="auto" w:fill="B3EDFB"/>
            <w:vAlign w:val="center"/>
          </w:tcPr>
          <w:p w14:paraId="252B4336" w14:textId="77777777" w:rsidR="00CB5EDC" w:rsidRDefault="008343E0">
            <w:pPr>
              <w:jc w:val="right"/>
              <w:rPr>
                <w:rFonts w:cs="Arial"/>
              </w:rPr>
            </w:pPr>
            <w:r>
              <w:rPr>
                <w:rFonts w:cs="Arial"/>
              </w:rPr>
              <w:t>Telephone:</w:t>
            </w:r>
          </w:p>
        </w:tc>
        <w:tc>
          <w:tcPr>
            <w:tcW w:w="2860" w:type="pct"/>
            <w:gridSpan w:val="2"/>
            <w:vAlign w:val="center"/>
          </w:tcPr>
          <w:p w14:paraId="07BE36B4" w14:textId="77777777" w:rsidR="00CB5EDC" w:rsidRDefault="008343E0">
            <w:pPr>
              <w:rPr>
                <w:rFonts w:cs="Arial"/>
              </w:rPr>
            </w:pPr>
            <w:r>
              <w:rPr>
                <w:rFonts w:cs="Arial"/>
              </w:rPr>
              <w:t>07557614769</w:t>
            </w:r>
          </w:p>
        </w:tc>
      </w:tr>
      <w:tr w:rsidR="00CB5EDC" w14:paraId="200D26C5" w14:textId="77777777">
        <w:trPr>
          <w:trHeight w:val="403"/>
        </w:trPr>
        <w:tc>
          <w:tcPr>
            <w:tcW w:w="1223" w:type="pct"/>
            <w:shd w:val="clear" w:color="auto" w:fill="B3EDFB"/>
            <w:vAlign w:val="center"/>
          </w:tcPr>
          <w:p w14:paraId="26D4C9A7" w14:textId="77777777" w:rsidR="00CB5EDC" w:rsidRDefault="008343E0">
            <w:pPr>
              <w:jc w:val="right"/>
              <w:rPr>
                <w:rFonts w:cs="Arial"/>
              </w:rPr>
            </w:pPr>
            <w:r>
              <w:rPr>
                <w:rFonts w:cs="Arial"/>
              </w:rPr>
              <w:t>Representation Status:</w:t>
            </w:r>
          </w:p>
        </w:tc>
        <w:tc>
          <w:tcPr>
            <w:tcW w:w="3777" w:type="pct"/>
            <w:gridSpan w:val="3"/>
            <w:vAlign w:val="center"/>
          </w:tcPr>
          <w:p w14:paraId="4C48CDD4" w14:textId="77777777" w:rsidR="00CB5EDC" w:rsidRDefault="008343E0">
            <w:pPr>
              <w:rPr>
                <w:rFonts w:cs="Arial"/>
              </w:rPr>
            </w:pPr>
            <w:r>
              <w:rPr>
                <w:rFonts w:cs="Arial"/>
              </w:rPr>
              <w:t>Object</w:t>
            </w:r>
          </w:p>
        </w:tc>
      </w:tr>
      <w:tr w:rsidR="00CB5EDC" w14:paraId="2EE5233B" w14:textId="77777777">
        <w:trPr>
          <w:trHeight w:val="403"/>
        </w:trPr>
        <w:tc>
          <w:tcPr>
            <w:tcW w:w="1223" w:type="pct"/>
            <w:shd w:val="clear" w:color="auto" w:fill="B3EDFB"/>
            <w:vAlign w:val="center"/>
          </w:tcPr>
          <w:p w14:paraId="3395047F" w14:textId="77777777" w:rsidR="00CB5EDC" w:rsidRDefault="008343E0">
            <w:pPr>
              <w:jc w:val="right"/>
              <w:rPr>
                <w:rFonts w:cs="Arial"/>
              </w:rPr>
            </w:pPr>
            <w:r>
              <w:rPr>
                <w:rFonts w:cs="Arial"/>
              </w:rPr>
              <w:t>Representation Publication:</w:t>
            </w:r>
          </w:p>
        </w:tc>
        <w:tc>
          <w:tcPr>
            <w:tcW w:w="3777" w:type="pct"/>
            <w:gridSpan w:val="3"/>
            <w:vAlign w:val="center"/>
          </w:tcPr>
          <w:p w14:paraId="76DA4710" w14:textId="77777777" w:rsidR="00CB5EDC" w:rsidRDefault="008343E0">
            <w:pPr>
              <w:rPr>
                <w:rFonts w:cs="Arial"/>
              </w:rPr>
            </w:pPr>
            <w:r>
              <w:rPr>
                <w:rFonts w:cs="Arial"/>
              </w:rPr>
              <w:t>Publish</w:t>
            </w:r>
          </w:p>
        </w:tc>
      </w:tr>
      <w:tr w:rsidR="00CB5EDC" w14:paraId="74AB1542" w14:textId="77777777">
        <w:trPr>
          <w:trHeight w:val="403"/>
        </w:trPr>
        <w:tc>
          <w:tcPr>
            <w:tcW w:w="1223" w:type="pct"/>
            <w:shd w:val="clear" w:color="auto" w:fill="B3EDFB"/>
            <w:vAlign w:val="center"/>
          </w:tcPr>
          <w:p w14:paraId="27854FFF" w14:textId="77777777" w:rsidR="00CB5EDC" w:rsidRDefault="008343E0">
            <w:pPr>
              <w:jc w:val="right"/>
              <w:rPr>
                <w:rFonts w:cs="Arial"/>
              </w:rPr>
            </w:pPr>
            <w:r>
              <w:rPr>
                <w:rFonts w:cs="Arial"/>
              </w:rPr>
              <w:t>Representation Comments:</w:t>
            </w:r>
          </w:p>
        </w:tc>
        <w:tc>
          <w:tcPr>
            <w:tcW w:w="3777" w:type="pct"/>
            <w:gridSpan w:val="3"/>
            <w:vAlign w:val="center"/>
          </w:tcPr>
          <w:p w14:paraId="405AC101" w14:textId="77777777" w:rsidR="00CB5EDC" w:rsidRDefault="008343E0">
            <w:pPr>
              <w:rPr>
                <w:rFonts w:cs="Arial"/>
              </w:rPr>
            </w:pPr>
            <w:r>
              <w:rPr>
                <w:rFonts w:cs="Arial"/>
              </w:rPr>
              <w:t xml:space="preserve">Centrica do not think changes to the Budget and Charging Methodology (BCM) should be progressed via a route that was intended for IT changes. The Change Management Committee, which was convened </w:t>
            </w:r>
            <w:r>
              <w:rPr>
                <w:rFonts w:cs="Arial"/>
              </w:rPr>
              <w:t>specifically for IT and service changes, should not have responsibility for deciding on changes to the BCM. The responsibility of this should instead fall to the Contract Management Committee (or Ofgem) even though the existing governance dictates that. We</w:t>
            </w:r>
            <w:r>
              <w:rPr>
                <w:rFonts w:cs="Arial"/>
              </w:rPr>
              <w:t xml:space="preserve"> believe the governance should be changed first and then the change progressed. In relation to the actual change proposed, we think the proposal is both incomplete and does not include enough information to assess the merit of the change.</w:t>
            </w:r>
            <w:r>
              <w:rPr>
                <w:rFonts w:cs="Arial"/>
              </w:rPr>
              <w:br/>
            </w:r>
            <w:r>
              <w:rPr>
                <w:rFonts w:cs="Arial"/>
              </w:rPr>
              <w:br/>
              <w:t>Change the Charg</w:t>
            </w:r>
            <w:r>
              <w:rPr>
                <w:rFonts w:cs="Arial"/>
              </w:rPr>
              <w:t>e Base Apportionment Table:</w:t>
            </w:r>
            <w:r>
              <w:rPr>
                <w:rFonts w:cs="Arial"/>
              </w:rPr>
              <w:br/>
              <w:t>•</w:t>
            </w:r>
            <w:r>
              <w:rPr>
                <w:rFonts w:cs="Arial"/>
              </w:rPr>
              <w:tab/>
              <w:t>The table is derived from the list of services and the allocation of costs to those services. Xoserve proposes replacing the current 22 Service Areas with 15 new Service Area descriptions and adding other new services This mea</w:t>
            </w:r>
            <w:r>
              <w:rPr>
                <w:rFonts w:cs="Arial"/>
              </w:rPr>
              <w:t xml:space="preserve">ns linked changes: changes to the CDSP document in which the services are listed (the Services Document I think) and the Charge Base Apportionment Table in the BCM. The Charge Base Apportionment Table in the BCM cannot be changed in isolation. (We believe </w:t>
            </w:r>
            <w:r>
              <w:rPr>
                <w:rFonts w:cs="Arial"/>
              </w:rPr>
              <w:t xml:space="preserve">the cost allocation methodology also needs to be changed but these change arrangements fall within the scope of Contract Assurance Audit). </w:t>
            </w:r>
            <w:r>
              <w:rPr>
                <w:rFonts w:cs="Arial"/>
              </w:rPr>
              <w:br/>
              <w:t>The cost allocation model is based on the existing set of services. It is impossible to replace the current 22 Servi</w:t>
            </w:r>
            <w:r>
              <w:rPr>
                <w:rFonts w:cs="Arial"/>
              </w:rPr>
              <w:t xml:space="preserve">ce Areas with 15 new Service Area descriptions and add other new services without changing the existing cost allocation across services. The change proposal </w:t>
            </w:r>
            <w:proofErr w:type="spellStart"/>
            <w:r>
              <w:rPr>
                <w:rFonts w:cs="Arial"/>
              </w:rPr>
              <w:t>doe</w:t>
            </w:r>
            <w:proofErr w:type="spellEnd"/>
            <w:r>
              <w:rPr>
                <w:rFonts w:cs="Arial"/>
              </w:rPr>
              <w:t xml:space="preserve"> not include any information about how cost allocation </w:t>
            </w:r>
            <w:r>
              <w:rPr>
                <w:rFonts w:cs="Arial"/>
              </w:rPr>
              <w:lastRenderedPageBreak/>
              <w:t xml:space="preserve">changes or even the basis on which costs </w:t>
            </w:r>
            <w:r>
              <w:rPr>
                <w:rFonts w:cs="Arial"/>
              </w:rPr>
              <w:t xml:space="preserve">are allocated to the new services. </w:t>
            </w:r>
            <w:r>
              <w:rPr>
                <w:rFonts w:cs="Arial"/>
              </w:rPr>
              <w:br/>
            </w:r>
            <w:r>
              <w:rPr>
                <w:rFonts w:cs="Arial"/>
              </w:rPr>
              <w:br/>
              <w:t>Please clarify the definition of cost to include debt. During the early discussions about the treatment of debt during the FGO programme it was decided debt should not form part of the cost base. We do not object to deb</w:t>
            </w:r>
            <w:r>
              <w:rPr>
                <w:rFonts w:cs="Arial"/>
              </w:rPr>
              <w:t xml:space="preserve">t being part of the cost </w:t>
            </w:r>
            <w:proofErr w:type="gramStart"/>
            <w:r>
              <w:rPr>
                <w:rFonts w:cs="Arial"/>
              </w:rPr>
              <w:t>base</w:t>
            </w:r>
            <w:proofErr w:type="gramEnd"/>
            <w:r>
              <w:rPr>
                <w:rFonts w:cs="Arial"/>
              </w:rPr>
              <w:t xml:space="preserve"> but it must be justified first and take the governance arrangements into account. </w:t>
            </w:r>
            <w:r>
              <w:rPr>
                <w:rFonts w:cs="Arial"/>
              </w:rPr>
              <w:br/>
            </w:r>
            <w:r>
              <w:rPr>
                <w:rFonts w:cs="Arial"/>
              </w:rPr>
              <w:br/>
              <w:t xml:space="preserve">The change management arrangements and the template do not require the proposer of a change to explicitly explain how the proposed changes is </w:t>
            </w:r>
            <w:r>
              <w:rPr>
                <w:rFonts w:cs="Arial"/>
              </w:rPr>
              <w:t xml:space="preserve">better than the status quo. This is not appropriate, changes to charging methodologies should have to be demonstrated to be better. This seems to be an omission. The proposed change makes no reference to the Charging Methodology Objectives for the CDSP in </w:t>
            </w:r>
            <w:r>
              <w:rPr>
                <w:rFonts w:cs="Arial"/>
              </w:rPr>
              <w:t>the GTs’ licence (SCA.15A) or the relevant charging objectives in the UNC. Without a way of demonstrating the proposal is better than the status quo, it is unclear how parties or the Change Management Committee are expected to assess the proposal.</w:t>
            </w:r>
            <w:r>
              <w:rPr>
                <w:rFonts w:cs="Arial"/>
              </w:rPr>
              <w:br/>
            </w:r>
            <w:r>
              <w:rPr>
                <w:rFonts w:cs="Arial"/>
              </w:rPr>
              <w:br/>
            </w:r>
          </w:p>
        </w:tc>
      </w:tr>
      <w:tr w:rsidR="00CB5EDC" w14:paraId="1AADE50A" w14:textId="77777777">
        <w:trPr>
          <w:trHeight w:val="403"/>
        </w:trPr>
        <w:tc>
          <w:tcPr>
            <w:tcW w:w="1223" w:type="pct"/>
            <w:shd w:val="clear" w:color="auto" w:fill="B3EDFB"/>
            <w:vAlign w:val="center"/>
          </w:tcPr>
          <w:p w14:paraId="625B7345" w14:textId="77777777" w:rsidR="00CB5EDC" w:rsidRDefault="008343E0">
            <w:pPr>
              <w:jc w:val="right"/>
              <w:rPr>
                <w:rFonts w:cs="Arial"/>
              </w:rPr>
            </w:pPr>
            <w:r>
              <w:rPr>
                <w:rFonts w:cs="Arial"/>
              </w:rPr>
              <w:lastRenderedPageBreak/>
              <w:t>Confirm Target Release Date?</w:t>
            </w:r>
          </w:p>
        </w:tc>
        <w:tc>
          <w:tcPr>
            <w:tcW w:w="1452" w:type="pct"/>
            <w:gridSpan w:val="2"/>
            <w:vAlign w:val="center"/>
          </w:tcPr>
          <w:p w14:paraId="6962064A" w14:textId="77777777" w:rsidR="00CB5EDC" w:rsidRDefault="008343E0">
            <w:pPr>
              <w:rPr>
                <w:rFonts w:cs="Arial"/>
              </w:rPr>
            </w:pPr>
            <w:r>
              <w:rPr>
                <w:rFonts w:cs="Arial"/>
              </w:rPr>
              <w:t>No</w:t>
            </w:r>
          </w:p>
        </w:tc>
        <w:tc>
          <w:tcPr>
            <w:tcW w:w="2325" w:type="pct"/>
            <w:vAlign w:val="center"/>
          </w:tcPr>
          <w:p w14:paraId="7098381F" w14:textId="77777777" w:rsidR="00CB5EDC" w:rsidRDefault="008343E0">
            <w:pPr>
              <w:rPr>
                <w:rFonts w:cs="Arial"/>
              </w:rPr>
            </w:pPr>
            <w:r>
              <w:rPr>
                <w:rFonts w:cs="Arial"/>
              </w:rPr>
              <w:t>Further information required</w:t>
            </w:r>
          </w:p>
        </w:tc>
      </w:tr>
    </w:tbl>
    <w:p w14:paraId="1C387A24" w14:textId="77777777" w:rsidR="00CB5EDC" w:rsidRDefault="00CB5EDC"/>
    <w:p w14:paraId="3DB271D3" w14:textId="77777777" w:rsidR="00CB5EDC" w:rsidRDefault="008343E0">
      <w:pPr>
        <w:pStyle w:val="Heading1"/>
      </w:pPr>
      <w:r>
        <w:t xml:space="preserve">H1: 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CB5EDC" w14:paraId="28DCA40C" w14:textId="77777777">
        <w:trPr>
          <w:trHeight w:val="663"/>
        </w:trPr>
        <w:tc>
          <w:tcPr>
            <w:tcW w:w="1223" w:type="pct"/>
            <w:shd w:val="clear" w:color="auto" w:fill="B3EDFB"/>
            <w:vAlign w:val="center"/>
          </w:tcPr>
          <w:p w14:paraId="01C56EB8" w14:textId="77777777" w:rsidR="00CB5EDC" w:rsidRDefault="008343E0">
            <w:pPr>
              <w:jc w:val="right"/>
              <w:rPr>
                <w:rFonts w:cs="Arial"/>
              </w:rPr>
            </w:pPr>
            <w:r>
              <w:rPr>
                <w:rFonts w:cs="Arial"/>
              </w:rPr>
              <w:t>Xoserve Response to Organisations Comments:</w:t>
            </w:r>
          </w:p>
        </w:tc>
        <w:tc>
          <w:tcPr>
            <w:tcW w:w="3777" w:type="pct"/>
            <w:vAlign w:val="center"/>
          </w:tcPr>
          <w:p w14:paraId="0E352BC4" w14:textId="77777777" w:rsidR="00CB5EDC" w:rsidRDefault="008343E0">
            <w:pPr>
              <w:rPr>
                <w:rFonts w:cs="Arial"/>
              </w:rPr>
            </w:pPr>
            <w:r>
              <w:rPr>
                <w:rFonts w:cs="Arial"/>
              </w:rPr>
              <w:t xml:space="preserve">Comment 1 </w:t>
            </w:r>
            <w:r>
              <w:rPr>
                <w:rFonts w:cs="Arial"/>
              </w:rPr>
              <w:br/>
              <w:t>“Centrica do not think changes to the Budget and Charging Methodology (BCM) should be progressed via a route that</w:t>
            </w:r>
            <w:r>
              <w:rPr>
                <w:rFonts w:cs="Arial"/>
              </w:rPr>
              <w:t xml:space="preserve"> was intended for IT changes. The Change Management Committee, which was convened specifically for IT and service changes, should not have responsibility for deciding on changes to the BCM. The responsibility of this should instead fall to the Contract Man</w:t>
            </w:r>
            <w:r>
              <w:rPr>
                <w:rFonts w:cs="Arial"/>
              </w:rPr>
              <w:t>agement Committee (or Ofgem) even though the existing governance dictates that. We believe the governance should be changed first and then the change progressed. “</w:t>
            </w:r>
            <w:r>
              <w:rPr>
                <w:rFonts w:cs="Arial"/>
              </w:rPr>
              <w:br/>
            </w:r>
            <w:r>
              <w:rPr>
                <w:rFonts w:cs="Arial"/>
              </w:rPr>
              <w:br/>
              <w:t>Response</w:t>
            </w:r>
            <w:r>
              <w:rPr>
                <w:rFonts w:cs="Arial"/>
              </w:rPr>
              <w:br/>
              <w:t>•</w:t>
            </w:r>
            <w:r>
              <w:rPr>
                <w:rFonts w:cs="Arial"/>
              </w:rPr>
              <w:tab/>
              <w:t>We were asked by July CoMC to ensure that all Customers had an opportunity to fo</w:t>
            </w:r>
            <w:r>
              <w:rPr>
                <w:rFonts w:cs="Arial"/>
              </w:rPr>
              <w:t xml:space="preserve">rmally comment of the changes proposed to the Budget and Charging Methodology and it was agreed at that meeting that raising a Change Pack that would be circulated for consultation was the most appropriate route for this to happen. Whilst this Change Pack </w:t>
            </w:r>
            <w:r>
              <w:rPr>
                <w:rFonts w:cs="Arial"/>
              </w:rPr>
              <w:t xml:space="preserve">will be viewed at ChMC in August, CoMC will still be the body that approves this change as agreed at July CoMC. </w:t>
            </w:r>
            <w:r>
              <w:rPr>
                <w:rFonts w:cs="Arial"/>
              </w:rPr>
              <w:br/>
              <w:t>•</w:t>
            </w:r>
            <w:r>
              <w:rPr>
                <w:rFonts w:cs="Arial"/>
              </w:rPr>
              <w:tab/>
              <w:t xml:space="preserve">We can support a review of the governance around changes being made to CDSP Service Documents if requested. </w:t>
            </w:r>
            <w:r>
              <w:rPr>
                <w:rFonts w:cs="Arial"/>
              </w:rPr>
              <w:br/>
            </w:r>
            <w:r>
              <w:rPr>
                <w:rFonts w:cs="Arial"/>
              </w:rPr>
              <w:br/>
              <w:t xml:space="preserve">Comment 2 </w:t>
            </w:r>
            <w:r>
              <w:rPr>
                <w:rFonts w:cs="Arial"/>
              </w:rPr>
              <w:br/>
              <w:t xml:space="preserve">“In relation to the </w:t>
            </w:r>
            <w:r>
              <w:rPr>
                <w:rFonts w:cs="Arial"/>
              </w:rPr>
              <w:t xml:space="preserve">actual change proposed, we think the proposal is both incomplete and does not include enough information to assess </w:t>
            </w:r>
            <w:r>
              <w:rPr>
                <w:rFonts w:cs="Arial"/>
              </w:rPr>
              <w:lastRenderedPageBreak/>
              <w:t>the merit of the change. Change the Charge Base Apportionment Table: • The table is derived from the list of services and the allocation of c</w:t>
            </w:r>
            <w:r>
              <w:rPr>
                <w:rFonts w:cs="Arial"/>
              </w:rPr>
              <w:t>osts to those services. Xoserve proposes replacing the current 22 Service Areas with 15 new Service Area descriptions and adding other new services This means linked changes: changes to the CDSP document in which the services are listed (the Services Docum</w:t>
            </w:r>
            <w:r>
              <w:rPr>
                <w:rFonts w:cs="Arial"/>
              </w:rPr>
              <w:t>ent I think) and the Charge Base Apportionment Table in the BCM. The Charge Base Apportionment Table in the BCM cannot be changed in isolation. (We believe the cost allocation methodology also needs to be changed but these change arrangements fall within t</w:t>
            </w:r>
            <w:r>
              <w:rPr>
                <w:rFonts w:cs="Arial"/>
              </w:rPr>
              <w:t>he scope of Contract Assurance Audit). The cost allocation model is based on the existing set of services. It is impossible to replace the current 22 Service Areas with 15 new Service Area descriptions and add other new services without changing the existi</w:t>
            </w:r>
            <w:r>
              <w:rPr>
                <w:rFonts w:cs="Arial"/>
              </w:rPr>
              <w:t>ng cost allocation across services. The change proposal does not include any information about how cost allocation changes or even the basis on which costs are allocated to the new services. “</w:t>
            </w:r>
            <w:r>
              <w:rPr>
                <w:rFonts w:cs="Arial"/>
              </w:rPr>
              <w:br/>
            </w:r>
            <w:r>
              <w:rPr>
                <w:rFonts w:cs="Arial"/>
              </w:rPr>
              <w:br/>
              <w:t>Response</w:t>
            </w:r>
            <w:r>
              <w:rPr>
                <w:rFonts w:cs="Arial"/>
              </w:rPr>
              <w:br/>
              <w:t>•</w:t>
            </w:r>
            <w:r>
              <w:rPr>
                <w:rFonts w:cs="Arial"/>
              </w:rPr>
              <w:tab/>
              <w:t>We attended a number of industry meetings in May, J</w:t>
            </w:r>
            <w:r>
              <w:rPr>
                <w:rFonts w:cs="Arial"/>
              </w:rPr>
              <w:t xml:space="preserve">une and July with each of the customer constituency groups. These meetings were used as more of a deep dive into why the changes were needed along with the financial impacts of old vs new. </w:t>
            </w:r>
            <w:r>
              <w:rPr>
                <w:rFonts w:cs="Arial"/>
              </w:rPr>
              <w:br/>
              <w:t>•</w:t>
            </w:r>
            <w:r>
              <w:rPr>
                <w:rFonts w:cs="Arial"/>
              </w:rPr>
              <w:tab/>
              <w:t>The consequential changes required to other CDSP Service Documen</w:t>
            </w:r>
            <w:r>
              <w:rPr>
                <w:rFonts w:cs="Arial"/>
              </w:rPr>
              <w:t xml:space="preserve">ts as a result of the amendments to the Budget and Charging Methodology are planned for August Change Pack. </w:t>
            </w:r>
            <w:r>
              <w:rPr>
                <w:rFonts w:cs="Arial"/>
              </w:rPr>
              <w:br/>
              <w:t>•</w:t>
            </w:r>
            <w:r>
              <w:rPr>
                <w:rFonts w:cs="Arial"/>
              </w:rPr>
              <w:tab/>
              <w:t>The cost allocation methodology principles or detail of how any model would work isn’t part of the B&amp;CM. It is up to the CDSP to establish, revie</w:t>
            </w:r>
            <w:r>
              <w:rPr>
                <w:rFonts w:cs="Arial"/>
              </w:rPr>
              <w:t xml:space="preserve">w and from time to time revise this methodology as set out in paragraph 3.2 of the Budget and Charging Methodology. The principles of allocating resources be that direct people, applications or support costs to Service Areas that consumes them remains </w:t>
            </w:r>
            <w:proofErr w:type="gramStart"/>
            <w:r>
              <w:rPr>
                <w:rFonts w:cs="Arial"/>
              </w:rPr>
              <w:t>exac</w:t>
            </w:r>
            <w:r>
              <w:rPr>
                <w:rFonts w:cs="Arial"/>
              </w:rPr>
              <w:t>tly the same</w:t>
            </w:r>
            <w:proofErr w:type="gramEnd"/>
            <w:r>
              <w:rPr>
                <w:rFonts w:cs="Arial"/>
              </w:rPr>
              <w:t xml:space="preserve"> as before (which is consistent with the requirements set out in Std Special Licence Condition 15A (para 3 (ii)). Given we are proposing new Service Areas where necessary we have had to remap our resources but as we have demonstrated via our pr</w:t>
            </w:r>
            <w:r>
              <w:rPr>
                <w:rFonts w:cs="Arial"/>
              </w:rPr>
              <w:t xml:space="preserve">esentations there is a great deal of commonality between the current and proposed service area descriptions. </w:t>
            </w:r>
            <w:r>
              <w:rPr>
                <w:rFonts w:cs="Arial"/>
              </w:rPr>
              <w:br/>
            </w:r>
            <w:r>
              <w:rPr>
                <w:rFonts w:cs="Arial"/>
              </w:rPr>
              <w:br/>
              <w:t>Comment 3</w:t>
            </w:r>
            <w:r>
              <w:rPr>
                <w:rFonts w:cs="Arial"/>
              </w:rPr>
              <w:br/>
              <w:t>“Please clarify the definition of cost to include debt. During the early discussions about the treatment of debt during the FGO program</w:t>
            </w:r>
            <w:r>
              <w:rPr>
                <w:rFonts w:cs="Arial"/>
              </w:rPr>
              <w:t xml:space="preserve">me it was decided debt should not form part of the cost base. We do not object to debt being part of the cost base, but it must be justified first and take the governance arrangements into account.” </w:t>
            </w:r>
            <w:r>
              <w:rPr>
                <w:rFonts w:cs="Arial"/>
              </w:rPr>
              <w:br/>
            </w:r>
            <w:r>
              <w:rPr>
                <w:rFonts w:cs="Arial"/>
              </w:rPr>
              <w:br/>
              <w:t xml:space="preserve">Response </w:t>
            </w:r>
            <w:r>
              <w:rPr>
                <w:rFonts w:cs="Arial"/>
              </w:rPr>
              <w:br/>
              <w:t>•</w:t>
            </w:r>
            <w:r>
              <w:rPr>
                <w:rFonts w:cs="Arial"/>
              </w:rPr>
              <w:tab/>
              <w:t>The decision to amend the definition of ‘co</w:t>
            </w:r>
            <w:r>
              <w:rPr>
                <w:rFonts w:cs="Arial"/>
              </w:rPr>
              <w:t xml:space="preserve">st’ to include debt was agreed at CoMC on 17 June 2020. </w:t>
            </w:r>
            <w:r>
              <w:rPr>
                <w:rFonts w:cs="Arial"/>
              </w:rPr>
              <w:br/>
            </w:r>
            <w:r>
              <w:rPr>
                <w:rFonts w:cs="Arial"/>
              </w:rPr>
              <w:br/>
              <w:t>Comment 4</w:t>
            </w:r>
            <w:r>
              <w:rPr>
                <w:rFonts w:cs="Arial"/>
              </w:rPr>
              <w:br/>
              <w:t xml:space="preserve">“The change management arrangements and the template do not require the proposer of a change to explicitly explain how the </w:t>
            </w:r>
            <w:r>
              <w:rPr>
                <w:rFonts w:cs="Arial"/>
              </w:rPr>
              <w:lastRenderedPageBreak/>
              <w:t>proposed changes is better than the status quo. This is not appro</w:t>
            </w:r>
            <w:r>
              <w:rPr>
                <w:rFonts w:cs="Arial"/>
              </w:rPr>
              <w:t>priate, changes to charging methodologies should have to be demonstrated to be better. This seems to be an omission. The proposed change makes no reference to the Charging Methodology Objectives for the CDSP in the GTs’ licence (SCA.15A) or the relevant ch</w:t>
            </w:r>
            <w:r>
              <w:rPr>
                <w:rFonts w:cs="Arial"/>
              </w:rPr>
              <w:t>arging objectives in the UNC. Without a way of demonstrating the proposal is better than the status quo, it is unclear how parties or the Change Management Committee are expected to assess the proposal. “</w:t>
            </w:r>
            <w:r>
              <w:rPr>
                <w:rFonts w:cs="Arial"/>
              </w:rPr>
              <w:br/>
            </w:r>
            <w:r>
              <w:rPr>
                <w:rFonts w:cs="Arial"/>
              </w:rPr>
              <w:br/>
              <w:t xml:space="preserve">Response </w:t>
            </w:r>
            <w:r>
              <w:rPr>
                <w:rFonts w:cs="Arial"/>
              </w:rPr>
              <w:br/>
              <w:t>•</w:t>
            </w:r>
            <w:r>
              <w:rPr>
                <w:rFonts w:cs="Arial"/>
              </w:rPr>
              <w:tab/>
              <w:t>The benefits of the changes are set ou</w:t>
            </w:r>
            <w:r>
              <w:rPr>
                <w:rFonts w:cs="Arial"/>
              </w:rPr>
              <w:t xml:space="preserve">t in the slide deck included in the Change Pack. </w:t>
            </w:r>
            <w:r>
              <w:rPr>
                <w:rFonts w:cs="Arial"/>
              </w:rPr>
              <w:br/>
              <w:t>•</w:t>
            </w:r>
            <w:r>
              <w:rPr>
                <w:rFonts w:cs="Arial"/>
              </w:rPr>
              <w:tab/>
              <w:t>The proposed changes are to the Charge Base Apportionment Table. Paragraph 3.2.1 of the Budget and Charging Methodology allows for the CDSP to establish, keep under review and from time to time. We have t</w:t>
            </w:r>
            <w:r>
              <w:rPr>
                <w:rFonts w:cs="Arial"/>
              </w:rPr>
              <w:t>aken extra steps to make sure that all customers are aware of the proposed changes to the Charge Base Apportionment Table and provide the opportunity to feed back any comments.</w:t>
            </w:r>
          </w:p>
        </w:tc>
      </w:tr>
    </w:tbl>
    <w:p w14:paraId="338E206D" w14:textId="77777777" w:rsidR="00CB5EDC" w:rsidRDefault="00CB5EDC"/>
    <w:p w14:paraId="6E7EB4AF" w14:textId="77777777" w:rsidR="00CB5EDC" w:rsidRDefault="00CB5EDC"/>
    <w:p w14:paraId="0DE69B88" w14:textId="77777777" w:rsidR="00CB5EDC" w:rsidRDefault="00CB5EDC"/>
    <w:p w14:paraId="62E970EB" w14:textId="77777777" w:rsidR="00CB5EDC" w:rsidRDefault="00CB5EDC"/>
    <w:p w14:paraId="309DD046" w14:textId="77777777" w:rsidR="00CB5EDC" w:rsidRDefault="00CB5EDC"/>
    <w:sectPr w:rsidR="00CB5EDC">
      <w:headerReference w:type="default" r:id="rId12"/>
      <w:footerReference w:type="default" r:id="rId1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FA591" w14:textId="77777777" w:rsidR="00000000" w:rsidRDefault="008343E0">
      <w:pPr>
        <w:spacing w:after="0" w:line="240" w:lineRule="auto"/>
      </w:pPr>
      <w:r>
        <w:separator/>
      </w:r>
    </w:p>
  </w:endnote>
  <w:endnote w:type="continuationSeparator" w:id="0">
    <w:p w14:paraId="72FD44BF" w14:textId="77777777" w:rsidR="00000000" w:rsidRDefault="0083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FEDF" w14:textId="77777777" w:rsidR="00CB5EDC" w:rsidRDefault="008343E0">
    <w:pPr>
      <w:pStyle w:val="Footer"/>
    </w:pPr>
    <w:r>
      <w:t>CP_V7.0</w:t>
    </w:r>
    <w:r>
      <w:rPr>
        <w:noProof/>
      </w:rPr>
      <mc:AlternateContent>
        <mc:Choice Requires="wps">
          <w:drawing>
            <wp:anchor distT="0" distB="0" distL="114300" distR="114300" simplePos="0" relativeHeight="251661314" behindDoc="0" locked="0" layoutInCell="1" allowOverlap="1" wp14:anchorId="5061FA0F" wp14:editId="59C2FFE4">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424C" w14:textId="77777777" w:rsidR="00000000" w:rsidRDefault="008343E0">
      <w:pPr>
        <w:spacing w:after="0" w:line="240" w:lineRule="auto"/>
      </w:pPr>
      <w:r>
        <w:separator/>
      </w:r>
    </w:p>
  </w:footnote>
  <w:footnote w:type="continuationSeparator" w:id="0">
    <w:p w14:paraId="4FE4DEF4" w14:textId="77777777" w:rsidR="00000000" w:rsidRDefault="00834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AE4C" w14:textId="77777777" w:rsidR="00CB5EDC" w:rsidRDefault="008343E0">
    <w:pPr>
      <w:pStyle w:val="Header"/>
    </w:pPr>
    <w:r>
      <w:rPr>
        <w:noProof/>
      </w:rPr>
      <mc:AlternateContent>
        <mc:Choice Requires="wps">
          <w:drawing>
            <wp:anchor distT="0" distB="0" distL="114300" distR="114300" simplePos="0" relativeHeight="251663362" behindDoc="0" locked="0" layoutInCell="1" allowOverlap="1" wp14:anchorId="5AD2E38D" wp14:editId="67709128">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9266" behindDoc="0" locked="0" layoutInCell="1" allowOverlap="1" wp14:anchorId="647D8BD0" wp14:editId="3F69941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DC"/>
    <w:rsid w:val="007815A3"/>
    <w:rsid w:val="008343E0"/>
    <w:rsid w:val="00CB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ABE9"/>
  <w15:docId w15:val="{3499F99C-CF6F-41B8-9280-994289B9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character" w:styleId="FollowedHyperlink">
    <w:name w:val="FollowedHyperlink"/>
    <w:basedOn w:val="DefaultParagraphFont"/>
    <w:qFormat/>
    <w:rPr>
      <w:color w:val="D2232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link@xoserv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mbraco.xoserve.com/media/40347/cdsp-service-document-budget-and-charging-methodology.pdf" TargetMode="External"/><Relationship Id="rId4" Type="http://schemas.openxmlformats.org/officeDocument/2006/relationships/styles" Target="styles.xml"/><Relationship Id="rId9" Type="http://schemas.openxmlformats.org/officeDocument/2006/relationships/hyperlink" Target="https://umbraco.xoserve.com/media/40348/cost-allocation-comc-july-chmc-aug-updat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5AEDA-7F86-4DB4-9A21-C5B15DC78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DB296-A13E-4DA3-91CA-169172953A52}">
  <ds:schemaRefs>
    <ds:schemaRef ds:uri="http://schemas.microsoft.com/sharepoint/v3/contenttype/forms"/>
  </ds:schemaRefs>
</ds:datastoreItem>
</file>

<file path=customXml/itemProps3.xml><?xml version="1.0" encoding="utf-8"?>
<ds:datastoreItem xmlns:ds="http://schemas.openxmlformats.org/officeDocument/2006/customXml" ds:itemID="{558A27CB-56D4-48C5-B86F-634C83C3F46D}">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3092569d-7549-4f1f-b838-122d264c6bd8"/>
    <ds:schemaRef ds:uri="01f7a547-d57a-44ce-a211-81869c79743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11797</Characters>
  <Application>Microsoft Office Word</Application>
  <DocSecurity>0</DocSecurity>
  <Lines>98</Lines>
  <Paragraphs>27</Paragraphs>
  <ScaleCrop>false</ScaleCrop>
  <Company>National Grid</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Clarke, Angela</cp:lastModifiedBy>
  <cp:revision>2</cp:revision>
  <dcterms:created xsi:type="dcterms:W3CDTF">2020-08-11T14:16:00Z</dcterms:created>
  <dcterms:modified xsi:type="dcterms:W3CDTF">2020-08-11T14:16:00Z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ies>
</file>