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364" w:type="pct"/>
        <w:tblLayout w:type="fixed"/>
        <w:tblLook w:val="04A0" w:firstRow="1" w:lastRow="0" w:firstColumn="1" w:lastColumn="0" w:noHBand="0" w:noVBand="1"/>
      </w:tblPr>
      <w:tblGrid>
        <w:gridCol w:w="4484"/>
        <w:gridCol w:w="5188"/>
      </w:tblGrid>
      <w:tr w:rsidR="00EA73B3" w:rsidRPr="00EA73B3" w14:paraId="1601AE27" w14:textId="77777777" w:rsidTr="00006C99">
        <w:trPr>
          <w:trHeight w:val="259"/>
        </w:trPr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629CFAE3" w:rsidR="00EA73B3" w:rsidRPr="004D0F26" w:rsidRDefault="00603A44" w:rsidP="0A57A14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3A44">
              <w:rPr>
                <w:rFonts w:eastAsia="Times New Roman" w:cs="Arial"/>
                <w:sz w:val="20"/>
                <w:szCs w:val="20"/>
              </w:rPr>
              <w:t>UIG_Additional_National_Data_YYYYMM</w:t>
            </w:r>
            <w:proofErr w:type="spellEnd"/>
            <w:r w:rsidRPr="00603A44">
              <w:rPr>
                <w:rFonts w:eastAsia="Times New Roman" w:cs="Arial"/>
                <w:sz w:val="20"/>
                <w:szCs w:val="20"/>
              </w:rPr>
              <w:t xml:space="preserve"> Frequency Change</w:t>
            </w:r>
          </w:p>
        </w:tc>
      </w:tr>
      <w:tr w:rsidR="00EA73B3" w:rsidRPr="00EA73B3" w14:paraId="06D4D571" w14:textId="77777777" w:rsidTr="00006C99">
        <w:trPr>
          <w:trHeight w:val="216"/>
        </w:trPr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1E8CC266" w:rsidR="00EA73B3" w:rsidRPr="00EA73B3" w:rsidRDefault="00603A44" w:rsidP="00195A39">
            <w:pPr>
              <w:rPr>
                <w:rFonts w:eastAsia="Times New Roman" w:cs="Arial"/>
                <w:sz w:val="20"/>
                <w:szCs w:val="20"/>
              </w:rPr>
            </w:pPr>
            <w:r w:rsidRPr="00603A44">
              <w:rPr>
                <w:rFonts w:eastAsia="Times New Roman" w:cs="Arial"/>
                <w:sz w:val="20"/>
                <w:szCs w:val="20"/>
              </w:rPr>
              <w:t>XRN5161</w:t>
            </w:r>
          </w:p>
        </w:tc>
      </w:tr>
      <w:tr w:rsidR="00EA73B3" w:rsidRPr="00EA73B3" w14:paraId="1D6C8AD7" w14:textId="77777777" w:rsidTr="00006C99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672C5BC6" w:rsidR="00EA73B3" w:rsidRPr="00EA73B3" w:rsidRDefault="00FB1AE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Harris</w:t>
            </w:r>
          </w:p>
        </w:tc>
      </w:tr>
      <w:tr w:rsidR="00EA73B3" w:rsidRPr="00EA73B3" w14:paraId="2390A8AC" w14:textId="77777777" w:rsidTr="00006C99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4AAB6984" w:rsidR="00EA73B3" w:rsidRPr="00EA73B3" w:rsidRDefault="00731423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8B1585" w:rsidRPr="00B97601">
                <w:rPr>
                  <w:rStyle w:val="Hyperlink"/>
                  <w:rFonts w:eastAsia="Times New Roman" w:cs="Arial"/>
                  <w:sz w:val="20"/>
                  <w:szCs w:val="20"/>
                </w:rPr>
                <w:t>simon.harris@xoserve.com</w:t>
              </w:r>
            </w:hyperlink>
            <w:r w:rsidR="008B158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EA73B3" w:rsidRPr="00EA73B3" w14:paraId="3B9ABC1E" w14:textId="77777777" w:rsidTr="00006C99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0E1719B2" w:rsidR="00EA73B3" w:rsidRPr="00EA73B3" w:rsidRDefault="00DA5584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DA5584">
              <w:rPr>
                <w:rFonts w:eastAsia="Times New Roman" w:cs="Arial"/>
                <w:sz w:val="20"/>
                <w:szCs w:val="20"/>
              </w:rPr>
              <w:t>0121 229 2642</w:t>
            </w:r>
            <w:bookmarkStart w:id="0" w:name="_GoBack"/>
            <w:bookmarkEnd w:id="0"/>
          </w:p>
        </w:tc>
      </w:tr>
      <w:tr w:rsidR="00EA73B3" w:rsidRPr="00EA73B3" w14:paraId="0B495390" w14:textId="77777777" w:rsidTr="00006C99">
        <w:trPr>
          <w:trHeight w:val="432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10B4EB49" w:rsidR="00EA73B3" w:rsidRPr="00EA73B3" w:rsidRDefault="00271200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08/07</w:t>
            </w:r>
            <w:r w:rsidR="00BA5D1D">
              <w:rPr>
                <w:rFonts w:eastAsia="Times New Roman" w:cs="Arial"/>
                <w:sz w:val="20"/>
                <w:szCs w:val="20"/>
              </w:rPr>
              <w:t>/2020</w:t>
            </w:r>
          </w:p>
        </w:tc>
      </w:tr>
      <w:tr w:rsidR="00EA73B3" w:rsidRPr="00EA73B3" w14:paraId="70D298E7" w14:textId="77777777" w:rsidTr="00006C99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63D45DB9" w:rsidR="00EA73B3" w:rsidRPr="00EA73B3" w:rsidRDefault="00CD7FF5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</w:t>
            </w:r>
            <w:r w:rsidR="0066138B">
              <w:rPr>
                <w:rFonts w:eastAsia="Times New Roman" w:cs="Arial"/>
                <w:sz w:val="20"/>
                <w:szCs w:val="20"/>
              </w:rPr>
              <w:t>/0</w:t>
            </w:r>
            <w:r w:rsidR="00271200">
              <w:rPr>
                <w:rFonts w:eastAsia="Times New Roman" w:cs="Arial"/>
                <w:sz w:val="20"/>
                <w:szCs w:val="20"/>
              </w:rPr>
              <w:t>4</w:t>
            </w:r>
            <w:r w:rsidR="0066138B">
              <w:rPr>
                <w:rFonts w:eastAsia="Times New Roman" w:cs="Arial"/>
                <w:sz w:val="20"/>
                <w:szCs w:val="20"/>
              </w:rPr>
              <w:t>/2019</w:t>
            </w:r>
          </w:p>
        </w:tc>
      </w:tr>
      <w:tr w:rsidR="00EA73B3" w:rsidRPr="00EA73B3" w14:paraId="0327033D" w14:textId="77777777" w:rsidTr="00006C99">
        <w:trPr>
          <w:trHeight w:val="2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0006C99">
        <w:trPr>
          <w:trHeight w:val="384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295CC" w14:textId="6E6E14E0" w:rsidR="00EA73B3" w:rsidRDefault="00EA73B3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46FC8096" w14:textId="78283136" w:rsidR="00C15071" w:rsidRPr="004529E3" w:rsidRDefault="00C15071" w:rsidP="00C15071">
            <w:pPr>
              <w:rPr>
                <w:rFonts w:cs="Arial"/>
              </w:rPr>
            </w:pPr>
            <w:r w:rsidRPr="004529E3">
              <w:rPr>
                <w:rFonts w:cs="Arial"/>
              </w:rPr>
              <w:t>XRN5161 was raised as an urgent COVID-19 related change looking to amend the frequency of the UIG Additional National Data</w:t>
            </w:r>
            <w:r>
              <w:rPr>
                <w:rFonts w:cs="Arial"/>
              </w:rPr>
              <w:t xml:space="preserve"> drop</w:t>
            </w:r>
            <w:r w:rsidRPr="004529E3">
              <w:rPr>
                <w:rFonts w:cs="Arial"/>
              </w:rPr>
              <w:t xml:space="preserve"> from Monthly to Weekly</w:t>
            </w:r>
            <w:r w:rsidR="00037A2B">
              <w:rPr>
                <w:rFonts w:cs="Arial"/>
              </w:rPr>
              <w:t xml:space="preserve"> t</w:t>
            </w:r>
            <w:r w:rsidR="00037A2B" w:rsidRPr="00037A2B">
              <w:rPr>
                <w:rFonts w:cs="Arial"/>
              </w:rPr>
              <w:t>o aid Shipper</w:t>
            </w:r>
            <w:r w:rsidR="00037A2B">
              <w:rPr>
                <w:rFonts w:cs="Arial"/>
              </w:rPr>
              <w:t>s</w:t>
            </w:r>
            <w:r w:rsidR="00037A2B" w:rsidRPr="00037A2B">
              <w:rPr>
                <w:rFonts w:cs="Arial"/>
              </w:rPr>
              <w:t xml:space="preserve"> in carrying out more frequent and accurate retail forecast demand.</w:t>
            </w:r>
          </w:p>
          <w:p w14:paraId="1023C300" w14:textId="77777777" w:rsidR="00C15071" w:rsidRDefault="00C15071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46430941" w14:textId="77777777" w:rsidR="00195A39" w:rsidRPr="00EA73B3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35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2654"/>
              <w:gridCol w:w="1815"/>
              <w:gridCol w:w="1955"/>
            </w:tblGrid>
            <w:tr w:rsidR="00EA73B3" w:rsidRPr="00EA73B3" w14:paraId="6C790A40" w14:textId="77777777" w:rsidTr="002362D0">
              <w:trPr>
                <w:trHeight w:val="734"/>
              </w:trPr>
              <w:tc>
                <w:tcPr>
                  <w:tcW w:w="2929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54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15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55" w:type="dxa"/>
                </w:tcPr>
                <w:p w14:paraId="04026F6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(+/-)Actual Change in Annual Cost </w:t>
                  </w:r>
                </w:p>
              </w:tc>
            </w:tr>
            <w:tr w:rsidR="00EA73B3" w:rsidRPr="00EA73B3" w14:paraId="71E7CB34" w14:textId="77777777" w:rsidTr="00126697">
              <w:trPr>
                <w:trHeight w:val="688"/>
              </w:trPr>
              <w:tc>
                <w:tcPr>
                  <w:tcW w:w="2929" w:type="dxa"/>
                  <w:vAlign w:val="center"/>
                </w:tcPr>
                <w:p w14:paraId="7A8B23CB" w14:textId="7E46E627" w:rsidR="00EA73B3" w:rsidRPr="00A333F0" w:rsidRDefault="00A952A0" w:rsidP="00126697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A952A0">
                    <w:rPr>
                      <w:rFonts w:cs="Arial"/>
                      <w:sz w:val="20"/>
                      <w:szCs w:val="16"/>
                    </w:rPr>
                    <w:t>Service Area 15: Demand Estimation</w:t>
                  </w:r>
                </w:p>
              </w:tc>
              <w:tc>
                <w:tcPr>
                  <w:tcW w:w="2654" w:type="dxa"/>
                  <w:vAlign w:val="center"/>
                </w:tcPr>
                <w:p w14:paraId="46E92E56" w14:textId="5C2B7674" w:rsidR="00EA73B3" w:rsidRPr="00EA73B3" w:rsidRDefault="001E3A1B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815" w:type="dxa"/>
                  <w:vAlign w:val="center"/>
                </w:tcPr>
                <w:p w14:paraId="7AA3825D" w14:textId="3B58C1A8" w:rsidR="00EA73B3" w:rsidRPr="00EA73B3" w:rsidRDefault="006031F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55" w:type="dxa"/>
                  <w:vAlign w:val="center"/>
                </w:tcPr>
                <w:p w14:paraId="6DCD23EA" w14:textId="3B70AF49" w:rsidR="00EA73B3" w:rsidRPr="00EA73B3" w:rsidRDefault="006031F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270D662C" w14:textId="77777777" w:rsidR="00EA73B3" w:rsidRDefault="00EA73B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646B8C30" w14:textId="2BA654BB" w:rsidR="002362D0" w:rsidRPr="00EA73B3" w:rsidRDefault="002362D0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14:paraId="190F7E3B" w14:textId="77777777" w:rsidR="002362D0" w:rsidRDefault="002362D0">
      <w:r>
        <w:br w:type="page"/>
      </w:r>
    </w:p>
    <w:tbl>
      <w:tblPr>
        <w:tblStyle w:val="TableGrid1"/>
        <w:tblW w:w="5364" w:type="pct"/>
        <w:tblLayout w:type="fixed"/>
        <w:tblLook w:val="04A0" w:firstRow="1" w:lastRow="0" w:firstColumn="1" w:lastColumn="0" w:noHBand="0" w:noVBand="1"/>
      </w:tblPr>
      <w:tblGrid>
        <w:gridCol w:w="9672"/>
      </w:tblGrid>
      <w:tr w:rsidR="00EA73B3" w:rsidRPr="00EA73B3" w14:paraId="0C90DDA4" w14:textId="77777777" w:rsidTr="00006C99">
        <w:trPr>
          <w:trHeight w:val="2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5DAB8B65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2: Confirmed Funding Arrangements</w:t>
            </w:r>
          </w:p>
        </w:tc>
      </w:tr>
      <w:tr w:rsidR="00EA73B3" w:rsidRPr="00EA73B3" w14:paraId="45233572" w14:textId="77777777" w:rsidTr="00006C99">
        <w:trPr>
          <w:trHeight w:val="250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157077" w14:textId="77777777" w:rsidR="002362D0" w:rsidRDefault="002362D0"/>
          <w:tbl>
            <w:tblPr>
              <w:tblStyle w:val="TableGrid1"/>
              <w:tblW w:w="936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514"/>
              <w:gridCol w:w="1398"/>
              <w:gridCol w:w="1706"/>
              <w:gridCol w:w="1512"/>
              <w:gridCol w:w="2238"/>
            </w:tblGrid>
            <w:tr w:rsidR="00EA73B3" w:rsidRPr="00EA73B3" w14:paraId="6E11255F" w14:textId="77777777" w:rsidTr="004237FE">
              <w:trPr>
                <w:trHeight w:val="436"/>
              </w:trPr>
              <w:tc>
                <w:tcPr>
                  <w:tcW w:w="2514" w:type="dxa"/>
                </w:tcPr>
                <w:p w14:paraId="2C9392D4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398" w:type="dxa"/>
                </w:tcPr>
                <w:p w14:paraId="347495F9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06" w:type="dxa"/>
                </w:tcPr>
                <w:p w14:paraId="77AA4BD1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12" w:type="dxa"/>
                </w:tcPr>
                <w:p w14:paraId="5B2B9360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38" w:type="dxa"/>
                </w:tcPr>
                <w:p w14:paraId="31C1ACDB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0FA53DD">
              <w:trPr>
                <w:trHeight w:val="288"/>
              </w:trPr>
              <w:tc>
                <w:tcPr>
                  <w:tcW w:w="2514" w:type="dxa"/>
                </w:tcPr>
                <w:p w14:paraId="22D3A938" w14:textId="401C7935" w:rsidR="00EA73B3" w:rsidRPr="00EA73B3" w:rsidRDefault="0A57A144" w:rsidP="00882ADE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</w:tc>
              <w:tc>
                <w:tcPr>
                  <w:tcW w:w="1398" w:type="dxa"/>
                  <w:vAlign w:val="center"/>
                </w:tcPr>
                <w:p w14:paraId="2D0F9EFD" w14:textId="6D5F3755" w:rsidR="00195A39" w:rsidRPr="00EA73B3" w:rsidRDefault="00882ADE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06" w:type="dxa"/>
                  <w:vAlign w:val="center"/>
                </w:tcPr>
                <w:p w14:paraId="4B531AFD" w14:textId="7EFB02E4" w:rsidR="00EA73B3" w:rsidRPr="00EA73B3" w:rsidRDefault="00882ADE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£4,000</w:t>
                  </w:r>
                </w:p>
              </w:tc>
              <w:tc>
                <w:tcPr>
                  <w:tcW w:w="1512" w:type="dxa"/>
                  <w:vAlign w:val="center"/>
                </w:tcPr>
                <w:p w14:paraId="4E3F35E6" w14:textId="7EAAEB05" w:rsidR="00EA73B3" w:rsidRPr="00EA73B3" w:rsidRDefault="00882ADE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£4,000</w:t>
                  </w:r>
                </w:p>
              </w:tc>
              <w:tc>
                <w:tcPr>
                  <w:tcW w:w="2238" w:type="dxa"/>
                  <w:vAlign w:val="center"/>
                </w:tcPr>
                <w:p w14:paraId="6A039829" w14:textId="3A08390A" w:rsidR="00EA73B3" w:rsidRPr="00EA73B3" w:rsidRDefault="00FA53DD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£4,000</w:t>
                  </w:r>
                </w:p>
              </w:tc>
            </w:tr>
            <w:tr w:rsidR="00EA73B3" w:rsidRPr="00EA73B3" w14:paraId="199F5DC6" w14:textId="77777777" w:rsidTr="004237FE">
              <w:trPr>
                <w:trHeight w:val="218"/>
              </w:trPr>
              <w:tc>
                <w:tcPr>
                  <w:tcW w:w="2514" w:type="dxa"/>
                </w:tcPr>
                <w:p w14:paraId="133FE8C2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398" w:type="dxa"/>
                  <w:vAlign w:val="center"/>
                </w:tcPr>
                <w:p w14:paraId="15D11F30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12A63D92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14:paraId="0E94C84F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7CD53000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34F441F" w14:textId="77777777" w:rsidTr="004237FE">
              <w:trPr>
                <w:trHeight w:val="218"/>
              </w:trPr>
              <w:tc>
                <w:tcPr>
                  <w:tcW w:w="2514" w:type="dxa"/>
                </w:tcPr>
                <w:p w14:paraId="11DD2C74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398" w:type="dxa"/>
                  <w:vAlign w:val="center"/>
                </w:tcPr>
                <w:p w14:paraId="6CFF2878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13C064A1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14:paraId="56E130A8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18147167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6A0BF97" w14:textId="77777777" w:rsidTr="004237FE">
              <w:trPr>
                <w:trHeight w:val="218"/>
              </w:trPr>
              <w:tc>
                <w:tcPr>
                  <w:tcW w:w="2514" w:type="dxa"/>
                </w:tcPr>
                <w:p w14:paraId="72F552F1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398" w:type="dxa"/>
                  <w:vAlign w:val="center"/>
                </w:tcPr>
                <w:p w14:paraId="487BE727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545FA9E5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14:paraId="75059127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719E72A3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20BFD5F" w14:textId="77777777" w:rsidTr="004237FE">
              <w:trPr>
                <w:trHeight w:val="50"/>
              </w:trPr>
              <w:tc>
                <w:tcPr>
                  <w:tcW w:w="2514" w:type="dxa"/>
                </w:tcPr>
                <w:p w14:paraId="3FE2DEBE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398" w:type="dxa"/>
                  <w:vAlign w:val="center"/>
                </w:tcPr>
                <w:p w14:paraId="7D880586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6648D219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14:paraId="12B102FE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2BCC920E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04630CD5" w14:textId="77777777" w:rsid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14:paraId="1672974D" w14:textId="65F98540" w:rsidR="004237FE" w:rsidRPr="00EA73B3" w:rsidRDefault="004237FE" w:rsidP="00A952A0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0006C99">
        <w:trPr>
          <w:trHeight w:val="2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0006C99">
        <w:trPr>
          <w:trHeight w:val="2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BA78" w14:textId="3679E44F" w:rsidR="00EA73B3" w:rsidRPr="005153B1" w:rsidRDefault="005153B1" w:rsidP="0A57A144">
            <w:pPr>
              <w:spacing w:line="276" w:lineRule="auto"/>
              <w:contextualSpacing/>
              <w:rPr>
                <w:rFonts w:eastAsia="Times New Roman" w:cs="Arial"/>
                <w:b/>
                <w:sz w:val="20"/>
                <w:szCs w:val="20"/>
              </w:rPr>
            </w:pPr>
            <w:r w:rsidRPr="005153B1">
              <w:rPr>
                <w:rFonts w:eastAsia="Times New Roman" w:cs="Arial"/>
                <w:b/>
                <w:sz w:val="20"/>
                <w:szCs w:val="20"/>
              </w:rPr>
              <w:t>N/A</w:t>
            </w:r>
          </w:p>
        </w:tc>
      </w:tr>
      <w:tr w:rsidR="00EA73B3" w:rsidRPr="00EA73B3" w14:paraId="44DCE113" w14:textId="77777777" w:rsidTr="00006C99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0006C99">
        <w:trPr>
          <w:trHeight w:val="216"/>
        </w:trPr>
        <w:tc>
          <w:tcPr>
            <w:tcW w:w="5000" w:type="pct"/>
            <w:shd w:val="clear" w:color="auto" w:fill="auto"/>
          </w:tcPr>
          <w:p w14:paraId="46992048" w14:textId="6EC1F593" w:rsidR="00EA73B3" w:rsidRPr="00EA73B3" w:rsidRDefault="00BA5D1D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rFonts w:eastAsia="Times New Roman" w:cs="Arial"/>
                <w:b/>
                <w:sz w:val="20"/>
                <w:szCs w:val="16"/>
              </w:rPr>
              <w:t>N/A</w:t>
            </w:r>
          </w:p>
        </w:tc>
      </w:tr>
      <w:tr w:rsidR="00EA73B3" w:rsidRPr="00EA73B3" w14:paraId="6EF7276F" w14:textId="77777777" w:rsidTr="00006C99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0006C99">
        <w:trPr>
          <w:trHeight w:val="273"/>
        </w:trPr>
        <w:tc>
          <w:tcPr>
            <w:tcW w:w="5000" w:type="pct"/>
            <w:shd w:val="clear" w:color="auto" w:fill="auto"/>
          </w:tcPr>
          <w:p w14:paraId="1AB0B5C7" w14:textId="5D069F1A" w:rsidR="00EA73B3" w:rsidRPr="00EA73B3" w:rsidRDefault="00BA5D1D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  <w:r w:rsidRPr="00BA5D1D">
              <w:rPr>
                <w:rFonts w:eastAsia="Times New Roman" w:cs="Arial"/>
                <w:b/>
                <w:szCs w:val="16"/>
              </w:rPr>
              <w:t>N/A</w:t>
            </w:r>
          </w:p>
        </w:tc>
      </w:tr>
      <w:tr w:rsidR="00EA73B3" w:rsidRPr="00EA73B3" w14:paraId="7D853ABD" w14:textId="77777777" w:rsidTr="00006C99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0882ADE">
        <w:trPr>
          <w:trHeight w:val="281"/>
        </w:trPr>
        <w:tc>
          <w:tcPr>
            <w:tcW w:w="5000" w:type="pct"/>
            <w:shd w:val="clear" w:color="auto" w:fill="auto"/>
          </w:tcPr>
          <w:p w14:paraId="7B2B5B58" w14:textId="0FB6FD10" w:rsidR="00EA73B3" w:rsidRPr="005153B1" w:rsidRDefault="005153B1" w:rsidP="0A57A144">
            <w:pPr>
              <w:spacing w:after="200" w:line="276" w:lineRule="auto"/>
              <w:rPr>
                <w:rFonts w:eastAsia="Times New Roman" w:cs="Arial"/>
                <w:b/>
              </w:rPr>
            </w:pPr>
            <w:r w:rsidRPr="005153B1">
              <w:rPr>
                <w:rFonts w:eastAsia="Times New Roman" w:cs="Arial"/>
                <w:b/>
              </w:rPr>
              <w:t>N/A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2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022"/>
        <w:gridCol w:w="2553"/>
        <w:gridCol w:w="1276"/>
        <w:gridCol w:w="1559"/>
        <w:gridCol w:w="3547"/>
      </w:tblGrid>
      <w:tr w:rsidR="00EA73B3" w:rsidRPr="00EA73B3" w14:paraId="3208E80C" w14:textId="77777777" w:rsidTr="005153B1">
        <w:trPr>
          <w:trHeight w:val="611"/>
        </w:trPr>
        <w:tc>
          <w:tcPr>
            <w:tcW w:w="513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1282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41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8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782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476E4E" w:rsidRPr="00EA73B3" w14:paraId="622CB1EF" w14:textId="77777777" w:rsidTr="005153B1">
        <w:tc>
          <w:tcPr>
            <w:tcW w:w="513" w:type="pct"/>
          </w:tcPr>
          <w:p w14:paraId="1ABADCE5" w14:textId="552A59C0" w:rsidR="00476E4E" w:rsidRPr="00EA73B3" w:rsidRDefault="005153B1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1282" w:type="pct"/>
          </w:tcPr>
          <w:p w14:paraId="0DB8F594" w14:textId="4DF1D6D6" w:rsidR="00476E4E" w:rsidRPr="00EA73B3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Peer Review</w:t>
            </w:r>
          </w:p>
        </w:tc>
        <w:tc>
          <w:tcPr>
            <w:tcW w:w="641" w:type="pct"/>
          </w:tcPr>
          <w:p w14:paraId="0BB1E953" w14:textId="0D12EF81" w:rsidR="00476E4E" w:rsidRPr="00EA73B3" w:rsidRDefault="005153B1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A952A0">
              <w:rPr>
                <w:rFonts w:eastAsia="Times New Roman" w:cs="Arial"/>
                <w:sz w:val="20"/>
                <w:szCs w:val="20"/>
              </w:rPr>
              <w:t>5</w:t>
            </w:r>
            <w:r>
              <w:rPr>
                <w:rFonts w:eastAsia="Times New Roman" w:cs="Arial"/>
                <w:sz w:val="20"/>
                <w:szCs w:val="20"/>
              </w:rPr>
              <w:t>/06/2020</w:t>
            </w:r>
          </w:p>
        </w:tc>
        <w:tc>
          <w:tcPr>
            <w:tcW w:w="783" w:type="pct"/>
          </w:tcPr>
          <w:p w14:paraId="4350D9F9" w14:textId="7E59D518" w:rsidR="00476E4E" w:rsidRPr="00EA73B3" w:rsidRDefault="00A952A0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Harris</w:t>
            </w:r>
          </w:p>
        </w:tc>
        <w:tc>
          <w:tcPr>
            <w:tcW w:w="1782" w:type="pct"/>
          </w:tcPr>
          <w:p w14:paraId="0FC70C39" w14:textId="245BE731" w:rsidR="00476E4E" w:rsidRPr="00EA73B3" w:rsidRDefault="005153B1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</w:t>
            </w:r>
            <w:r w:rsidR="003B0759">
              <w:rPr>
                <w:rFonts w:eastAsia="Times New Roman" w:cs="Arial"/>
                <w:sz w:val="20"/>
                <w:szCs w:val="20"/>
              </w:rPr>
              <w:t>ll</w:t>
            </w:r>
            <w:r>
              <w:rPr>
                <w:rFonts w:eastAsia="Times New Roman" w:cs="Arial"/>
                <w:sz w:val="20"/>
                <w:szCs w:val="20"/>
              </w:rPr>
              <w:t xml:space="preserve"> sections created</w:t>
            </w:r>
          </w:p>
        </w:tc>
      </w:tr>
      <w:tr w:rsidR="003B0759" w:rsidRPr="00EA73B3" w14:paraId="2BA852A5" w14:textId="77777777" w:rsidTr="005153B1">
        <w:tc>
          <w:tcPr>
            <w:tcW w:w="513" w:type="pct"/>
          </w:tcPr>
          <w:p w14:paraId="6F31A9F6" w14:textId="4BF9E757" w:rsidR="003B0759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14:paraId="5F52239F" w14:textId="6CF9F35B" w:rsidR="003B0759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6D2D8245" w14:textId="414E1EA2" w:rsidR="003B0759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3" w:type="pct"/>
          </w:tcPr>
          <w:p w14:paraId="05EB8668" w14:textId="44DBDA2F" w:rsidR="003B0759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2" w:type="pct"/>
          </w:tcPr>
          <w:p w14:paraId="379008A4" w14:textId="2A7AD220" w:rsidR="003B0759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523F" w14:textId="77777777" w:rsidR="00731423" w:rsidRDefault="00731423" w:rsidP="00324744">
      <w:pPr>
        <w:spacing w:after="0" w:line="240" w:lineRule="auto"/>
      </w:pPr>
      <w:r>
        <w:separator/>
      </w:r>
    </w:p>
  </w:endnote>
  <w:endnote w:type="continuationSeparator" w:id="0">
    <w:p w14:paraId="28BD92AC" w14:textId="77777777" w:rsidR="00731423" w:rsidRDefault="00731423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72F81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18CF" w14:textId="77777777" w:rsidR="00731423" w:rsidRDefault="00731423" w:rsidP="00324744">
      <w:pPr>
        <w:spacing w:after="0" w:line="240" w:lineRule="auto"/>
      </w:pPr>
      <w:r>
        <w:separator/>
      </w:r>
    </w:p>
  </w:footnote>
  <w:footnote w:type="continuationSeparator" w:id="0">
    <w:p w14:paraId="0FF40A1C" w14:textId="77777777" w:rsidR="00731423" w:rsidRDefault="00731423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16A741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6A80"/>
    <w:multiLevelType w:val="hybridMultilevel"/>
    <w:tmpl w:val="B860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8F1"/>
    <w:rsid w:val="00006C99"/>
    <w:rsid w:val="00037A2B"/>
    <w:rsid w:val="00037DF7"/>
    <w:rsid w:val="00086147"/>
    <w:rsid w:val="000A1AD1"/>
    <w:rsid w:val="000E6268"/>
    <w:rsid w:val="00113A04"/>
    <w:rsid w:val="00125B61"/>
    <w:rsid w:val="00126697"/>
    <w:rsid w:val="00144E00"/>
    <w:rsid w:val="00195A39"/>
    <w:rsid w:val="001C2268"/>
    <w:rsid w:val="001E3A1B"/>
    <w:rsid w:val="00226D34"/>
    <w:rsid w:val="002362D0"/>
    <w:rsid w:val="002604D1"/>
    <w:rsid w:val="00271200"/>
    <w:rsid w:val="00285816"/>
    <w:rsid w:val="002B5E11"/>
    <w:rsid w:val="00324744"/>
    <w:rsid w:val="003B0759"/>
    <w:rsid w:val="004237FE"/>
    <w:rsid w:val="00426807"/>
    <w:rsid w:val="00470DA6"/>
    <w:rsid w:val="00476E4E"/>
    <w:rsid w:val="004D0F26"/>
    <w:rsid w:val="004F3362"/>
    <w:rsid w:val="005153B1"/>
    <w:rsid w:val="00517F6F"/>
    <w:rsid w:val="0055298E"/>
    <w:rsid w:val="00567890"/>
    <w:rsid w:val="005A2A3E"/>
    <w:rsid w:val="006031F4"/>
    <w:rsid w:val="00603A44"/>
    <w:rsid w:val="0066138B"/>
    <w:rsid w:val="007243D3"/>
    <w:rsid w:val="00731423"/>
    <w:rsid w:val="00776452"/>
    <w:rsid w:val="007A56DB"/>
    <w:rsid w:val="007D4F26"/>
    <w:rsid w:val="007E7C5B"/>
    <w:rsid w:val="00817A62"/>
    <w:rsid w:val="00842F48"/>
    <w:rsid w:val="00882ADE"/>
    <w:rsid w:val="0088455C"/>
    <w:rsid w:val="008B1585"/>
    <w:rsid w:val="00A333F0"/>
    <w:rsid w:val="00A952A0"/>
    <w:rsid w:val="00AB5B54"/>
    <w:rsid w:val="00AB63DE"/>
    <w:rsid w:val="00B8770C"/>
    <w:rsid w:val="00BA5D1D"/>
    <w:rsid w:val="00BD0A45"/>
    <w:rsid w:val="00C15071"/>
    <w:rsid w:val="00C61AB1"/>
    <w:rsid w:val="00CD7FF5"/>
    <w:rsid w:val="00D66C7E"/>
    <w:rsid w:val="00DA5584"/>
    <w:rsid w:val="00EA73B3"/>
    <w:rsid w:val="00F95876"/>
    <w:rsid w:val="00FA53DD"/>
    <w:rsid w:val="00FB1AEF"/>
    <w:rsid w:val="00FB7BFE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9F40"/>
  <w15:docId w15:val="{1A277DF5-CE81-4284-864A-797CDE3A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1D"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paragraph">
    <w:name w:val="paragraph"/>
    <w:basedOn w:val="Normal"/>
    <w:rsid w:val="000E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6268"/>
  </w:style>
  <w:style w:type="character" w:customStyle="1" w:styleId="eop">
    <w:name w:val="eop"/>
    <w:basedOn w:val="DefaultParagraphFont"/>
    <w:rsid w:val="000E6268"/>
  </w:style>
  <w:style w:type="character" w:styleId="UnresolvedMention">
    <w:name w:val="Unresolved Mention"/>
    <w:basedOn w:val="DefaultParagraphFont"/>
    <w:uiPriority w:val="99"/>
    <w:semiHidden/>
    <w:unhideWhenUsed/>
    <w:rsid w:val="008B1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.harris@xoserv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33b8fecee8c4713a57430302bf85c5cc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f5412dd98e0cafb03a0a30bd6733c8ea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5844fa40-a696-4ac9-bd38-c0330d295109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54E90-A6EA-48BD-9EE3-44909E1B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Harris, Simon</cp:lastModifiedBy>
  <cp:revision>28</cp:revision>
  <dcterms:created xsi:type="dcterms:W3CDTF">2020-05-29T14:08:00Z</dcterms:created>
  <dcterms:modified xsi:type="dcterms:W3CDTF">2020-06-25T15:21:00Z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</Properties>
</file>