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9F67" w14:textId="10661B42" w:rsidR="00D66C7E" w:rsidRPr="001C2268" w:rsidRDefault="00EA73B3" w:rsidP="00EA73B3">
      <w:pPr>
        <w:pStyle w:val="Title"/>
        <w:jc w:val="center"/>
        <w:rPr>
          <w:szCs w:val="48"/>
        </w:rPr>
      </w:pPr>
      <w:bookmarkStart w:id="0" w:name="_GoBack"/>
      <w:bookmarkEnd w:id="0"/>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14:paraId="1601AE27" w14:textId="77777777" w:rsidTr="07836F51">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1987B404" w:rsidR="00EA73B3" w:rsidRPr="00EA73B3" w:rsidRDefault="0A57A144" w:rsidP="0A57A144">
            <w:pPr>
              <w:rPr>
                <w:rFonts w:eastAsia="Times New Roman" w:cs="Arial"/>
                <w:sz w:val="20"/>
                <w:szCs w:val="20"/>
              </w:rPr>
            </w:pPr>
            <w:r w:rsidRPr="0A57A144">
              <w:rPr>
                <w:rFonts w:eastAsia="Times New Roman" w:cs="Arial"/>
                <w:sz w:val="20"/>
                <w:szCs w:val="20"/>
              </w:rPr>
              <w:t>Minor Releases Drop 4</w:t>
            </w:r>
          </w:p>
        </w:tc>
      </w:tr>
      <w:tr w:rsidR="00EA73B3" w:rsidRPr="00EA73B3" w14:paraId="06D4D571" w14:textId="77777777" w:rsidTr="07836F51">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22B93AAB" w:rsidR="00EA73B3" w:rsidRPr="00EA73B3" w:rsidRDefault="0A57A144" w:rsidP="0A57A144">
            <w:pPr>
              <w:rPr>
                <w:rFonts w:eastAsia="Times New Roman" w:cs="Arial"/>
                <w:sz w:val="20"/>
                <w:szCs w:val="20"/>
              </w:rPr>
            </w:pPr>
            <w:r w:rsidRPr="0A57A144">
              <w:rPr>
                <w:rFonts w:eastAsia="Times New Roman" w:cs="Arial"/>
                <w:sz w:val="20"/>
                <w:szCs w:val="20"/>
              </w:rPr>
              <w:t>XRN4927</w:t>
            </w:r>
          </w:p>
        </w:tc>
      </w:tr>
      <w:tr w:rsidR="00EA73B3" w:rsidRPr="00EA73B3" w14:paraId="1D6C8AD7" w14:textId="77777777" w:rsidTr="07836F51">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47A6F174" w:rsidR="00EA73B3" w:rsidRPr="00EA73B3" w:rsidRDefault="0A57A144" w:rsidP="0A57A144">
            <w:pPr>
              <w:rPr>
                <w:rFonts w:eastAsia="Times New Roman" w:cs="Arial"/>
                <w:sz w:val="20"/>
                <w:szCs w:val="20"/>
              </w:rPr>
            </w:pPr>
            <w:r w:rsidRPr="0A57A144">
              <w:rPr>
                <w:rFonts w:eastAsia="Times New Roman" w:cs="Arial"/>
                <w:sz w:val="20"/>
                <w:szCs w:val="20"/>
              </w:rPr>
              <w:t>Bali Bahia</w:t>
            </w:r>
          </w:p>
        </w:tc>
      </w:tr>
      <w:tr w:rsidR="00EA73B3" w:rsidRPr="00EA73B3" w14:paraId="2390A8AC" w14:textId="77777777" w:rsidTr="07836F51">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36994F39" w:rsidR="00EA73B3" w:rsidRPr="00EA73B3" w:rsidRDefault="0A57A144" w:rsidP="0A57A144">
            <w:pPr>
              <w:rPr>
                <w:rFonts w:eastAsia="Times New Roman" w:cs="Arial"/>
                <w:sz w:val="20"/>
                <w:szCs w:val="20"/>
              </w:rPr>
            </w:pPr>
            <w:r w:rsidRPr="0A57A144">
              <w:rPr>
                <w:rFonts w:eastAsia="Times New Roman" w:cs="Arial"/>
                <w:sz w:val="20"/>
                <w:szCs w:val="20"/>
              </w:rPr>
              <w:t>Bali.Bahia@xoserve.com</w:t>
            </w:r>
          </w:p>
        </w:tc>
      </w:tr>
      <w:tr w:rsidR="00EA73B3" w:rsidRPr="00EA73B3" w14:paraId="3B9ABC1E" w14:textId="77777777" w:rsidTr="07836F51">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7C5C3C6D" w:rsidR="00EA73B3" w:rsidRPr="00EA73B3" w:rsidRDefault="0A57A144" w:rsidP="0A57A144">
            <w:pPr>
              <w:rPr>
                <w:rFonts w:eastAsia="Times New Roman" w:cs="Arial"/>
                <w:sz w:val="20"/>
                <w:szCs w:val="20"/>
              </w:rPr>
            </w:pPr>
            <w:r w:rsidRPr="0A57A144">
              <w:rPr>
                <w:rFonts w:eastAsia="Arial" w:cs="Arial"/>
              </w:rPr>
              <w:t>0121 623 2140</w:t>
            </w:r>
          </w:p>
        </w:tc>
      </w:tr>
      <w:tr w:rsidR="00EA73B3" w:rsidRPr="00EA73B3" w14:paraId="0B495390" w14:textId="77777777" w:rsidTr="07836F51">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7777777" w:rsidR="00EA73B3" w:rsidRPr="00EA73B3" w:rsidRDefault="00EA73B3" w:rsidP="00EA73B3">
            <w:pPr>
              <w:rPr>
                <w:rFonts w:eastAsia="Times New Roman" w:cs="Arial"/>
                <w:sz w:val="20"/>
                <w:szCs w:val="20"/>
              </w:rPr>
            </w:pPr>
          </w:p>
        </w:tc>
      </w:tr>
      <w:tr w:rsidR="00EA73B3" w:rsidRPr="00EA73B3" w14:paraId="70D298E7" w14:textId="77777777" w:rsidTr="07836F51">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17AB1147" w:rsidR="00EA73B3" w:rsidRPr="00EA73B3" w:rsidRDefault="0A57A144" w:rsidP="0A57A144">
            <w:pPr>
              <w:rPr>
                <w:rFonts w:eastAsia="Times New Roman" w:cs="Arial"/>
                <w:sz w:val="20"/>
                <w:szCs w:val="20"/>
              </w:rPr>
            </w:pPr>
            <w:r w:rsidRPr="0A57A144">
              <w:rPr>
                <w:rFonts w:eastAsia="Times New Roman" w:cs="Arial"/>
                <w:sz w:val="20"/>
                <w:szCs w:val="20"/>
              </w:rPr>
              <w:t>27</w:t>
            </w:r>
            <w:r w:rsidRPr="0A57A144">
              <w:rPr>
                <w:rFonts w:eastAsia="Times New Roman" w:cs="Arial"/>
                <w:sz w:val="20"/>
                <w:szCs w:val="20"/>
                <w:vertAlign w:val="superscript"/>
              </w:rPr>
              <w:t>th</w:t>
            </w:r>
            <w:r w:rsidRPr="0A57A144">
              <w:rPr>
                <w:rFonts w:eastAsia="Times New Roman" w:cs="Arial"/>
                <w:sz w:val="20"/>
                <w:szCs w:val="20"/>
              </w:rPr>
              <w:t xml:space="preserve"> July 2019</w:t>
            </w:r>
          </w:p>
        </w:tc>
      </w:tr>
      <w:tr w:rsidR="00EA73B3" w:rsidRPr="00EA73B3" w14:paraId="0327033D" w14:textId="77777777" w:rsidTr="07836F51">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7836F51">
        <w:tc>
          <w:tcPr>
            <w:tcW w:w="5000" w:type="pct"/>
            <w:gridSpan w:val="2"/>
            <w:tcBorders>
              <w:bottom w:val="single" w:sz="4" w:space="0" w:color="auto"/>
            </w:tcBorders>
            <w:shd w:val="clear" w:color="auto" w:fill="FFFFFF" w:themeFill="background1"/>
          </w:tcPr>
          <w:p w14:paraId="5C12EC98" w14:textId="36092F73" w:rsidR="004E13F6" w:rsidRDefault="004E13F6" w:rsidP="0A57A144">
            <w:pPr>
              <w:numPr>
                <w:ilvl w:val="0"/>
                <w:numId w:val="1"/>
              </w:numPr>
              <w:spacing w:line="276" w:lineRule="auto"/>
            </w:pPr>
            <w:r>
              <w:t>The changes within  Minor Release Drop 4 were delivered to the agreed scope and within the requested timescales.  The changeds made in UK Link were as detailed below:</w:t>
            </w:r>
          </w:p>
          <w:p w14:paraId="196E26BF" w14:textId="31D12A4E" w:rsidR="004E13F6" w:rsidRPr="004E13F6" w:rsidRDefault="004E13F6" w:rsidP="004E13F6">
            <w:pPr>
              <w:spacing w:line="276" w:lineRule="auto"/>
              <w:ind w:left="720"/>
            </w:pPr>
          </w:p>
          <w:p w14:paraId="7614A708" w14:textId="3852DD00" w:rsidR="0A57A144" w:rsidRDefault="0A57A144" w:rsidP="0A57A144">
            <w:pPr>
              <w:numPr>
                <w:ilvl w:val="0"/>
                <w:numId w:val="1"/>
              </w:numPr>
              <w:spacing w:line="276" w:lineRule="auto"/>
            </w:pPr>
            <w:r w:rsidRPr="0A57A144">
              <w:rPr>
                <w:rFonts w:eastAsia="Times New Roman" w:cs="Arial"/>
              </w:rPr>
              <w:t>Minor Release Drop 4 consists of the following changes:</w:t>
            </w:r>
          </w:p>
          <w:p w14:paraId="60283DDE" w14:textId="6984F627" w:rsidR="0A57A144" w:rsidRDefault="0A57A144" w:rsidP="0A57A144">
            <w:pPr>
              <w:numPr>
                <w:ilvl w:val="0"/>
                <w:numId w:val="1"/>
              </w:numPr>
              <w:spacing w:line="276" w:lineRule="auto"/>
            </w:pPr>
            <w:r w:rsidRPr="0A57A144">
              <w:rPr>
                <w:rFonts w:eastAsia="Times New Roman" w:cs="Arial"/>
              </w:rPr>
              <w:t>XRN4777 Amendment to contact detail updates</w:t>
            </w:r>
          </w:p>
          <w:p w14:paraId="18835380" w14:textId="7C9DD90D" w:rsidR="0A57A144" w:rsidRDefault="0A57A144" w:rsidP="0A57A144">
            <w:pPr>
              <w:numPr>
                <w:ilvl w:val="0"/>
                <w:numId w:val="1"/>
              </w:numPr>
              <w:spacing w:line="276" w:lineRule="auto"/>
            </w:pPr>
            <w:r w:rsidRPr="0A57A144">
              <w:rPr>
                <w:rFonts w:eastAsia="Times New Roman" w:cs="Arial"/>
              </w:rPr>
              <w:t>XRN4803 Removal of validation of AQ correction</w:t>
            </w:r>
          </w:p>
          <w:p w14:paraId="62269DC9" w14:textId="4C1AA03D" w:rsidR="0A57A144" w:rsidRDefault="0A57A144" w:rsidP="0A57A144">
            <w:pPr>
              <w:numPr>
                <w:ilvl w:val="0"/>
                <w:numId w:val="1"/>
              </w:numPr>
              <w:spacing w:line="276" w:lineRule="auto"/>
            </w:pPr>
            <w:r w:rsidRPr="0A57A144">
              <w:rPr>
                <w:rFonts w:eastAsia="Times New Roman" w:cs="Arial"/>
              </w:rPr>
              <w:t>XRN4780 Inclusion of MAP ID</w:t>
            </w:r>
          </w:p>
          <w:p w14:paraId="33C295CC" w14:textId="4050BFAA" w:rsidR="00EA73B3" w:rsidRPr="00EA73B3" w:rsidRDefault="00EA73B3" w:rsidP="004E13F6">
            <w:pPr>
              <w:ind w:left="720"/>
              <w:contextualSpacing/>
              <w:rPr>
                <w:rFonts w:eastAsia="Times New Roman" w:cs="Arial"/>
                <w:i/>
                <w:iCs/>
                <w:color w:val="0070C0"/>
                <w:sz w:val="20"/>
                <w:szCs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EA73B3" w14:paraId="6C790A40" w14:textId="77777777" w:rsidTr="0001729A">
              <w:tc>
                <w:tcPr>
                  <w:tcW w:w="2972"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01729A">
              <w:tc>
                <w:tcPr>
                  <w:tcW w:w="2972" w:type="dxa"/>
                  <w:vAlign w:val="center"/>
                </w:tcPr>
                <w:p w14:paraId="7A8B23CB"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e.g. Manage Supply Point Registration</w:t>
                  </w:r>
                </w:p>
              </w:tc>
              <w:tc>
                <w:tcPr>
                  <w:tcW w:w="2693" w:type="dxa"/>
                  <w:vAlign w:val="center"/>
                </w:tcPr>
                <w:p w14:paraId="46E92E56"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e.g.DS-CSSA1 – 01</w:t>
                  </w:r>
                </w:p>
              </w:tc>
              <w:tc>
                <w:tcPr>
                  <w:tcW w:w="1843" w:type="dxa"/>
                  <w:vAlign w:val="center"/>
                </w:tcPr>
                <w:p w14:paraId="7AA3825D"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 £1000</w:t>
                  </w:r>
                </w:p>
              </w:tc>
              <w:tc>
                <w:tcPr>
                  <w:tcW w:w="1985" w:type="dxa"/>
                  <w:vAlign w:val="center"/>
                </w:tcPr>
                <w:p w14:paraId="6DCD23EA"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 £1200</w:t>
                  </w:r>
                </w:p>
              </w:tc>
            </w:tr>
          </w:tbl>
          <w:p w14:paraId="646B8C30" w14:textId="74CAE4AC" w:rsidR="00EA73B3" w:rsidRPr="00EA73B3" w:rsidRDefault="00EA73B3" w:rsidP="0A57A144">
            <w:pPr>
              <w:contextualSpacing/>
              <w:rPr>
                <w:rFonts w:eastAsia="Times New Roman" w:cs="Arial"/>
                <w:i/>
                <w:iCs/>
                <w:color w:val="0070C0"/>
                <w:sz w:val="20"/>
                <w:szCs w:val="20"/>
              </w:rPr>
            </w:pPr>
          </w:p>
        </w:tc>
      </w:tr>
      <w:tr w:rsidR="00EA73B3" w:rsidRPr="00EA73B3" w14:paraId="0C90DDA4" w14:textId="77777777" w:rsidTr="07836F51">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7836F51">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A57A144">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A57A144">
              <w:tc>
                <w:tcPr>
                  <w:tcW w:w="2547" w:type="dxa"/>
                </w:tcPr>
                <w:p w14:paraId="7FC01E34" w14:textId="7B5E251A" w:rsidR="00EA73B3" w:rsidRPr="00EA73B3" w:rsidRDefault="0A57A144" w:rsidP="0A57A144">
                  <w:pPr>
                    <w:rPr>
                      <w:rFonts w:eastAsia="Times New Roman" w:cs="Arial"/>
                      <w:b/>
                      <w:bCs/>
                      <w:sz w:val="20"/>
                      <w:szCs w:val="20"/>
                    </w:rPr>
                  </w:pPr>
                  <w:r w:rsidRPr="0A57A144">
                    <w:rPr>
                      <w:rFonts w:eastAsia="Times New Roman" w:cs="Arial"/>
                      <w:b/>
                      <w:bCs/>
                      <w:sz w:val="20"/>
                      <w:szCs w:val="20"/>
                    </w:rPr>
                    <w:t>Shippers:</w:t>
                  </w:r>
                </w:p>
                <w:p w14:paraId="4A74A3CD" w14:textId="76D206B8" w:rsidR="00EA73B3" w:rsidRPr="00EA73B3" w:rsidRDefault="0A57A144" w:rsidP="0A57A144">
                  <w:pPr>
                    <w:rPr>
                      <w:rFonts w:eastAsia="Times New Roman" w:cs="Arial"/>
                      <w:b/>
                      <w:bCs/>
                      <w:sz w:val="20"/>
                      <w:szCs w:val="20"/>
                    </w:rPr>
                  </w:pPr>
                  <w:r w:rsidRPr="0A57A144">
                    <w:rPr>
                      <w:rFonts w:eastAsia="Times New Roman" w:cs="Arial"/>
                      <w:b/>
                      <w:bCs/>
                      <w:sz w:val="20"/>
                      <w:szCs w:val="20"/>
                    </w:rPr>
                    <w:t>XRN4777</w:t>
                  </w:r>
                </w:p>
                <w:p w14:paraId="290F2BB8" w14:textId="4431CA8A" w:rsidR="00EA73B3" w:rsidRPr="00EA73B3" w:rsidRDefault="0A57A144" w:rsidP="0A57A144">
                  <w:pPr>
                    <w:rPr>
                      <w:rFonts w:eastAsia="Times New Roman" w:cs="Arial"/>
                      <w:b/>
                      <w:bCs/>
                      <w:sz w:val="20"/>
                      <w:szCs w:val="20"/>
                    </w:rPr>
                  </w:pPr>
                  <w:r w:rsidRPr="0A57A144">
                    <w:rPr>
                      <w:rFonts w:eastAsia="Times New Roman" w:cs="Arial"/>
                      <w:b/>
                      <w:bCs/>
                      <w:sz w:val="20"/>
                      <w:szCs w:val="20"/>
                    </w:rPr>
                    <w:t>XRN4803</w:t>
                  </w:r>
                </w:p>
                <w:p w14:paraId="22D3A938" w14:textId="1CDCCF88" w:rsidR="00EA73B3" w:rsidRPr="00EA73B3" w:rsidRDefault="0A57A144" w:rsidP="0A57A144">
                  <w:pPr>
                    <w:rPr>
                      <w:rFonts w:eastAsia="Times New Roman" w:cs="Arial"/>
                      <w:b/>
                      <w:bCs/>
                      <w:sz w:val="20"/>
                      <w:szCs w:val="20"/>
                    </w:rPr>
                  </w:pPr>
                  <w:r w:rsidRPr="0A57A144">
                    <w:rPr>
                      <w:rFonts w:eastAsia="Times New Roman" w:cs="Arial"/>
                      <w:b/>
                      <w:bCs/>
                      <w:sz w:val="20"/>
                      <w:szCs w:val="20"/>
                    </w:rPr>
                    <w:t>XRN4780</w:t>
                  </w:r>
                </w:p>
              </w:tc>
              <w:tc>
                <w:tcPr>
                  <w:tcW w:w="1417" w:type="dxa"/>
                  <w:vAlign w:val="center"/>
                </w:tcPr>
                <w:p w14:paraId="461F0EFF" w14:textId="413F560A" w:rsidR="0A57A144" w:rsidRDefault="0A57A144" w:rsidP="0A57A144">
                  <w:pPr>
                    <w:jc w:val="center"/>
                    <w:rPr>
                      <w:rFonts w:eastAsia="Times New Roman" w:cs="Arial"/>
                      <w:sz w:val="20"/>
                      <w:szCs w:val="20"/>
                    </w:rPr>
                  </w:pPr>
                </w:p>
                <w:p w14:paraId="589E88D8" w14:textId="794F34B6"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p w14:paraId="15697A16" w14:textId="415D8E66"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p w14:paraId="26498FE6" w14:textId="2B8CA677"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p w14:paraId="2D0F9EFD" w14:textId="25E994B2" w:rsidR="00EA73B3" w:rsidRPr="00EA73B3" w:rsidRDefault="00EA73B3" w:rsidP="0A57A144">
                  <w:pPr>
                    <w:jc w:val="center"/>
                    <w:rPr>
                      <w:rFonts w:eastAsia="Times New Roman" w:cs="Arial"/>
                      <w:sz w:val="20"/>
                      <w:szCs w:val="20"/>
                    </w:rPr>
                  </w:pPr>
                </w:p>
              </w:tc>
              <w:tc>
                <w:tcPr>
                  <w:tcW w:w="1729" w:type="dxa"/>
                  <w:vAlign w:val="center"/>
                </w:tcPr>
                <w:p w14:paraId="20282348" w14:textId="794F34B6"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p w14:paraId="55DF2FCA" w14:textId="415D8E66"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p w14:paraId="4B531AFD" w14:textId="266A7629" w:rsidR="00EA73B3" w:rsidRPr="00EA73B3" w:rsidRDefault="0A57A144" w:rsidP="0A57A144">
                  <w:pPr>
                    <w:jc w:val="center"/>
                    <w:rPr>
                      <w:rFonts w:eastAsia="Times New Roman" w:cs="Arial"/>
                      <w:sz w:val="20"/>
                      <w:szCs w:val="20"/>
                    </w:rPr>
                  </w:pPr>
                  <w:r w:rsidRPr="0A57A144">
                    <w:rPr>
                      <w:rFonts w:eastAsia="Times New Roman" w:cs="Arial"/>
                      <w:sz w:val="20"/>
                      <w:szCs w:val="20"/>
                    </w:rPr>
                    <w:t>100%</w:t>
                  </w:r>
                </w:p>
              </w:tc>
              <w:tc>
                <w:tcPr>
                  <w:tcW w:w="1532" w:type="dxa"/>
                  <w:vAlign w:val="center"/>
                </w:tcPr>
                <w:p w14:paraId="47885F7A" w14:textId="32ECC218" w:rsidR="00EA73B3" w:rsidRPr="00EA73B3" w:rsidRDefault="0A57A144" w:rsidP="0A57A144">
                  <w:pPr>
                    <w:jc w:val="center"/>
                    <w:rPr>
                      <w:rFonts w:eastAsia="Times New Roman" w:cs="Arial"/>
                      <w:sz w:val="20"/>
                      <w:szCs w:val="20"/>
                    </w:rPr>
                  </w:pPr>
                  <w:r w:rsidRPr="0A57A144">
                    <w:rPr>
                      <w:rFonts w:eastAsia="Times New Roman" w:cs="Arial"/>
                      <w:sz w:val="20"/>
                      <w:szCs w:val="20"/>
                    </w:rPr>
                    <w:t>17,500</w:t>
                  </w:r>
                </w:p>
                <w:p w14:paraId="398722C5" w14:textId="0EE7E564" w:rsidR="00EA73B3" w:rsidRPr="00EA73B3" w:rsidRDefault="0A57A144" w:rsidP="0A57A144">
                  <w:pPr>
                    <w:jc w:val="center"/>
                    <w:rPr>
                      <w:rFonts w:eastAsia="Times New Roman" w:cs="Arial"/>
                      <w:sz w:val="20"/>
                      <w:szCs w:val="20"/>
                    </w:rPr>
                  </w:pPr>
                  <w:r w:rsidRPr="0A57A144">
                    <w:rPr>
                      <w:rFonts w:eastAsia="Times New Roman" w:cs="Arial"/>
                      <w:sz w:val="20"/>
                      <w:szCs w:val="20"/>
                    </w:rPr>
                    <w:t>20,000</w:t>
                  </w:r>
                </w:p>
                <w:p w14:paraId="4E3F35E6" w14:textId="053D8CFB" w:rsidR="00EA73B3" w:rsidRPr="00EA73B3" w:rsidRDefault="0A57A144" w:rsidP="0A57A144">
                  <w:pPr>
                    <w:jc w:val="center"/>
                    <w:rPr>
                      <w:rFonts w:eastAsia="Times New Roman" w:cs="Arial"/>
                      <w:sz w:val="20"/>
                      <w:szCs w:val="20"/>
                    </w:rPr>
                  </w:pPr>
                  <w:r w:rsidRPr="0A57A144">
                    <w:rPr>
                      <w:rFonts w:eastAsia="Times New Roman" w:cs="Arial"/>
                      <w:sz w:val="20"/>
                      <w:szCs w:val="20"/>
                    </w:rPr>
                    <w:t>35,000</w:t>
                  </w:r>
                </w:p>
              </w:tc>
              <w:tc>
                <w:tcPr>
                  <w:tcW w:w="2264" w:type="dxa"/>
                  <w:vAlign w:val="center"/>
                </w:tcPr>
                <w:p w14:paraId="52A0C4AA" w14:textId="7F64C070" w:rsidR="00EA73B3" w:rsidRPr="00EA73B3" w:rsidRDefault="00EA73B3" w:rsidP="0A57A144">
                  <w:pPr>
                    <w:jc w:val="center"/>
                    <w:rPr>
                      <w:rFonts w:eastAsia="Times New Roman" w:cs="Arial"/>
                      <w:sz w:val="20"/>
                      <w:szCs w:val="20"/>
                    </w:rPr>
                  </w:pPr>
                </w:p>
                <w:p w14:paraId="6E0D9097" w14:textId="32ECC218" w:rsidR="00EA73B3" w:rsidRPr="00EA73B3" w:rsidRDefault="0A57A144" w:rsidP="0A57A144">
                  <w:pPr>
                    <w:jc w:val="center"/>
                    <w:rPr>
                      <w:rFonts w:eastAsia="Times New Roman" w:cs="Arial"/>
                      <w:sz w:val="20"/>
                      <w:szCs w:val="20"/>
                    </w:rPr>
                  </w:pPr>
                  <w:r w:rsidRPr="0A57A144">
                    <w:rPr>
                      <w:rFonts w:eastAsia="Times New Roman" w:cs="Arial"/>
                      <w:sz w:val="20"/>
                      <w:szCs w:val="20"/>
                    </w:rPr>
                    <w:t>17,500</w:t>
                  </w:r>
                </w:p>
                <w:p w14:paraId="02A78997" w14:textId="0EE7E564" w:rsidR="00EA73B3" w:rsidRPr="00EA73B3" w:rsidRDefault="0A57A144" w:rsidP="0A57A144">
                  <w:pPr>
                    <w:jc w:val="center"/>
                    <w:rPr>
                      <w:rFonts w:eastAsia="Times New Roman" w:cs="Arial"/>
                      <w:sz w:val="20"/>
                      <w:szCs w:val="20"/>
                    </w:rPr>
                  </w:pPr>
                  <w:r w:rsidRPr="0A57A144">
                    <w:rPr>
                      <w:rFonts w:eastAsia="Times New Roman" w:cs="Arial"/>
                      <w:sz w:val="20"/>
                      <w:szCs w:val="20"/>
                    </w:rPr>
                    <w:t>20,000</w:t>
                  </w:r>
                </w:p>
                <w:p w14:paraId="744FC850" w14:textId="053D8CFB" w:rsidR="00EA73B3" w:rsidRPr="00EA73B3" w:rsidRDefault="0A57A144" w:rsidP="0A57A144">
                  <w:pPr>
                    <w:jc w:val="center"/>
                    <w:rPr>
                      <w:rFonts w:eastAsia="Times New Roman" w:cs="Arial"/>
                      <w:sz w:val="20"/>
                      <w:szCs w:val="20"/>
                    </w:rPr>
                  </w:pPr>
                  <w:r w:rsidRPr="0A57A144">
                    <w:rPr>
                      <w:rFonts w:eastAsia="Times New Roman" w:cs="Arial"/>
                      <w:sz w:val="20"/>
                      <w:szCs w:val="20"/>
                    </w:rPr>
                    <w:t>35,000</w:t>
                  </w:r>
                </w:p>
                <w:p w14:paraId="6A039829" w14:textId="29D32856" w:rsidR="00EA73B3" w:rsidRPr="00EA73B3" w:rsidRDefault="00EA73B3" w:rsidP="0A57A144">
                  <w:pPr>
                    <w:jc w:val="center"/>
                    <w:rPr>
                      <w:rFonts w:eastAsia="Times New Roman" w:cs="Arial"/>
                      <w:sz w:val="20"/>
                      <w:szCs w:val="20"/>
                    </w:rPr>
                  </w:pPr>
                </w:p>
              </w:tc>
            </w:tr>
            <w:tr w:rsidR="00EA73B3" w:rsidRPr="00EA73B3" w14:paraId="199F5DC6" w14:textId="77777777" w:rsidTr="0A57A144">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77777777" w:rsidR="00EA73B3" w:rsidRPr="00EA73B3" w:rsidRDefault="00EA73B3" w:rsidP="00EA73B3">
                  <w:pPr>
                    <w:jc w:val="center"/>
                    <w:rPr>
                      <w:rFonts w:eastAsia="Times New Roman" w:cs="Arial"/>
                      <w:sz w:val="20"/>
                      <w:szCs w:val="20"/>
                    </w:rPr>
                  </w:pPr>
                </w:p>
              </w:tc>
              <w:tc>
                <w:tcPr>
                  <w:tcW w:w="1729" w:type="dxa"/>
                  <w:vAlign w:val="center"/>
                </w:tcPr>
                <w:p w14:paraId="12A63D92" w14:textId="77777777" w:rsidR="00EA73B3" w:rsidRPr="00EA73B3" w:rsidRDefault="00EA73B3" w:rsidP="00EA73B3">
                  <w:pPr>
                    <w:jc w:val="center"/>
                    <w:rPr>
                      <w:rFonts w:eastAsia="Times New Roman" w:cs="Arial"/>
                      <w:sz w:val="20"/>
                      <w:szCs w:val="20"/>
                    </w:rPr>
                  </w:pPr>
                </w:p>
              </w:tc>
              <w:tc>
                <w:tcPr>
                  <w:tcW w:w="1532" w:type="dxa"/>
                  <w:vAlign w:val="center"/>
                </w:tcPr>
                <w:p w14:paraId="0E94C84F" w14:textId="77777777" w:rsidR="00EA73B3" w:rsidRPr="00EA73B3" w:rsidRDefault="00EA73B3" w:rsidP="00EA73B3">
                  <w:pPr>
                    <w:jc w:val="center"/>
                    <w:rPr>
                      <w:rFonts w:eastAsia="Times New Roman" w:cs="Arial"/>
                      <w:sz w:val="20"/>
                      <w:szCs w:val="20"/>
                    </w:rPr>
                  </w:pPr>
                </w:p>
              </w:tc>
              <w:tc>
                <w:tcPr>
                  <w:tcW w:w="2264"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A57A144">
              <w:tc>
                <w:tcPr>
                  <w:tcW w:w="2547"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77777777" w:rsidR="00EA73B3" w:rsidRPr="00EA73B3" w:rsidRDefault="00EA73B3" w:rsidP="00EA73B3">
                  <w:pPr>
                    <w:jc w:val="center"/>
                    <w:rPr>
                      <w:rFonts w:eastAsia="Times New Roman" w:cs="Arial"/>
                      <w:sz w:val="20"/>
                      <w:szCs w:val="20"/>
                    </w:rPr>
                  </w:pPr>
                </w:p>
              </w:tc>
              <w:tc>
                <w:tcPr>
                  <w:tcW w:w="1729" w:type="dxa"/>
                  <w:vAlign w:val="center"/>
                </w:tcPr>
                <w:p w14:paraId="13C064A1" w14:textId="77777777" w:rsidR="00EA73B3" w:rsidRPr="00EA73B3" w:rsidRDefault="00EA73B3" w:rsidP="00EA73B3">
                  <w:pPr>
                    <w:jc w:val="center"/>
                    <w:rPr>
                      <w:rFonts w:eastAsia="Times New Roman" w:cs="Arial"/>
                      <w:sz w:val="20"/>
                      <w:szCs w:val="20"/>
                    </w:rPr>
                  </w:pPr>
                </w:p>
              </w:tc>
              <w:tc>
                <w:tcPr>
                  <w:tcW w:w="1532" w:type="dxa"/>
                  <w:vAlign w:val="center"/>
                </w:tcPr>
                <w:p w14:paraId="56E130A8" w14:textId="77777777" w:rsidR="00EA73B3" w:rsidRPr="00EA73B3" w:rsidRDefault="00EA73B3" w:rsidP="00EA73B3">
                  <w:pPr>
                    <w:jc w:val="center"/>
                    <w:rPr>
                      <w:rFonts w:eastAsia="Times New Roman" w:cs="Arial"/>
                      <w:sz w:val="20"/>
                      <w:szCs w:val="20"/>
                    </w:rPr>
                  </w:pPr>
                </w:p>
              </w:tc>
              <w:tc>
                <w:tcPr>
                  <w:tcW w:w="2264"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A57A144">
              <w:tc>
                <w:tcPr>
                  <w:tcW w:w="2547"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7777777" w:rsidR="00EA73B3" w:rsidRPr="00EA73B3" w:rsidRDefault="00EA73B3" w:rsidP="00EA73B3">
                  <w:pPr>
                    <w:jc w:val="center"/>
                    <w:rPr>
                      <w:rFonts w:eastAsia="Times New Roman" w:cs="Arial"/>
                      <w:sz w:val="20"/>
                      <w:szCs w:val="20"/>
                    </w:rPr>
                  </w:pPr>
                </w:p>
              </w:tc>
              <w:tc>
                <w:tcPr>
                  <w:tcW w:w="1729" w:type="dxa"/>
                  <w:vAlign w:val="center"/>
                </w:tcPr>
                <w:p w14:paraId="545FA9E5" w14:textId="77777777" w:rsidR="00EA73B3" w:rsidRPr="00EA73B3" w:rsidRDefault="00EA73B3" w:rsidP="00EA73B3">
                  <w:pPr>
                    <w:jc w:val="center"/>
                    <w:rPr>
                      <w:rFonts w:eastAsia="Times New Roman" w:cs="Arial"/>
                      <w:sz w:val="20"/>
                      <w:szCs w:val="20"/>
                    </w:rPr>
                  </w:pPr>
                </w:p>
              </w:tc>
              <w:tc>
                <w:tcPr>
                  <w:tcW w:w="1532" w:type="dxa"/>
                  <w:vAlign w:val="center"/>
                </w:tcPr>
                <w:p w14:paraId="75059127" w14:textId="77777777" w:rsidR="00EA73B3" w:rsidRPr="00EA73B3" w:rsidRDefault="00EA73B3" w:rsidP="00EA73B3">
                  <w:pPr>
                    <w:jc w:val="center"/>
                    <w:rPr>
                      <w:rFonts w:eastAsia="Times New Roman" w:cs="Arial"/>
                      <w:sz w:val="20"/>
                      <w:szCs w:val="20"/>
                    </w:rPr>
                  </w:pPr>
                </w:p>
              </w:tc>
              <w:tc>
                <w:tcPr>
                  <w:tcW w:w="2264"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A57A144">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77777777" w:rsidR="00EA73B3" w:rsidRPr="00EA73B3" w:rsidRDefault="00EA73B3" w:rsidP="00EA73B3">
                  <w:pPr>
                    <w:jc w:val="center"/>
                    <w:rPr>
                      <w:rFonts w:eastAsia="Times New Roman" w:cs="Arial"/>
                      <w:sz w:val="20"/>
                      <w:szCs w:val="20"/>
                    </w:rPr>
                  </w:pPr>
                </w:p>
              </w:tc>
              <w:tc>
                <w:tcPr>
                  <w:tcW w:w="1729" w:type="dxa"/>
                  <w:vAlign w:val="center"/>
                </w:tcPr>
                <w:p w14:paraId="6648D219" w14:textId="77777777" w:rsidR="00EA73B3" w:rsidRPr="00EA73B3" w:rsidRDefault="00EA73B3" w:rsidP="00EA73B3">
                  <w:pPr>
                    <w:jc w:val="center"/>
                    <w:rPr>
                      <w:rFonts w:eastAsia="Times New Roman" w:cs="Arial"/>
                      <w:sz w:val="20"/>
                      <w:szCs w:val="20"/>
                    </w:rPr>
                  </w:pPr>
                </w:p>
              </w:tc>
              <w:tc>
                <w:tcPr>
                  <w:tcW w:w="1532" w:type="dxa"/>
                  <w:vAlign w:val="center"/>
                </w:tcPr>
                <w:p w14:paraId="12B102FE" w14:textId="77777777" w:rsidR="00EA73B3" w:rsidRPr="00EA73B3" w:rsidRDefault="00EA73B3" w:rsidP="00EA73B3">
                  <w:pPr>
                    <w:jc w:val="center"/>
                    <w:rPr>
                      <w:rFonts w:eastAsia="Times New Roman" w:cs="Arial"/>
                      <w:sz w:val="20"/>
                      <w:szCs w:val="20"/>
                    </w:rPr>
                  </w:pPr>
                </w:p>
              </w:tc>
              <w:tc>
                <w:tcPr>
                  <w:tcW w:w="2264" w:type="dxa"/>
                  <w:vAlign w:val="center"/>
                </w:tcPr>
                <w:p w14:paraId="2BCC920E" w14:textId="77777777" w:rsidR="00EA73B3" w:rsidRPr="00EA73B3" w:rsidRDefault="00EA73B3" w:rsidP="00EA73B3">
                  <w:pPr>
                    <w:jc w:val="center"/>
                    <w:rPr>
                      <w:rFonts w:eastAsia="Times New Roman" w:cs="Arial"/>
                      <w:sz w:val="20"/>
                      <w:szCs w:val="20"/>
                    </w:rPr>
                  </w:pPr>
                </w:p>
              </w:tc>
            </w:tr>
          </w:tbl>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7836F51">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7836F51">
        <w:tc>
          <w:tcPr>
            <w:tcW w:w="5000" w:type="pct"/>
            <w:gridSpan w:val="2"/>
            <w:tcBorders>
              <w:bottom w:val="single" w:sz="4" w:space="0" w:color="auto"/>
            </w:tcBorders>
            <w:shd w:val="clear" w:color="auto" w:fill="FFFFFF" w:themeFill="background1"/>
            <w:vAlign w:val="center"/>
          </w:tcPr>
          <w:p w14:paraId="4156BA78" w14:textId="07C4A01E" w:rsidR="00EA73B3" w:rsidRPr="00EA73B3" w:rsidRDefault="0A57A144" w:rsidP="0A57A144">
            <w:pPr>
              <w:spacing w:line="276" w:lineRule="auto"/>
              <w:contextualSpacing/>
              <w:rPr>
                <w:rFonts w:eastAsia="Times New Roman" w:cs="Arial"/>
                <w:sz w:val="20"/>
                <w:szCs w:val="20"/>
              </w:rPr>
            </w:pPr>
            <w:r w:rsidRPr="0A57A144">
              <w:rPr>
                <w:rFonts w:eastAsia="Times New Roman" w:cs="Arial"/>
                <w:sz w:val="20"/>
                <w:szCs w:val="20"/>
              </w:rPr>
              <w:t>There were no scope changes for Minor Release Drop 4</w:t>
            </w:r>
          </w:p>
        </w:tc>
      </w:tr>
      <w:tr w:rsidR="00EA73B3" w:rsidRPr="00EA73B3" w14:paraId="44DCE113" w14:textId="77777777" w:rsidTr="07836F51">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7836F51">
        <w:tc>
          <w:tcPr>
            <w:tcW w:w="5000" w:type="pct"/>
            <w:gridSpan w:val="2"/>
            <w:shd w:val="clear" w:color="auto" w:fill="auto"/>
          </w:tcPr>
          <w:p w14:paraId="46992048" w14:textId="09169CED" w:rsidR="00EA73B3" w:rsidRPr="00EA73B3" w:rsidRDefault="07836F51" w:rsidP="07836F51">
            <w:pPr>
              <w:rPr>
                <w:rFonts w:eastAsia="Times New Roman" w:cs="Arial"/>
                <w:sz w:val="20"/>
                <w:szCs w:val="20"/>
              </w:rPr>
            </w:pPr>
            <w:r w:rsidRPr="07836F51">
              <w:rPr>
                <w:rFonts w:eastAsia="Times New Roman" w:cs="Arial"/>
                <w:sz w:val="20"/>
                <w:szCs w:val="20"/>
              </w:rPr>
              <w:t>Not applicable</w:t>
            </w:r>
          </w:p>
        </w:tc>
      </w:tr>
      <w:tr w:rsidR="00EA73B3" w:rsidRPr="00EA73B3" w14:paraId="6EF7276F" w14:textId="77777777" w:rsidTr="07836F51">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7836F51">
        <w:tc>
          <w:tcPr>
            <w:tcW w:w="5000" w:type="pct"/>
            <w:gridSpan w:val="2"/>
            <w:shd w:val="clear" w:color="auto" w:fill="auto"/>
          </w:tcPr>
          <w:p w14:paraId="1AB0B5C7" w14:textId="225193D0" w:rsidR="00EA73B3" w:rsidRPr="00EA73B3" w:rsidRDefault="0A57A144" w:rsidP="0A57A144">
            <w:pPr>
              <w:spacing w:line="276" w:lineRule="auto"/>
              <w:contextualSpacing/>
              <w:rPr>
                <w:rFonts w:eastAsia="Times New Roman" w:cs="Arial"/>
                <w:b/>
                <w:color w:val="FF0000"/>
                <w:szCs w:val="16"/>
              </w:rPr>
            </w:pPr>
            <w:r w:rsidRPr="0A57A144">
              <w:rPr>
                <w:rFonts w:eastAsia="Times New Roman" w:cs="Arial"/>
                <w:sz w:val="20"/>
                <w:szCs w:val="20"/>
              </w:rPr>
              <w:t>There have been no changes to the UK Link Manual</w:t>
            </w:r>
          </w:p>
        </w:tc>
      </w:tr>
      <w:tr w:rsidR="00EA73B3" w:rsidRPr="00EA73B3" w14:paraId="7D853ABD" w14:textId="77777777" w:rsidTr="07836F51">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7836F51">
        <w:tc>
          <w:tcPr>
            <w:tcW w:w="5000" w:type="pct"/>
            <w:gridSpan w:val="2"/>
            <w:shd w:val="clear" w:color="auto" w:fill="auto"/>
          </w:tcPr>
          <w:p w14:paraId="154BE534" w14:textId="3E29E5ED" w:rsidR="00EA73B3" w:rsidRPr="00EA73B3" w:rsidRDefault="0A57A144" w:rsidP="0A57A144">
            <w:pPr>
              <w:spacing w:after="200" w:line="276" w:lineRule="auto"/>
              <w:rPr>
                <w:rFonts w:eastAsia="Times New Roman" w:cs="Times New Roman"/>
                <w:sz w:val="20"/>
                <w:szCs w:val="20"/>
              </w:rPr>
            </w:pPr>
            <w:r w:rsidRPr="0A57A144">
              <w:rPr>
                <w:rFonts w:eastAsia="Times New Roman" w:cs="Times New Roman"/>
                <w:sz w:val="20"/>
                <w:szCs w:val="20"/>
              </w:rPr>
              <w:lastRenderedPageBreak/>
              <w:t>Scope updates to be provided within the agreed timescales from service provider</w:t>
            </w:r>
          </w:p>
          <w:p w14:paraId="7281A4B8" w14:textId="0A34DD3C" w:rsidR="00EA73B3" w:rsidRPr="00EA73B3" w:rsidRDefault="07836F51" w:rsidP="07836F51">
            <w:pPr>
              <w:spacing w:after="200" w:line="276" w:lineRule="auto"/>
              <w:rPr>
                <w:rFonts w:eastAsia="Times New Roman" w:cs="Times New Roman"/>
                <w:sz w:val="20"/>
                <w:szCs w:val="20"/>
              </w:rPr>
            </w:pPr>
            <w:r w:rsidRPr="07836F51">
              <w:rPr>
                <w:rFonts w:eastAsia="Times New Roman" w:cs="Times New Roman"/>
                <w:sz w:val="20"/>
                <w:szCs w:val="20"/>
              </w:rPr>
              <w:t>SME resource constraints to be managed from the start of the project by providing early sight of the plan to understand when resources are required for each phase</w:t>
            </w:r>
          </w:p>
          <w:p w14:paraId="7B2B5B58" w14:textId="5F65EA3F" w:rsidR="00EA73B3" w:rsidRPr="00EA73B3" w:rsidRDefault="07836F51" w:rsidP="07836F51">
            <w:pPr>
              <w:spacing w:after="200" w:line="276" w:lineRule="auto"/>
              <w:rPr>
                <w:rFonts w:eastAsia="Times New Roman" w:cs="Arial"/>
              </w:rPr>
            </w:pPr>
            <w:r w:rsidRPr="07836F51">
              <w:rPr>
                <w:rFonts w:eastAsia="Times New Roman" w:cs="Times New Roman"/>
                <w:sz w:val="20"/>
                <w:szCs w:val="20"/>
              </w:rPr>
              <w:t>Environment constraints has led to sharing environments with different projects where there has been code conflict.  This has led to a dependency on projects to complete delivery before Minor Release testing could start.  In order to avoid this environment availability could be identified with initial analysis before committing to change delivery dates</w:t>
            </w:r>
            <w:r w:rsidRPr="07836F51">
              <w:rPr>
                <w:rFonts w:eastAsia="Times New Roman" w:cs="Times New Roman"/>
                <w:i/>
                <w:iCs/>
                <w:color w:val="0070C0"/>
                <w:sz w:val="20"/>
                <w:szCs w:val="20"/>
              </w:rPr>
              <w:t xml:space="preserve"> </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57878754" w:rsidR="00EA73B3" w:rsidRPr="00EA73B3" w:rsidRDefault="0A57A144" w:rsidP="0A57A144">
            <w:pPr>
              <w:jc w:val="center"/>
              <w:rPr>
                <w:rFonts w:eastAsia="Times New Roman" w:cs="Arial"/>
                <w:sz w:val="20"/>
                <w:szCs w:val="20"/>
              </w:rPr>
            </w:pPr>
            <w:r w:rsidRPr="0A57A144">
              <w:rPr>
                <w:rFonts w:eastAsia="Times New Roman" w:cs="Arial"/>
                <w:sz w:val="20"/>
                <w:szCs w:val="20"/>
              </w:rPr>
              <w:t>Under review</w:t>
            </w:r>
          </w:p>
        </w:tc>
        <w:tc>
          <w:tcPr>
            <w:tcW w:w="556" w:type="pct"/>
          </w:tcPr>
          <w:p w14:paraId="0BB1E953" w14:textId="31B9ACEB" w:rsidR="00EA73B3" w:rsidRPr="00EA73B3" w:rsidRDefault="0A57A144" w:rsidP="0A57A144">
            <w:pPr>
              <w:jc w:val="center"/>
              <w:rPr>
                <w:rFonts w:eastAsia="Times New Roman" w:cs="Arial"/>
                <w:sz w:val="20"/>
                <w:szCs w:val="20"/>
              </w:rPr>
            </w:pPr>
            <w:r w:rsidRPr="0A57A144">
              <w:rPr>
                <w:rFonts w:eastAsia="Times New Roman" w:cs="Arial"/>
                <w:sz w:val="20"/>
                <w:szCs w:val="20"/>
              </w:rPr>
              <w:t>31/7/19</w:t>
            </w:r>
          </w:p>
        </w:tc>
        <w:tc>
          <w:tcPr>
            <w:tcW w:w="763" w:type="pct"/>
          </w:tcPr>
          <w:p w14:paraId="4350D9F9" w14:textId="3031C847" w:rsidR="00EA73B3" w:rsidRPr="00EA73B3" w:rsidRDefault="0A57A144" w:rsidP="0A57A144">
            <w:pPr>
              <w:jc w:val="center"/>
              <w:rPr>
                <w:rFonts w:eastAsia="Times New Roman" w:cs="Arial"/>
                <w:sz w:val="20"/>
                <w:szCs w:val="20"/>
              </w:rPr>
            </w:pPr>
            <w:r w:rsidRPr="0A57A144">
              <w:rPr>
                <w:rFonts w:eastAsia="Times New Roman" w:cs="Arial"/>
                <w:sz w:val="20"/>
                <w:szCs w:val="20"/>
              </w:rPr>
              <w:t>Bali Bahia</w:t>
            </w:r>
          </w:p>
        </w:tc>
        <w:tc>
          <w:tcPr>
            <w:tcW w:w="1944" w:type="pct"/>
          </w:tcPr>
          <w:p w14:paraId="0FC70C39" w14:textId="7DCB73F5" w:rsidR="00EA73B3" w:rsidRPr="00EA73B3" w:rsidRDefault="0A57A144" w:rsidP="0A57A144">
            <w:pPr>
              <w:jc w:val="center"/>
              <w:rPr>
                <w:rFonts w:eastAsia="Times New Roman" w:cs="Arial"/>
                <w:sz w:val="20"/>
                <w:szCs w:val="20"/>
              </w:rPr>
            </w:pPr>
            <w:r w:rsidRPr="0A57A144">
              <w:rPr>
                <w:rFonts w:eastAsia="Times New Roman" w:cs="Arial"/>
                <w:sz w:val="20"/>
                <w:szCs w:val="20"/>
              </w:rPr>
              <w:t>Draft created for review</w:t>
            </w: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41C0" w14:textId="77777777" w:rsidR="006032A0" w:rsidRDefault="006032A0" w:rsidP="00324744">
      <w:pPr>
        <w:spacing w:after="0" w:line="240" w:lineRule="auto"/>
      </w:pPr>
      <w:r>
        <w:separator/>
      </w:r>
    </w:p>
  </w:endnote>
  <w:endnote w:type="continuationSeparator" w:id="0">
    <w:p w14:paraId="5235E13E" w14:textId="77777777" w:rsidR="006032A0" w:rsidRDefault="006032A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B27E" w14:textId="77777777" w:rsidR="006032A0" w:rsidRDefault="006032A0" w:rsidP="00324744">
      <w:pPr>
        <w:spacing w:after="0" w:line="240" w:lineRule="auto"/>
      </w:pPr>
      <w:r>
        <w:separator/>
      </w:r>
    </w:p>
  </w:footnote>
  <w:footnote w:type="continuationSeparator" w:id="0">
    <w:p w14:paraId="11C909C4" w14:textId="77777777" w:rsidR="006032A0" w:rsidRDefault="006032A0"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125B61"/>
    <w:rsid w:val="00144E00"/>
    <w:rsid w:val="001C2268"/>
    <w:rsid w:val="00226D34"/>
    <w:rsid w:val="00324744"/>
    <w:rsid w:val="00426807"/>
    <w:rsid w:val="004E13F6"/>
    <w:rsid w:val="004F3362"/>
    <w:rsid w:val="00517F6F"/>
    <w:rsid w:val="0055298E"/>
    <w:rsid w:val="006032A0"/>
    <w:rsid w:val="006D5011"/>
    <w:rsid w:val="007243D3"/>
    <w:rsid w:val="007A56DB"/>
    <w:rsid w:val="007D4F26"/>
    <w:rsid w:val="007E7C5B"/>
    <w:rsid w:val="00817A62"/>
    <w:rsid w:val="00894B64"/>
    <w:rsid w:val="00896B06"/>
    <w:rsid w:val="00996C52"/>
    <w:rsid w:val="00AB5B54"/>
    <w:rsid w:val="00AB63DE"/>
    <w:rsid w:val="00B805BF"/>
    <w:rsid w:val="00B8770C"/>
    <w:rsid w:val="00BD0A45"/>
    <w:rsid w:val="00D66C7E"/>
    <w:rsid w:val="00EA73B3"/>
    <w:rsid w:val="00F95876"/>
    <w:rsid w:val="07836F51"/>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BD0B811B-10FB-4AE2-87AB-8AC346DD5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2019-09-03T13:08:00Z</dcterms:created>
  <dcterms:modified xsi:type="dcterms:W3CDTF">2019-09-03T13:08:00Z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1074255888</vt:i4>
  </property>
  <property fmtid="{D5CDD505-2E9C-101B-9397-08002B2CF9AE}" pid="4" name="_NewReviewCycle">
    <vt:lpwstr/>
  </property>
  <property fmtid="{D5CDD505-2E9C-101B-9397-08002B2CF9AE}" pid="5" name="_EmailSubject">
    <vt:lpwstr>R&amp;N ChMC Slides</vt:lpwstr>
  </property>
  <property fmtid="{D5CDD505-2E9C-101B-9397-08002B2CF9AE}" pid="6" name="_AuthorEmail">
    <vt:lpwstr>julie.bretherton@xoserve.com</vt:lpwstr>
  </property>
  <property fmtid="{D5CDD505-2E9C-101B-9397-08002B2CF9AE}" pid="7" name="_AuthorEmailDisplayName">
    <vt:lpwstr>Bretherton, Julie</vt:lpwstr>
  </property>
  <property fmtid="{D5CDD505-2E9C-101B-9397-08002B2CF9AE}" pid="9" name="_PreviousAdHocReviewCycleID">
    <vt:i4>-493672931</vt:i4>
  </property>
</Properties>
</file>