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5A29" w14:textId="529EB393" w:rsidR="007D4F26" w:rsidRDefault="002B2E87" w:rsidP="002B2E87">
      <w:pPr>
        <w:pStyle w:val="Title"/>
        <w:jc w:val="center"/>
      </w:pPr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3"/>
        <w:gridCol w:w="5211"/>
      </w:tblGrid>
      <w:tr w:rsidR="00E27B52" w:rsidRPr="002B2E87" w14:paraId="4E169BE3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E27B52" w:rsidRPr="002B2E87" w:rsidRDefault="00E27B52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6982D0DE" w:rsidR="00E27B52" w:rsidRPr="002B2E87" w:rsidRDefault="00CE056B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XRN4866 UIG Recommendation – Nov 19 Implementation</w:t>
            </w:r>
          </w:p>
        </w:tc>
      </w:tr>
      <w:tr w:rsidR="00E27B52" w:rsidRPr="002B2E87" w14:paraId="185696D7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E27B52" w:rsidRPr="002B2E87" w:rsidRDefault="00E27B52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3CCDD07B" w:rsidR="00E27B52" w:rsidRPr="002B2E87" w:rsidRDefault="00E27B52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4866</w:t>
            </w:r>
          </w:p>
        </w:tc>
      </w:tr>
      <w:tr w:rsidR="00E27B52" w:rsidRPr="002B2E87" w14:paraId="74B6BF6B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7777777" w:rsidR="00E27B52" w:rsidRPr="002B2E87" w:rsidRDefault="00E27B52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789032C8" w:rsidR="00E27B52" w:rsidRPr="002B2E87" w:rsidRDefault="00E27B52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Tom Lineham</w:t>
            </w:r>
          </w:p>
        </w:tc>
      </w:tr>
      <w:tr w:rsidR="00E27B52" w:rsidRPr="002B2E87" w14:paraId="35655359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E27B52" w:rsidRPr="002B2E87" w:rsidRDefault="00E27B52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4681A641" w:rsidR="00E27B52" w:rsidRPr="002B2E87" w:rsidRDefault="00E27B52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Thomas.lineham@xoserve.com</w:t>
            </w:r>
          </w:p>
        </w:tc>
      </w:tr>
      <w:tr w:rsidR="00E27B52" w:rsidRPr="002B2E87" w14:paraId="1C247CD2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E27B52" w:rsidRPr="002B2E87" w:rsidRDefault="00E27B52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3BEAEFBC" w:rsidR="00E27B52" w:rsidRPr="002B2E87" w:rsidRDefault="00E27B52" w:rsidP="002B2E87">
            <w:pPr>
              <w:rPr>
                <w:rFonts w:eastAsia="Times New Roman" w:cs="Arial"/>
                <w:szCs w:val="16"/>
              </w:rPr>
            </w:pPr>
            <w:r w:rsidRPr="004B5124">
              <w:rPr>
                <w:rFonts w:eastAsia="Times New Roman" w:cs="Arial"/>
                <w:sz w:val="20"/>
                <w:szCs w:val="20"/>
              </w:rPr>
              <w:t>0121 623 2327</w:t>
            </w:r>
          </w:p>
        </w:tc>
      </w:tr>
      <w:tr w:rsidR="00E27B52" w:rsidRPr="002B2E87" w14:paraId="1271BAA4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E27B52" w:rsidRPr="002B2E87" w:rsidRDefault="00E27B52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5BC947C9" w:rsidR="00E27B52" w:rsidRPr="002B2E87" w:rsidRDefault="00E27B52" w:rsidP="002B2E87">
            <w:pPr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 w:val="20"/>
                <w:szCs w:val="20"/>
              </w:rPr>
              <w:t>12</w:t>
            </w:r>
            <w:r w:rsidRPr="006C4CDE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June 2019</w:t>
            </w:r>
          </w:p>
        </w:tc>
      </w:tr>
      <w:tr w:rsidR="002B2E87" w:rsidRPr="002B2E87" w14:paraId="3B4FF6C3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136BA7" w14:textId="77777777" w:rsidR="00E27B52" w:rsidRDefault="00E27B52" w:rsidP="00E27B52">
            <w:pPr>
              <w:spacing w:after="60" w:line="276" w:lineRule="auto"/>
              <w:rPr>
                <w:rFonts w:cs="Arial"/>
                <w:sz w:val="20"/>
                <w:szCs w:val="20"/>
              </w:rPr>
            </w:pPr>
          </w:p>
          <w:p w14:paraId="2B4AEB9C" w14:textId="76C2A1CE" w:rsidR="00E27B52" w:rsidRDefault="00E27B52" w:rsidP="00E27B52">
            <w:pPr>
              <w:spacing w:after="60" w:line="276" w:lineRule="auto"/>
              <w:rPr>
                <w:sz w:val="20"/>
                <w:szCs w:val="20"/>
              </w:rPr>
            </w:pPr>
            <w:r w:rsidRPr="00AC4921">
              <w:rPr>
                <w:rFonts w:cs="Arial"/>
                <w:sz w:val="20"/>
                <w:szCs w:val="20"/>
              </w:rPr>
              <w:t>This BER requests approval for an additional change (</w:t>
            </w:r>
            <w:r>
              <w:rPr>
                <w:rFonts w:cs="Arial"/>
                <w:sz w:val="20"/>
                <w:szCs w:val="20"/>
              </w:rPr>
              <w:t>XRN4866</w:t>
            </w:r>
            <w:r w:rsidRPr="00AC4921">
              <w:rPr>
                <w:rFonts w:cs="Arial"/>
                <w:sz w:val="20"/>
                <w:szCs w:val="20"/>
              </w:rPr>
              <w:t xml:space="preserve">) to be delivered </w:t>
            </w:r>
            <w:r w:rsidRPr="002B74CF">
              <w:rPr>
                <w:rFonts w:cs="Arial"/>
                <w:sz w:val="20"/>
                <w:szCs w:val="20"/>
              </w:rPr>
              <w:t>in line with</w:t>
            </w:r>
            <w:r w:rsidRPr="00AC492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C4921">
              <w:rPr>
                <w:rFonts w:cs="Arial"/>
                <w:sz w:val="20"/>
                <w:szCs w:val="20"/>
              </w:rPr>
              <w:t xml:space="preserve">November 19 </w:t>
            </w:r>
            <w:proofErr w:type="spellStart"/>
            <w:r w:rsidRPr="00AC4921">
              <w:rPr>
                <w:rFonts w:cs="Arial"/>
                <w:sz w:val="20"/>
                <w:szCs w:val="20"/>
              </w:rPr>
              <w:t>UKLink</w:t>
            </w:r>
            <w:proofErr w:type="spellEnd"/>
            <w:r w:rsidRPr="00AC4921">
              <w:rPr>
                <w:rFonts w:cs="Arial"/>
                <w:sz w:val="20"/>
                <w:szCs w:val="20"/>
              </w:rPr>
              <w:t xml:space="preserve"> Release, which consists of 3 changes, and is due to implemented 8</w:t>
            </w:r>
            <w:r w:rsidRPr="00AC4921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AC4921">
              <w:rPr>
                <w:rFonts w:cs="Arial"/>
                <w:sz w:val="20"/>
                <w:szCs w:val="20"/>
              </w:rPr>
              <w:t xml:space="preserve"> November 2019.</w:t>
            </w:r>
            <w:r w:rsidRPr="00AC4921">
              <w:rPr>
                <w:sz w:val="20"/>
                <w:szCs w:val="20"/>
              </w:rPr>
              <w:t xml:space="preserve"> </w:t>
            </w:r>
          </w:p>
          <w:p w14:paraId="2EFC9F63" w14:textId="77777777" w:rsidR="00661CAD" w:rsidRDefault="00661CAD" w:rsidP="00E27B52">
            <w:pPr>
              <w:spacing w:after="60" w:line="276" w:lineRule="auto"/>
              <w:rPr>
                <w:sz w:val="20"/>
                <w:szCs w:val="20"/>
              </w:rPr>
            </w:pPr>
          </w:p>
          <w:p w14:paraId="2C7B5582" w14:textId="364C8CC5" w:rsidR="00661CAD" w:rsidRPr="00AC4921" w:rsidRDefault="00661CAD" w:rsidP="00E27B52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Delivering this change in line with November 19 allows us to utilise the same resources we have in place to deliver XRN4621 allowing for a more cost effective option. </w:t>
            </w:r>
          </w:p>
          <w:p w14:paraId="743D8640" w14:textId="77777777" w:rsidR="00E27B52" w:rsidRPr="00A107AC" w:rsidRDefault="00E27B52" w:rsidP="00E27B52">
            <w:pPr>
              <w:spacing w:after="60" w:line="276" w:lineRule="auto"/>
              <w:rPr>
                <w:sz w:val="20"/>
                <w:szCs w:val="20"/>
              </w:rPr>
            </w:pPr>
          </w:p>
          <w:p w14:paraId="7754497F" w14:textId="77777777" w:rsidR="00E27B52" w:rsidRPr="004B5124" w:rsidRDefault="00E27B52" w:rsidP="00E27B52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="Arial"/>
                <w:bCs/>
                <w:iCs/>
                <w:color w:val="000000" w:themeColor="text1"/>
                <w:szCs w:val="20"/>
                <w:lang w:val="en-US"/>
              </w:rPr>
            </w:pPr>
            <w:r w:rsidRPr="004B5124">
              <w:rPr>
                <w:b/>
                <w:szCs w:val="20"/>
              </w:rPr>
              <w:t xml:space="preserve">- UIG Recommendation - Removal of validation on uncorrected read </w:t>
            </w:r>
          </w:p>
          <w:p w14:paraId="77947DE7" w14:textId="77777777" w:rsidR="00E27B52" w:rsidRDefault="00E27B52" w:rsidP="00661CAD">
            <w:pPr>
              <w:pStyle w:val="ListParagraph"/>
              <w:spacing w:after="60"/>
              <w:ind w:left="0"/>
              <w:rPr>
                <w:rFonts w:cs="Arial"/>
              </w:rPr>
            </w:pPr>
            <w:r w:rsidRPr="00DC50E0">
              <w:rPr>
                <w:rFonts w:cs="Arial"/>
              </w:rPr>
              <w:t xml:space="preserve">XRN4621 </w:t>
            </w:r>
            <w:r>
              <w:rPr>
                <w:rFonts w:cs="Arial"/>
              </w:rPr>
              <w:t>(</w:t>
            </w:r>
            <w:r w:rsidRPr="00DC50E0">
              <w:rPr>
                <w:rFonts w:cs="Arial"/>
              </w:rPr>
              <w:t>due for November 2019 release</w:t>
            </w:r>
            <w:r>
              <w:rPr>
                <w:rFonts w:cs="Arial"/>
              </w:rPr>
              <w:t xml:space="preserve">) was raised to look at setting the Uncorrected Reading </w:t>
            </w:r>
            <w:r>
              <w:t>received via some of the read files</w:t>
            </w:r>
            <w:r>
              <w:rPr>
                <w:rFonts w:cs="Arial"/>
              </w:rPr>
              <w:t xml:space="preserve"> as optional</w:t>
            </w:r>
            <w:r w:rsidRPr="00DC50E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the scope for this is has been defined and baselined.  This change has been raised to look at removing the validation on the Uncorrected R</w:t>
            </w:r>
            <w:r w:rsidRPr="00DC50E0">
              <w:rPr>
                <w:rFonts w:cs="Arial"/>
              </w:rPr>
              <w:t>ead</w:t>
            </w:r>
            <w:r>
              <w:rPr>
                <w:rFonts w:cs="Arial"/>
              </w:rPr>
              <w:t xml:space="preserve"> (where one is provided)</w:t>
            </w:r>
            <w:r w:rsidRPr="00DC50E0">
              <w:rPr>
                <w:rFonts w:cs="Arial"/>
              </w:rPr>
              <w:t xml:space="preserve"> to prevent it from being reje</w:t>
            </w:r>
            <w:r>
              <w:rPr>
                <w:rFonts w:cs="Arial"/>
              </w:rPr>
              <w:t>cted due to there being</w:t>
            </w:r>
            <w:r w:rsidRPr="009763A2">
              <w:rPr>
                <w:rFonts w:cs="Arial"/>
              </w:rPr>
              <w:t xml:space="preserve"> no Through the Zero indicator specifically for</w:t>
            </w:r>
            <w:r>
              <w:rPr>
                <w:rFonts w:cs="Arial"/>
              </w:rPr>
              <w:t xml:space="preserve"> the uncorrected read within</w:t>
            </w:r>
            <w:r w:rsidRPr="009763A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some</w:t>
            </w:r>
            <w:r w:rsidRPr="009763A2">
              <w:rPr>
                <w:rFonts w:cs="Arial"/>
              </w:rPr>
              <w:t xml:space="preserve"> inbound read files.</w:t>
            </w:r>
            <w:r>
              <w:rPr>
                <w:rFonts w:cs="Arial"/>
              </w:rPr>
              <w:t xml:space="preserve"> These get rejected using rejection code MRE0048 “</w:t>
            </w:r>
            <w:r w:rsidRPr="00DC50E0">
              <w:rPr>
                <w:rFonts w:cs="Arial"/>
              </w:rPr>
              <w:t xml:space="preserve">uncorrected read value is lower </w:t>
            </w:r>
            <w:r>
              <w:rPr>
                <w:rFonts w:cs="Arial"/>
              </w:rPr>
              <w:t>than previous uncorrected read”.</w:t>
            </w:r>
          </w:p>
          <w:p w14:paraId="1C5B3900" w14:textId="77777777" w:rsidR="00AC53A8" w:rsidRDefault="00071EE5" w:rsidP="00AC53A8">
            <w:pPr>
              <w:spacing w:line="276" w:lineRule="auto"/>
              <w:ind w:left="4320"/>
              <w:rPr>
                <w:rFonts w:cs="Arial"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Cs/>
                <w:color w:val="0000FF"/>
                <w:sz w:val="20"/>
                <w:szCs w:val="20"/>
              </w:rPr>
              <w:object w:dxaOrig="1551" w:dyaOrig="1004" w14:anchorId="6CAFB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50.25pt" o:ole="">
                  <v:imagedata r:id="rId12" o:title=""/>
                </v:shape>
                <o:OLEObject Type="Embed" ProgID="AcroExch.Document.2015" ShapeID="_x0000_i1025" DrawAspect="Icon" ObjectID="_1620733800" r:id="rId13"/>
              </w:object>
            </w:r>
          </w:p>
          <w:p w14:paraId="05BA6E36" w14:textId="01497B5A" w:rsidR="002537EA" w:rsidRPr="00A107AC" w:rsidRDefault="002537EA" w:rsidP="00AC53A8">
            <w:pPr>
              <w:spacing w:line="276" w:lineRule="auto"/>
              <w:ind w:left="4320"/>
              <w:rPr>
                <w:rFonts w:cs="Arial"/>
                <w:bCs/>
                <w:color w:val="0000FF"/>
                <w:sz w:val="20"/>
                <w:szCs w:val="20"/>
              </w:rPr>
            </w:pPr>
          </w:p>
        </w:tc>
        <w:bookmarkStart w:id="0" w:name="_GoBack"/>
        <w:bookmarkEnd w:id="0"/>
      </w:tr>
      <w:tr w:rsidR="002B2E87" w:rsidRPr="002B2E87" w14:paraId="356D084F" w14:textId="77777777" w:rsidTr="002B2E87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B30034" w14:textId="1143F2B4" w:rsidR="00E27B52" w:rsidRDefault="00CE056B" w:rsidP="00E27B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Formal</w:t>
            </w:r>
            <w:r w:rsidR="00E27B52">
              <w:rPr>
                <w:rFonts w:cs="Arial"/>
              </w:rPr>
              <w:t xml:space="preserve"> Market Trials are out of scope – approved at </w:t>
            </w:r>
            <w:proofErr w:type="spellStart"/>
            <w:r w:rsidR="00E27B52">
              <w:rPr>
                <w:rFonts w:cs="Arial"/>
              </w:rPr>
              <w:t>ChMC</w:t>
            </w:r>
            <w:proofErr w:type="spellEnd"/>
            <w:r w:rsidR="00E27B52">
              <w:rPr>
                <w:rFonts w:cs="Arial"/>
              </w:rPr>
              <w:t xml:space="preserve"> for November 19</w:t>
            </w:r>
          </w:p>
          <w:p w14:paraId="32E48B94" w14:textId="781B7B71" w:rsidR="00FB2F9A" w:rsidRPr="00636B0A" w:rsidRDefault="00E27B52" w:rsidP="00E27B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changes not specified in the description of section 1</w:t>
            </w:r>
          </w:p>
        </w:tc>
      </w:tr>
      <w:tr w:rsidR="002B2E87" w:rsidRPr="002B2E87" w14:paraId="62FBD337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2B2E87">
        <w:tc>
          <w:tcPr>
            <w:tcW w:w="5000" w:type="pct"/>
            <w:gridSpan w:val="2"/>
            <w:shd w:val="clear" w:color="auto" w:fill="auto"/>
          </w:tcPr>
          <w:p w14:paraId="3C7DD119" w14:textId="3B4F1155" w:rsidR="002B2E87" w:rsidRDefault="00407373" w:rsidP="002B2E87">
            <w:pPr>
              <w:rPr>
                <w:rFonts w:eastAsia="Times New Roman" w:cs="Arial"/>
                <w:b/>
                <w:szCs w:val="16"/>
              </w:rPr>
            </w:pPr>
            <w:r>
              <w:rPr>
                <w:rFonts w:eastAsia="Times New Roman" w:cs="Arial"/>
                <w:b/>
                <w:szCs w:val="16"/>
              </w:rPr>
              <w:t>XRN4725</w:t>
            </w:r>
          </w:p>
          <w:tbl>
            <w:tblPr>
              <w:tblStyle w:val="TableGrid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407373" w:rsidRPr="002B2E87" w14:paraId="0E5E8700" w14:textId="77777777" w:rsidTr="00BF243D">
              <w:tc>
                <w:tcPr>
                  <w:tcW w:w="3161" w:type="dxa"/>
                </w:tcPr>
                <w:p w14:paraId="2651F1DC" w14:textId="77777777" w:rsidR="00407373" w:rsidRPr="002B2E87" w:rsidRDefault="00407373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14:paraId="30B84357" w14:textId="77777777" w:rsidR="00407373" w:rsidRPr="002B2E87" w:rsidRDefault="00407373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14:paraId="27FC1FD9" w14:textId="5173E7EA" w:rsidR="00407373" w:rsidRPr="002B2E87" w:rsidRDefault="00407373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  <w:r w:rsidR="00260F79">
                    <w:rPr>
                      <w:rFonts w:eastAsia="Times New Roman" w:cs="Arial"/>
                      <w:b/>
                      <w:sz w:val="20"/>
                      <w:szCs w:val="16"/>
                    </w:rPr>
                    <w:t xml:space="preserve"> (External)</w:t>
                  </w:r>
                </w:p>
              </w:tc>
            </w:tr>
            <w:tr w:rsidR="00407373" w:rsidRPr="002B2E87" w14:paraId="627700C1" w14:textId="77777777" w:rsidTr="00BF243D">
              <w:tc>
                <w:tcPr>
                  <w:tcW w:w="3161" w:type="dxa"/>
                </w:tcPr>
                <w:p w14:paraId="5B6DC332" w14:textId="77777777" w:rsidR="00407373" w:rsidRPr="002B2E87" w:rsidRDefault="00407373" w:rsidP="00BF24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14:paraId="1CE637D9" w14:textId="42EAE8E8" w:rsidR="00407373" w:rsidRPr="002B2E87" w:rsidRDefault="00260F79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100</w:t>
                  </w:r>
                  <w:r w:rsidR="00407373">
                    <w:rPr>
                      <w:rFonts w:eastAsia="Times New Roman" w:cs="Arial"/>
                      <w:b/>
                      <w:sz w:val="20"/>
                      <w:szCs w:val="16"/>
                    </w:rPr>
                    <w:t>%</w:t>
                  </w:r>
                </w:p>
              </w:tc>
              <w:tc>
                <w:tcPr>
                  <w:tcW w:w="3260" w:type="dxa"/>
                  <w:vAlign w:val="center"/>
                </w:tcPr>
                <w:p w14:paraId="46F93BC6" w14:textId="350EE544" w:rsidR="00407373" w:rsidRPr="002B2E87" w:rsidRDefault="00407373" w:rsidP="00E27B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£</w:t>
                  </w:r>
                  <w:r w:rsidR="00CE056B">
                    <w:rPr>
                      <w:rFonts w:eastAsia="Times New Roman" w:cs="Arial"/>
                      <w:b/>
                      <w:sz w:val="20"/>
                      <w:szCs w:val="16"/>
                    </w:rPr>
                    <w:t>40,510</w:t>
                  </w:r>
                </w:p>
              </w:tc>
            </w:tr>
            <w:tr w:rsidR="00407373" w:rsidRPr="002B2E87" w14:paraId="77940191" w14:textId="77777777" w:rsidTr="00BF243D">
              <w:tc>
                <w:tcPr>
                  <w:tcW w:w="3161" w:type="dxa"/>
                </w:tcPr>
                <w:p w14:paraId="0A64E68D" w14:textId="77777777" w:rsidR="00407373" w:rsidRPr="002B2E87" w:rsidRDefault="00407373" w:rsidP="00BF24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proofErr w:type="spellStart"/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iGT’s</w:t>
                  </w:r>
                  <w:proofErr w:type="spellEnd"/>
                </w:p>
              </w:tc>
              <w:tc>
                <w:tcPr>
                  <w:tcW w:w="3672" w:type="dxa"/>
                  <w:vAlign w:val="center"/>
                </w:tcPr>
                <w:p w14:paraId="5BED5B0E" w14:textId="77777777" w:rsidR="00407373" w:rsidRPr="002B2E87" w:rsidRDefault="00407373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BCB0BE4" w14:textId="77777777" w:rsidR="00407373" w:rsidRPr="002B2E87" w:rsidRDefault="00407373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407373" w:rsidRPr="002B2E87" w14:paraId="437A5FC1" w14:textId="77777777" w:rsidTr="00BF243D">
              <w:tc>
                <w:tcPr>
                  <w:tcW w:w="3161" w:type="dxa"/>
                </w:tcPr>
                <w:p w14:paraId="040D0C6B" w14:textId="77777777" w:rsidR="00407373" w:rsidRPr="002B2E87" w:rsidRDefault="00407373" w:rsidP="00BF24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03A2185A" w14:textId="1D5EBB5E" w:rsidR="00407373" w:rsidRPr="002B2E87" w:rsidRDefault="00407373" w:rsidP="00260F79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C8CE000" w14:textId="725F2135" w:rsidR="00407373" w:rsidRPr="002B2E87" w:rsidRDefault="00407373" w:rsidP="00260F79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407373" w:rsidRPr="002B2E87" w14:paraId="4FF90924" w14:textId="77777777" w:rsidTr="00BF243D">
              <w:tc>
                <w:tcPr>
                  <w:tcW w:w="3161" w:type="dxa"/>
                </w:tcPr>
                <w:p w14:paraId="48B83D6A" w14:textId="77777777" w:rsidR="00407373" w:rsidRPr="002B2E87" w:rsidRDefault="00407373" w:rsidP="00BF24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Transmission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5F18DE3A" w14:textId="77777777" w:rsidR="00407373" w:rsidRPr="002B2E87" w:rsidRDefault="00407373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812454A" w14:textId="77777777" w:rsidR="00407373" w:rsidRPr="002B2E87" w:rsidRDefault="00407373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407373" w:rsidRPr="002B2E87" w14:paraId="16236F45" w14:textId="77777777" w:rsidTr="00BF243D">
              <w:tc>
                <w:tcPr>
                  <w:tcW w:w="3161" w:type="dxa"/>
                </w:tcPr>
                <w:p w14:paraId="1FE07B14" w14:textId="77777777" w:rsidR="00407373" w:rsidRPr="002B2E87" w:rsidRDefault="00407373" w:rsidP="00BF24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 xml:space="preserve">DN &amp; </w:t>
                  </w:r>
                  <w:proofErr w:type="spellStart"/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iGT</w:t>
                  </w:r>
                  <w:proofErr w:type="spellEnd"/>
                </w:p>
              </w:tc>
              <w:tc>
                <w:tcPr>
                  <w:tcW w:w="3672" w:type="dxa"/>
                  <w:vAlign w:val="center"/>
                </w:tcPr>
                <w:p w14:paraId="01DE6F4F" w14:textId="77777777" w:rsidR="00407373" w:rsidRPr="002B2E87" w:rsidRDefault="00407373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D60D049" w14:textId="77777777" w:rsidR="00407373" w:rsidRPr="002B2E87" w:rsidRDefault="00407373" w:rsidP="00BF24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407373" w:rsidRPr="002B2E87" w14:paraId="27613571" w14:textId="77777777" w:rsidTr="00260F79">
              <w:trPr>
                <w:trHeight w:val="242"/>
              </w:trPr>
              <w:tc>
                <w:tcPr>
                  <w:tcW w:w="3161" w:type="dxa"/>
                </w:tcPr>
                <w:p w14:paraId="46BD429A" w14:textId="2C01C6DD" w:rsidR="00407373" w:rsidRPr="002B2E87" w:rsidRDefault="00407373" w:rsidP="00407373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3672" w:type="dxa"/>
                  <w:vAlign w:val="center"/>
                </w:tcPr>
                <w:p w14:paraId="65B0DFFD" w14:textId="77777777" w:rsidR="00407373" w:rsidRPr="002B2E87" w:rsidRDefault="00407373" w:rsidP="00407373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835EA0F" w14:textId="0EB09252" w:rsidR="00407373" w:rsidRPr="002B2E87" w:rsidRDefault="00407373" w:rsidP="00E27B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£</w:t>
                  </w:r>
                  <w:r w:rsidR="00CE056B">
                    <w:rPr>
                      <w:rFonts w:eastAsia="Times New Roman" w:cs="Arial"/>
                      <w:b/>
                      <w:sz w:val="20"/>
                      <w:szCs w:val="16"/>
                    </w:rPr>
                    <w:t>40,510</w:t>
                  </w:r>
                </w:p>
              </w:tc>
            </w:tr>
          </w:tbl>
          <w:p w14:paraId="69F9EE75" w14:textId="639D638D" w:rsidR="00260F79" w:rsidRPr="004A577E" w:rsidRDefault="00260F79" w:rsidP="00260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="Arial"/>
                <w:i/>
                <w:szCs w:val="16"/>
              </w:rPr>
            </w:pPr>
            <w:r w:rsidRPr="004A577E">
              <w:rPr>
                <w:rFonts w:cs="Arial"/>
                <w:i/>
                <w:szCs w:val="16"/>
              </w:rPr>
              <w:lastRenderedPageBreak/>
              <w:t xml:space="preserve">Total external costs of the </w:t>
            </w:r>
            <w:r w:rsidR="00CE056B">
              <w:rPr>
                <w:rFonts w:cs="Arial"/>
                <w:i/>
                <w:szCs w:val="16"/>
              </w:rPr>
              <w:t>XRN4866 change</w:t>
            </w:r>
            <w:r w:rsidRPr="004A577E">
              <w:rPr>
                <w:rFonts w:cs="Arial"/>
                <w:i/>
                <w:szCs w:val="16"/>
              </w:rPr>
              <w:t xml:space="preserve">: </w:t>
            </w:r>
            <w:r w:rsidRPr="00CE056B">
              <w:rPr>
                <w:rFonts w:cs="Arial"/>
                <w:i/>
                <w:color w:val="000000" w:themeColor="text1"/>
                <w:szCs w:val="16"/>
              </w:rPr>
              <w:t>£</w:t>
            </w:r>
            <w:r w:rsidR="00CE056B" w:rsidRPr="00CE056B">
              <w:rPr>
                <w:rFonts w:cs="Arial"/>
                <w:i/>
                <w:color w:val="000000" w:themeColor="text1"/>
                <w:szCs w:val="16"/>
              </w:rPr>
              <w:t>40,510</w:t>
            </w:r>
          </w:p>
          <w:p w14:paraId="3F98C6C3" w14:textId="77777777" w:rsidR="00407373" w:rsidRDefault="00407373" w:rsidP="00CE056B">
            <w:pPr>
              <w:rPr>
                <w:rFonts w:eastAsia="Times New Roman" w:cs="Arial"/>
                <w:b/>
                <w:szCs w:val="16"/>
              </w:rPr>
            </w:pPr>
          </w:p>
          <w:p w14:paraId="2F5BCCF3" w14:textId="77777777" w:rsidR="00CE056B" w:rsidRPr="00CE056B" w:rsidRDefault="00CE056B" w:rsidP="00CE056B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6755CD90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002B2E87">
        <w:tc>
          <w:tcPr>
            <w:tcW w:w="5000" w:type="pct"/>
            <w:gridSpan w:val="2"/>
            <w:shd w:val="clear" w:color="auto" w:fill="auto"/>
          </w:tcPr>
          <w:p w14:paraId="61BC0B1E" w14:textId="4AC8F39D" w:rsidR="002B2E87" w:rsidRPr="00A107AC" w:rsidRDefault="00A107AC" w:rsidP="002B2E87">
            <w:pPr>
              <w:contextualSpacing/>
              <w:rPr>
                <w:rFonts w:eastAsia="Times New Roman" w:cs="Arial"/>
                <w:sz w:val="20"/>
              </w:rPr>
            </w:pPr>
            <w:r w:rsidRPr="00A107AC">
              <w:rPr>
                <w:rFonts w:eastAsia="Times New Roman" w:cs="Arial"/>
                <w:sz w:val="20"/>
              </w:rPr>
              <w:t>N/A</w:t>
            </w:r>
          </w:p>
          <w:tbl>
            <w:tblPr>
              <w:tblStyle w:val="TableGrid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2B2E87" w:rsidRPr="002B2E87" w14:paraId="12B087A9" w14:textId="77777777" w:rsidTr="002B2E87">
              <w:tc>
                <w:tcPr>
                  <w:tcW w:w="3161" w:type="dxa"/>
                </w:tcPr>
                <w:p w14:paraId="060356C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3672" w:type="dxa"/>
                </w:tcPr>
                <w:p w14:paraId="4924610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3260" w:type="dxa"/>
                </w:tcPr>
                <w:p w14:paraId="13AA98B1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</w:tr>
            <w:tr w:rsidR="002B2E87" w:rsidRPr="002B2E87" w14:paraId="33FDEAE9" w14:textId="77777777" w:rsidTr="002B2E87">
              <w:tc>
                <w:tcPr>
                  <w:tcW w:w="3161" w:type="dxa"/>
                  <w:vAlign w:val="center"/>
                </w:tcPr>
                <w:p w14:paraId="19510B34" w14:textId="66CE01FD" w:rsidR="002B2E87" w:rsidRPr="00260F79" w:rsidRDefault="00260F79" w:rsidP="002B2E87">
                  <w:pPr>
                    <w:jc w:val="center"/>
                    <w:rPr>
                      <w:rFonts w:eastAsia="Times New Roman" w:cs="Arial"/>
                      <w:i/>
                      <w:sz w:val="20"/>
                    </w:rPr>
                  </w:pPr>
                  <w:r w:rsidRPr="00260F79">
                    <w:rPr>
                      <w:rFonts w:eastAsia="Times New Roman" w:cs="Arial"/>
                      <w:i/>
                      <w:sz w:val="20"/>
                    </w:rPr>
                    <w:t>N/A</w:t>
                  </w:r>
                </w:p>
              </w:tc>
              <w:tc>
                <w:tcPr>
                  <w:tcW w:w="3672" w:type="dxa"/>
                  <w:vAlign w:val="center"/>
                </w:tcPr>
                <w:p w14:paraId="55279531" w14:textId="082F3F2C" w:rsidR="002B2E87" w:rsidRPr="00260F79" w:rsidRDefault="00260F79" w:rsidP="002B2E87">
                  <w:pPr>
                    <w:jc w:val="center"/>
                    <w:rPr>
                      <w:rFonts w:eastAsia="Times New Roman" w:cs="Arial"/>
                      <w:i/>
                      <w:sz w:val="20"/>
                    </w:rPr>
                  </w:pPr>
                  <w:r w:rsidRPr="00260F79">
                    <w:rPr>
                      <w:rFonts w:eastAsia="Times New Roman" w:cs="Arial"/>
                      <w:i/>
                      <w:sz w:val="20"/>
                    </w:rPr>
                    <w:t>N/A</w:t>
                  </w:r>
                </w:p>
              </w:tc>
              <w:tc>
                <w:tcPr>
                  <w:tcW w:w="3260" w:type="dxa"/>
                  <w:vAlign w:val="center"/>
                </w:tcPr>
                <w:p w14:paraId="6A9367B1" w14:textId="179742EB" w:rsidR="002B2E87" w:rsidRPr="00260F79" w:rsidRDefault="00260F79" w:rsidP="002B2E87">
                  <w:pPr>
                    <w:jc w:val="center"/>
                    <w:rPr>
                      <w:rFonts w:eastAsia="Times New Roman" w:cs="Arial"/>
                      <w:i/>
                      <w:sz w:val="20"/>
                    </w:rPr>
                  </w:pPr>
                  <w:r w:rsidRPr="00260F79">
                    <w:rPr>
                      <w:rFonts w:eastAsia="Times New Roman" w:cs="Arial"/>
                      <w:i/>
                      <w:sz w:val="20"/>
                    </w:rPr>
                    <w:t>N/A</w:t>
                  </w:r>
                </w:p>
              </w:tc>
            </w:tr>
          </w:tbl>
          <w:p w14:paraId="3F8CEF3F" w14:textId="3A454C84" w:rsidR="009D63E3" w:rsidRDefault="009D63E3" w:rsidP="009D63E3">
            <w:pPr>
              <w:rPr>
                <w:rFonts w:cs="Arial"/>
                <w:b/>
                <w:i/>
                <w:szCs w:val="20"/>
              </w:rPr>
            </w:pPr>
            <w:r w:rsidRPr="009D63E3">
              <w:rPr>
                <w:rFonts w:cs="Arial"/>
                <w:b/>
                <w:i/>
                <w:szCs w:val="20"/>
              </w:rPr>
              <w:t>Customer Benefits</w:t>
            </w:r>
            <w:r w:rsidR="00F267BB">
              <w:rPr>
                <w:rFonts w:cs="Arial"/>
                <w:b/>
                <w:i/>
                <w:szCs w:val="20"/>
              </w:rPr>
              <w:t>:</w:t>
            </w:r>
          </w:p>
          <w:p w14:paraId="28FCA60F" w14:textId="77777777" w:rsidR="002537EA" w:rsidRPr="009D63E3" w:rsidRDefault="002537EA" w:rsidP="009D63E3">
            <w:pPr>
              <w:rPr>
                <w:rFonts w:cs="Arial"/>
                <w:b/>
                <w:i/>
                <w:szCs w:val="20"/>
              </w:rPr>
            </w:pPr>
          </w:p>
          <w:p w14:paraId="24473DE9" w14:textId="77777777" w:rsidR="002537EA" w:rsidRDefault="002537EA" w:rsidP="002537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16"/>
              </w:rPr>
            </w:pPr>
            <w:r w:rsidRPr="002B74CF">
              <w:rPr>
                <w:rFonts w:cs="Arial"/>
                <w:szCs w:val="16"/>
              </w:rPr>
              <w:t>Will ensure that the reads submitted by the relevant organisation are accepted and loaded into UK Link</w:t>
            </w:r>
          </w:p>
          <w:p w14:paraId="5C1EE9D0" w14:textId="7F7B4A96" w:rsidR="002537EA" w:rsidRPr="002B74CF" w:rsidRDefault="002537EA" w:rsidP="002537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16"/>
              </w:rPr>
            </w:pPr>
            <w:r w:rsidRPr="002B74CF">
              <w:rPr>
                <w:rFonts w:cs="Arial"/>
                <w:szCs w:val="16"/>
              </w:rPr>
              <w:t xml:space="preserve">Will </w:t>
            </w:r>
            <w:r>
              <w:rPr>
                <w:rFonts w:cs="Arial"/>
                <w:szCs w:val="16"/>
              </w:rPr>
              <w:t xml:space="preserve">in turn </w:t>
            </w:r>
            <w:r w:rsidRPr="002B74CF">
              <w:rPr>
                <w:rFonts w:cs="Arial"/>
                <w:szCs w:val="16"/>
              </w:rPr>
              <w:t>result in true consumption being billed and reads being used to allow the rolling AQ calculation to take place</w:t>
            </w:r>
          </w:p>
          <w:p w14:paraId="6F8E01C7" w14:textId="4615B2CD" w:rsidR="002537EA" w:rsidRPr="002B2E87" w:rsidRDefault="002537EA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002B2E87">
        <w:tc>
          <w:tcPr>
            <w:tcW w:w="5000" w:type="pct"/>
            <w:gridSpan w:val="2"/>
            <w:shd w:val="clear" w:color="auto" w:fill="auto"/>
          </w:tcPr>
          <w:p w14:paraId="2D7E985B" w14:textId="77777777" w:rsid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</w:p>
          <w:p w14:paraId="07E00487" w14:textId="68C388A8" w:rsidR="00CE056B" w:rsidRPr="00CE056B" w:rsidRDefault="00CE056B" w:rsidP="00CE056B">
            <w:pPr>
              <w:rPr>
                <w:rFonts w:eastAsia="Times New Roman" w:cs="Arial"/>
                <w:sz w:val="20"/>
                <w:szCs w:val="16"/>
              </w:rPr>
            </w:pPr>
            <w:r w:rsidRPr="00CE056B">
              <w:rPr>
                <w:rFonts w:eastAsia="Times New Roman" w:cs="Arial"/>
                <w:sz w:val="20"/>
                <w:szCs w:val="16"/>
              </w:rPr>
              <w:t>The project plan will be in line with the delivery plan for November 19 (attached below)</w:t>
            </w:r>
          </w:p>
          <w:p w14:paraId="381A6C8F" w14:textId="77777777" w:rsidR="00CE056B" w:rsidRDefault="00CE056B" w:rsidP="00B64E4A">
            <w:pPr>
              <w:jc w:val="center"/>
              <w:rPr>
                <w:rFonts w:eastAsia="Times New Roman" w:cs="Arial"/>
                <w:b/>
                <w:sz w:val="20"/>
                <w:szCs w:val="16"/>
              </w:rPr>
            </w:pPr>
          </w:p>
          <w:p w14:paraId="298A48C4" w14:textId="77777777" w:rsidR="00B64E4A" w:rsidRDefault="00EF6455" w:rsidP="00B64E4A">
            <w:pPr>
              <w:jc w:val="center"/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object w:dxaOrig="1551" w:dyaOrig="1004" w14:anchorId="39165F9F">
                <v:shape id="_x0000_i1026" type="#_x0000_t75" style="width:77.45pt;height:50.25pt" o:ole="">
                  <v:imagedata r:id="rId14" o:title=""/>
                </v:shape>
                <o:OLEObject Type="Embed" ProgID="PowerPoint.Show.12" ShapeID="_x0000_i1026" DrawAspect="Icon" ObjectID="_1620733801" r:id="rId15"/>
              </w:object>
            </w:r>
          </w:p>
          <w:p w14:paraId="08BB6042" w14:textId="58D975D5" w:rsidR="00EF6455" w:rsidRPr="002B2E87" w:rsidRDefault="00EF6455" w:rsidP="00B64E4A">
            <w:pPr>
              <w:jc w:val="center"/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2B2E87" w:rsidRPr="002B2E87" w14:paraId="324B2E3C" w14:textId="77777777" w:rsidTr="002B2E87">
        <w:tc>
          <w:tcPr>
            <w:tcW w:w="5000" w:type="pct"/>
            <w:gridSpan w:val="2"/>
            <w:shd w:val="clear" w:color="auto" w:fill="auto"/>
          </w:tcPr>
          <w:p w14:paraId="121651D5" w14:textId="2FF1115D" w:rsidR="00373D5C" w:rsidRPr="00373D5C" w:rsidRDefault="00F5457A" w:rsidP="00373D5C">
            <w:pPr>
              <w:rPr>
                <w:rFonts w:cs="Arial"/>
                <w:i/>
                <w:sz w:val="20"/>
                <w:szCs w:val="20"/>
              </w:rPr>
            </w:pPr>
            <w:r w:rsidRPr="00373D5C">
              <w:rPr>
                <w:rFonts w:cs="Arial"/>
                <w:b/>
                <w:i/>
                <w:sz w:val="20"/>
                <w:szCs w:val="20"/>
              </w:rPr>
              <w:t>Risks</w:t>
            </w:r>
            <w:r w:rsidR="00373D5C" w:rsidRPr="00373D5C">
              <w:rPr>
                <w:rFonts w:cs="Arial"/>
                <w:b/>
                <w:i/>
                <w:sz w:val="20"/>
                <w:szCs w:val="20"/>
              </w:rPr>
              <w:t>:</w:t>
            </w:r>
            <w:r w:rsidRPr="00373D5C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  <w:p w14:paraId="39A79A03" w14:textId="77777777" w:rsidR="00373D5C" w:rsidRPr="00373D5C" w:rsidRDefault="00373D5C" w:rsidP="00373D5C">
            <w:pPr>
              <w:pStyle w:val="ListParagraph"/>
              <w:spacing w:after="0" w:line="240" w:lineRule="auto"/>
              <w:rPr>
                <w:rFonts w:cs="Arial"/>
                <w:i/>
                <w:szCs w:val="20"/>
              </w:rPr>
            </w:pPr>
          </w:p>
          <w:p w14:paraId="01F6FA5A" w14:textId="37013BEE" w:rsidR="00373D5C" w:rsidRPr="00373D5C" w:rsidRDefault="00F5457A" w:rsidP="00373D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Cs w:val="20"/>
              </w:rPr>
            </w:pPr>
            <w:r w:rsidRPr="00373D5C">
              <w:rPr>
                <w:rFonts w:cs="Arial"/>
                <w:szCs w:val="20"/>
              </w:rPr>
              <w:t>There is a risk of increased project spend should unforeseen issues occur which result in additional work, rework or delays to the project schedule</w:t>
            </w:r>
          </w:p>
          <w:p w14:paraId="3DF9A63F" w14:textId="25B25939" w:rsidR="00373D5C" w:rsidRPr="00373D5C" w:rsidRDefault="00373D5C" w:rsidP="00373D5C">
            <w:pPr>
              <w:pStyle w:val="NGTHeading3"/>
              <w:numPr>
                <w:ilvl w:val="0"/>
                <w:numId w:val="5"/>
              </w:numPr>
              <w:spacing w:line="240" w:lineRule="auto"/>
              <w:rPr>
                <w:szCs w:val="20"/>
                <w:lang w:val="en-US"/>
              </w:rPr>
            </w:pPr>
            <w:r w:rsidRPr="00373D5C">
              <w:rPr>
                <w:szCs w:val="20"/>
                <w:lang w:val="en-US"/>
              </w:rPr>
              <w:t xml:space="preserve">There is a risk that the </w:t>
            </w:r>
            <w:r w:rsidR="002537EA">
              <w:rPr>
                <w:szCs w:val="20"/>
                <w:lang w:val="en-US"/>
              </w:rPr>
              <w:t>XRN4866</w:t>
            </w:r>
            <w:r w:rsidRPr="00373D5C">
              <w:rPr>
                <w:szCs w:val="20"/>
                <w:lang w:val="en-US"/>
              </w:rPr>
              <w:t xml:space="preserve"> may be impacted by Pre-Production environment congestion due to multiple deliveries running in parallel</w:t>
            </w:r>
            <w:r>
              <w:rPr>
                <w:szCs w:val="20"/>
                <w:lang w:val="en-US"/>
              </w:rPr>
              <w:t xml:space="preserve"> (June 19, EUC, GB Charging</w:t>
            </w:r>
            <w:r w:rsidR="002537EA">
              <w:rPr>
                <w:szCs w:val="20"/>
                <w:lang w:val="en-US"/>
              </w:rPr>
              <w:t>, Nov 19</w:t>
            </w:r>
            <w:r>
              <w:rPr>
                <w:szCs w:val="20"/>
                <w:lang w:val="en-US"/>
              </w:rPr>
              <w:t>)</w:t>
            </w:r>
          </w:p>
          <w:p w14:paraId="05EEB966" w14:textId="3AB3E209" w:rsidR="002B2E87" w:rsidRPr="002B2E87" w:rsidRDefault="002B2E87" w:rsidP="002537EA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szCs w:val="16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7ECDA576" w14:textId="77777777" w:rsidR="002B2E87" w:rsidRPr="002B2E87" w:rsidRDefault="002B2E87" w:rsidP="002B2E87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6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473335F4" w14:textId="77777777" w:rsidR="002B2E87" w:rsidRDefault="002B2E87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27B52" w:rsidRPr="002B2E87" w14:paraId="4BA4A705" w14:textId="77777777" w:rsidTr="002B2E87">
        <w:tc>
          <w:tcPr>
            <w:tcW w:w="902" w:type="pct"/>
          </w:tcPr>
          <w:p w14:paraId="35EF9599" w14:textId="099B0F16" w:rsidR="00E27B52" w:rsidRPr="002B2E87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434AE054" w14:textId="67E80B3A" w:rsidR="00E27B52" w:rsidRPr="002B2E87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 for review</w:t>
            </w:r>
          </w:p>
        </w:tc>
        <w:tc>
          <w:tcPr>
            <w:tcW w:w="556" w:type="pct"/>
          </w:tcPr>
          <w:p w14:paraId="2A8CD6E0" w14:textId="442F635F" w:rsidR="00E27B52" w:rsidRPr="002B2E87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22/05/19</w:t>
            </w:r>
          </w:p>
        </w:tc>
        <w:tc>
          <w:tcPr>
            <w:tcW w:w="763" w:type="pct"/>
          </w:tcPr>
          <w:p w14:paraId="781C197A" w14:textId="58D20646" w:rsidR="00E27B52" w:rsidRPr="002B2E87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Laura Chambers</w:t>
            </w:r>
          </w:p>
        </w:tc>
        <w:tc>
          <w:tcPr>
            <w:tcW w:w="1944" w:type="pct"/>
          </w:tcPr>
          <w:p w14:paraId="690A4FCF" w14:textId="329EEDE6" w:rsidR="00E27B52" w:rsidRPr="002B2E87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</w:p>
        </w:tc>
      </w:tr>
      <w:tr w:rsidR="00E27B52" w:rsidRPr="002B2E87" w14:paraId="12FFCC0E" w14:textId="77777777" w:rsidTr="002B2E87">
        <w:tc>
          <w:tcPr>
            <w:tcW w:w="902" w:type="pct"/>
          </w:tcPr>
          <w:p w14:paraId="1CC3BE9D" w14:textId="1090EE5E" w:rsidR="00E27B52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35" w:type="pct"/>
          </w:tcPr>
          <w:p w14:paraId="1C7452DF" w14:textId="3AC19B2B" w:rsidR="00E27B52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Issued for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ChMC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review</w:t>
            </w:r>
          </w:p>
        </w:tc>
        <w:tc>
          <w:tcPr>
            <w:tcW w:w="556" w:type="pct"/>
          </w:tcPr>
          <w:p w14:paraId="359BF394" w14:textId="306A906C" w:rsidR="00E27B52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3ADC41F1" w14:textId="033343DF" w:rsidR="00E27B52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2EDA97D6" w14:textId="2E3E74BD" w:rsidR="00E27B52" w:rsidRDefault="00E27B5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Issued</w:t>
            </w: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15/06/18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77777777" w:rsidR="002B2E87" w:rsidRPr="00E52009" w:rsidRDefault="002B2E87" w:rsidP="002B2E87">
            <w:pPr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Document approved at CHMC External Workgroup</w:t>
            </w:r>
          </w:p>
        </w:tc>
      </w:tr>
      <w:tr w:rsidR="002B2E87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37D08A89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2AB5D8EC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1FE83B64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B3B3463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28B38E32" w14:textId="2DA5CD4E" w:rsidR="002B2E87" w:rsidRPr="002B2E87" w:rsidRDefault="00E52009" w:rsidP="002B2E87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3E175A51" w14:textId="0ED2FBBB" w:rsidR="00D66C7E" w:rsidRPr="00D66C7E" w:rsidRDefault="00D66C7E" w:rsidP="00D66C7E"/>
    <w:sectPr w:rsidR="00D66C7E" w:rsidRPr="00D66C7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729E" w14:textId="77777777" w:rsidR="00232199" w:rsidRDefault="00232199" w:rsidP="00324744">
      <w:pPr>
        <w:spacing w:after="0" w:line="240" w:lineRule="auto"/>
      </w:pPr>
      <w:r>
        <w:separator/>
      </w:r>
    </w:p>
  </w:endnote>
  <w:endnote w:type="continuationSeparator" w:id="0">
    <w:p w14:paraId="2E9C5E91" w14:textId="77777777" w:rsidR="00232199" w:rsidRDefault="00232199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5A75" w14:textId="77777777" w:rsidR="002B2E87" w:rsidRDefault="002B2E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A48D" w14:textId="77777777" w:rsidR="00232199" w:rsidRDefault="00232199" w:rsidP="00324744">
      <w:pPr>
        <w:spacing w:after="0" w:line="240" w:lineRule="auto"/>
      </w:pPr>
      <w:r>
        <w:separator/>
      </w:r>
    </w:p>
  </w:footnote>
  <w:footnote w:type="continuationSeparator" w:id="0">
    <w:p w14:paraId="3437A1A2" w14:textId="77777777" w:rsidR="00232199" w:rsidRDefault="00232199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5A74" w14:textId="77777777" w:rsidR="002B2E87" w:rsidRDefault="002B2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3467D7"/>
    <w:multiLevelType w:val="hybridMultilevel"/>
    <w:tmpl w:val="1E0E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C03659"/>
    <w:multiLevelType w:val="hybridMultilevel"/>
    <w:tmpl w:val="4FCA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B"/>
    <w:rsid w:val="0000140B"/>
    <w:rsid w:val="000201D5"/>
    <w:rsid w:val="0003136C"/>
    <w:rsid w:val="00071EE5"/>
    <w:rsid w:val="000A1AD1"/>
    <w:rsid w:val="00125B61"/>
    <w:rsid w:val="00144E00"/>
    <w:rsid w:val="00183A53"/>
    <w:rsid w:val="00193F34"/>
    <w:rsid w:val="00203FBC"/>
    <w:rsid w:val="00226D34"/>
    <w:rsid w:val="00232199"/>
    <w:rsid w:val="002537EA"/>
    <w:rsid w:val="00260F79"/>
    <w:rsid w:val="00290C3C"/>
    <w:rsid w:val="00291A42"/>
    <w:rsid w:val="002B2E87"/>
    <w:rsid w:val="00324744"/>
    <w:rsid w:val="0032604C"/>
    <w:rsid w:val="00372AF4"/>
    <w:rsid w:val="00373D5C"/>
    <w:rsid w:val="003A7A07"/>
    <w:rsid w:val="00407373"/>
    <w:rsid w:val="00426807"/>
    <w:rsid w:val="004441E3"/>
    <w:rsid w:val="004B16E0"/>
    <w:rsid w:val="004F3362"/>
    <w:rsid w:val="00517F6F"/>
    <w:rsid w:val="00525557"/>
    <w:rsid w:val="0055298E"/>
    <w:rsid w:val="00554A0E"/>
    <w:rsid w:val="005864A5"/>
    <w:rsid w:val="0063343D"/>
    <w:rsid w:val="00636B0A"/>
    <w:rsid w:val="00661CAD"/>
    <w:rsid w:val="006C7029"/>
    <w:rsid w:val="006D5D08"/>
    <w:rsid w:val="00712B49"/>
    <w:rsid w:val="007172CE"/>
    <w:rsid w:val="007243D3"/>
    <w:rsid w:val="007426F4"/>
    <w:rsid w:val="007A56DB"/>
    <w:rsid w:val="007D4F26"/>
    <w:rsid w:val="00827695"/>
    <w:rsid w:val="00865076"/>
    <w:rsid w:val="008A55AB"/>
    <w:rsid w:val="009436FD"/>
    <w:rsid w:val="009D63E3"/>
    <w:rsid w:val="009E1C52"/>
    <w:rsid w:val="00A107AC"/>
    <w:rsid w:val="00A338AC"/>
    <w:rsid w:val="00AB5B54"/>
    <w:rsid w:val="00AB63DE"/>
    <w:rsid w:val="00AC53A8"/>
    <w:rsid w:val="00B02E70"/>
    <w:rsid w:val="00B03E33"/>
    <w:rsid w:val="00B64E4A"/>
    <w:rsid w:val="00B957D3"/>
    <w:rsid w:val="00BD0A45"/>
    <w:rsid w:val="00C57A0A"/>
    <w:rsid w:val="00C71D7B"/>
    <w:rsid w:val="00CD69CD"/>
    <w:rsid w:val="00CE056B"/>
    <w:rsid w:val="00D66C7E"/>
    <w:rsid w:val="00D761C5"/>
    <w:rsid w:val="00DB2804"/>
    <w:rsid w:val="00DD5C08"/>
    <w:rsid w:val="00DD70AB"/>
    <w:rsid w:val="00DF7F79"/>
    <w:rsid w:val="00E27B52"/>
    <w:rsid w:val="00E52009"/>
    <w:rsid w:val="00EF6455"/>
    <w:rsid w:val="00F267BB"/>
    <w:rsid w:val="00F5457A"/>
    <w:rsid w:val="00F6186F"/>
    <w:rsid w:val="00F852B3"/>
    <w:rsid w:val="00F95876"/>
    <w:rsid w:val="00F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5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ox.xoserve.portfoliooffice@xoser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package" Target="embeddings/Microsoft_PowerPoint_Presentation1.ppt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240e5a-c227-4db8-9df0-10d17ea1e1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40359E3D52C41B0FF590AFBCC648D" ma:contentTypeVersion="3" ma:contentTypeDescription="Create a new document." ma:contentTypeScope="" ma:versionID="7eb8b2abf6b26d31f4a2f380e610e6cc">
  <xsd:schema xmlns:xsd="http://www.w3.org/2001/XMLSchema" xmlns:xs="http://www.w3.org/2001/XMLSchema" xmlns:p="http://schemas.microsoft.com/office/2006/metadata/properties" xmlns:ns2="d5240e5a-c227-4db8-9df0-10d17ea1e1aa" targetNamespace="http://schemas.microsoft.com/office/2006/metadata/properties" ma:root="true" ma:fieldsID="e5a833e29ecbe7ea4023c42370eeaed8" ns2:_="">
    <xsd:import namespace="d5240e5a-c227-4db8-9df0-10d17ea1e1aa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0e5a-c227-4db8-9df0-10d17ea1e1a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scription="Document Status" ma:format="Dropdown" ma:indexed="true" ma:internalName="Status">
      <xsd:simpleType>
        <xsd:restriction base="dms:Choice">
          <xsd:enumeration value="n/a"/>
          <xsd:enumeration value="Draft in progress"/>
          <xsd:enumeration value="Draft complete"/>
          <xsd:enumeration value="In rework"/>
          <xsd:enumeration value="Issued for approval"/>
          <xsd:enumeration value="Approv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d5240e5a-c227-4db8-9df0-10d17ea1e1aa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972F1-F209-492C-9B5B-A19DA57A1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40e5a-c227-4db8-9df0-10d17ea1e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4</cp:revision>
  <dcterms:created xsi:type="dcterms:W3CDTF">2019-05-30T10:37:00Z</dcterms:created>
  <dcterms:modified xsi:type="dcterms:W3CDTF">2019-05-30T14:03:00Z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0x01010070440359E3D52C41B0FF590AFBCC648D</vt:lpwstr>
  </property>
  <property fmtid="{D5CDD505-2E9C-101B-9397-08002B2CF9AE}" pid="3" name="_AdHocReviewCycleID">
    <vt:i4>-2095959099</vt:i4>
  </property>
  <property fmtid="{D5CDD505-2E9C-101B-9397-08002B2CF9AE}" pid="4" name="_NewReviewCycle">
    <vt:lpwstr/>
  </property>
  <property fmtid="{D5CDD505-2E9C-101B-9397-08002B2CF9AE}" pid="5" name="_EmailSubject">
    <vt:lpwstr>ChMC November 19 Dashboard and BER for XRN4866</vt:lpwstr>
  </property>
  <property fmtid="{D5CDD505-2E9C-101B-9397-08002B2CF9AE}" pid="6" name="_AuthorEmail">
    <vt:lpwstr>thomas.lineham@xoserve.com</vt:lpwstr>
  </property>
  <property fmtid="{D5CDD505-2E9C-101B-9397-08002B2CF9AE}" pid="7" name="_AuthorEmailDisplayName">
    <vt:lpwstr>Lineham, Tom</vt:lpwstr>
  </property>
  <property fmtid="{D5CDD505-2E9C-101B-9397-08002B2CF9AE}" pid="8" name="_PreviousAdHocReviewCycleID">
    <vt:i4>1262076375</vt:i4>
  </property>
</Properties>
</file>