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hAnsi="Arial" w:cs="Arial"/>
          <w:sz w:val="20"/>
          <w:szCs w:val="20"/>
          <w:u w:val="single"/>
        </w:rPr>
      </w:pPr>
      <w:r>
        <w:rPr>
          <w:rFonts w:ascii="Arial" w:hAnsi="Arial" w:cs="Arial"/>
          <w:sz w:val="20"/>
          <w:szCs w:val="20"/>
          <w:u w:val="single"/>
        </w:rPr>
        <w:t>9 April 2019</w:t>
      </w:r>
    </w:p>
    <w:p>
      <w:pPr>
        <w:jc w:val="center"/>
        <w:rPr>
          <w:rFonts w:ascii="Arial" w:hAnsi="Arial" w:cs="Arial"/>
          <w:b/>
          <w:sz w:val="20"/>
          <w:szCs w:val="20"/>
        </w:rPr>
      </w:pPr>
      <w:r>
        <w:rPr>
          <w:rFonts w:ascii="Arial" w:hAnsi="Arial" w:cs="Arial"/>
          <w:b/>
          <w:sz w:val="20"/>
          <w:szCs w:val="20"/>
        </w:rPr>
        <w:t>UNIFORM NETWORK CODE (UNC) LEGAL DRAFTING FOR REC/CSS PROJECT</w:t>
      </w:r>
    </w:p>
    <w:p>
      <w:pPr>
        <w:jc w:val="center"/>
        <w:rPr>
          <w:rFonts w:ascii="Arial" w:hAnsi="Arial" w:cs="Arial"/>
          <w:b/>
          <w:sz w:val="20"/>
          <w:szCs w:val="20"/>
        </w:rPr>
      </w:pPr>
      <w:r>
        <w:rPr>
          <w:rFonts w:ascii="Arial" w:hAnsi="Arial" w:cs="Arial"/>
          <w:b/>
          <w:sz w:val="20"/>
          <w:szCs w:val="20"/>
        </w:rPr>
        <w:t>EXPLANATORY NOTE</w:t>
      </w:r>
    </w:p>
    <w:p>
      <w:pPr>
        <w:ind w:left="720" w:hanging="720"/>
        <w:rPr>
          <w:rFonts w:ascii="Arial" w:hAnsi="Arial" w:cs="Arial"/>
          <w:b/>
          <w:sz w:val="20"/>
          <w:szCs w:val="20"/>
        </w:rPr>
      </w:pPr>
      <w:r>
        <w:rPr>
          <w:rFonts w:ascii="Arial" w:hAnsi="Arial" w:cs="Arial"/>
          <w:b/>
          <w:sz w:val="20"/>
          <w:szCs w:val="20"/>
        </w:rPr>
        <w:t>1</w:t>
      </w:r>
      <w:r>
        <w:rPr>
          <w:rFonts w:ascii="Arial" w:hAnsi="Arial" w:cs="Arial"/>
          <w:b/>
          <w:sz w:val="20"/>
          <w:szCs w:val="20"/>
        </w:rPr>
        <w:tab/>
        <w:t>Proposed Legal Text</w:t>
      </w:r>
    </w:p>
    <w:p>
      <w:pPr>
        <w:ind w:left="720" w:hanging="720"/>
        <w:rPr>
          <w:rFonts w:ascii="Arial" w:hAnsi="Arial" w:cs="Arial"/>
          <w:sz w:val="20"/>
          <w:szCs w:val="20"/>
        </w:rPr>
      </w:pPr>
      <w:r>
        <w:rPr>
          <w:rFonts w:ascii="Arial" w:hAnsi="Arial" w:cs="Arial"/>
          <w:sz w:val="20"/>
          <w:szCs w:val="20"/>
        </w:rPr>
        <w:t>1.1</w:t>
      </w:r>
      <w:r>
        <w:rPr>
          <w:rFonts w:ascii="Arial" w:hAnsi="Arial" w:cs="Arial"/>
          <w:sz w:val="20"/>
          <w:szCs w:val="20"/>
        </w:rPr>
        <w:tab/>
        <w:t>The legal text changes to the UNC are contained in a series of documents which show changes against the current  version of the UNC (and for further detail see paragraph 4).</w:t>
      </w:r>
    </w:p>
    <w:p>
      <w:pPr>
        <w:ind w:left="720" w:hanging="720"/>
        <w:rPr>
          <w:rFonts w:ascii="Arial" w:hAnsi="Arial" w:cs="Arial"/>
          <w:sz w:val="20"/>
          <w:szCs w:val="20"/>
        </w:rPr>
      </w:pPr>
      <w:r>
        <w:rPr>
          <w:rFonts w:ascii="Arial" w:hAnsi="Arial" w:cs="Arial"/>
          <w:sz w:val="20"/>
          <w:szCs w:val="20"/>
        </w:rPr>
        <w:t>1.2</w:t>
      </w:r>
      <w:r>
        <w:rPr>
          <w:rFonts w:ascii="Arial" w:hAnsi="Arial" w:cs="Arial"/>
          <w:sz w:val="20"/>
          <w:szCs w:val="20"/>
        </w:rPr>
        <w:tab/>
        <w:t>The most significant changes are found in TPD Section G which now includes generic rules relating to the registration of Supply Points which apply to both CSS Supply Points and Non-CSS Supply Points as well as specific rules relating to (i) CSS Supply Points (which are entirely new and reflect REC/CSS processes) and (ii) Non-CSS Supply Points (which reflect the existing processes found in current TPD Section G2).</w:t>
      </w:r>
    </w:p>
    <w:p>
      <w:pPr>
        <w:ind w:left="720" w:hanging="720"/>
        <w:rPr>
          <w:rFonts w:ascii="Arial" w:hAnsi="Arial" w:cs="Arial"/>
          <w:sz w:val="20"/>
          <w:szCs w:val="20"/>
        </w:rPr>
      </w:pPr>
      <w:r>
        <w:rPr>
          <w:rFonts w:ascii="Arial" w:hAnsi="Arial" w:cs="Arial"/>
          <w:sz w:val="20"/>
          <w:szCs w:val="20"/>
        </w:rPr>
        <w:t>1.3</w:t>
      </w:r>
      <w:r>
        <w:rPr>
          <w:rFonts w:ascii="Arial" w:hAnsi="Arial" w:cs="Arial"/>
          <w:sz w:val="20"/>
          <w:szCs w:val="20"/>
        </w:rPr>
        <w:tab/>
        <w:t>In addition to these changes current TPD Sections G1.19, 5 and 6 have been moved respectively to TPD Sections J1.9, new TPD Section B, Annex B-3 and new TPD Section B8.</w:t>
      </w:r>
    </w:p>
    <w:p>
      <w:pPr>
        <w:ind w:left="720" w:hanging="720"/>
        <w:rPr>
          <w:rFonts w:ascii="Arial" w:hAnsi="Arial" w:cs="Arial"/>
          <w:sz w:val="20"/>
          <w:szCs w:val="20"/>
        </w:rPr>
      </w:pPr>
      <w:r>
        <w:rPr>
          <w:rFonts w:ascii="Arial" w:hAnsi="Arial" w:cs="Arial"/>
          <w:sz w:val="20"/>
          <w:szCs w:val="20"/>
        </w:rPr>
        <w:t>1.4</w:t>
      </w:r>
      <w:r>
        <w:rPr>
          <w:rFonts w:ascii="Arial" w:hAnsi="Arial" w:cs="Arial"/>
          <w:sz w:val="20"/>
          <w:szCs w:val="20"/>
        </w:rPr>
        <w:tab/>
        <w:t>Before making the change to TPD Section we re-ordered the existing text (i) to put the rules in a much more logical sequence and (ii) to remove the paragraphs which are being moved to TPD Section G and J.  One of the documents is a mark up which shows the changes to current TPD Section G arising from the re-ordering exercise. A second mark up then shows the changes to the re-ordered TPD Section G which are required for the purposes of reflecting CSS/REC processes – and hopefully this document helps shows the extent of the required changes.</w:t>
      </w:r>
    </w:p>
    <w:p>
      <w:pPr>
        <w:ind w:left="720" w:hanging="720"/>
        <w:rPr>
          <w:rFonts w:ascii="Arial" w:hAnsi="Arial" w:cs="Arial"/>
          <w:sz w:val="20"/>
          <w:szCs w:val="20"/>
        </w:rPr>
      </w:pPr>
      <w:r>
        <w:rPr>
          <w:rFonts w:ascii="Arial" w:hAnsi="Arial" w:cs="Arial"/>
          <w:sz w:val="20"/>
          <w:szCs w:val="20"/>
        </w:rPr>
        <w:t>1.5</w:t>
      </w:r>
      <w:r>
        <w:rPr>
          <w:rFonts w:ascii="Arial" w:hAnsi="Arial" w:cs="Arial"/>
          <w:sz w:val="20"/>
          <w:szCs w:val="20"/>
        </w:rPr>
        <w:tab/>
        <w:t>The documents showing the proposed legal text are listed in the table below; the table identifies the document type (clean or mark up) and includes (where relevant) a brief description of the most significant of changes made to the relevant section of UNC:</w:t>
      </w:r>
    </w:p>
    <w:tbl>
      <w:tblPr>
        <w:tblStyle w:val="TableGrid"/>
        <w:tblW w:w="0" w:type="auto"/>
        <w:tblInd w:w="720" w:type="dxa"/>
        <w:tblLook w:val="04A0" w:firstRow="1" w:lastRow="0" w:firstColumn="1" w:lastColumn="0" w:noHBand="0" w:noVBand="1"/>
      </w:tblPr>
      <w:tblGrid>
        <w:gridCol w:w="1194"/>
        <w:gridCol w:w="4798"/>
        <w:gridCol w:w="2969"/>
        <w:gridCol w:w="4493"/>
      </w:tblGrid>
      <w:tr>
        <w:tc>
          <w:tcPr>
            <w:tcW w:w="648" w:type="dxa"/>
          </w:tcPr>
          <w:p>
            <w:pPr>
              <w:rPr>
                <w:rFonts w:ascii="Arial" w:hAnsi="Arial" w:cs="Arial"/>
                <w:b/>
                <w:sz w:val="20"/>
                <w:szCs w:val="20"/>
              </w:rPr>
            </w:pPr>
            <w:r>
              <w:rPr>
                <w:rFonts w:ascii="Arial" w:hAnsi="Arial" w:cs="Arial"/>
                <w:b/>
                <w:sz w:val="20"/>
                <w:szCs w:val="20"/>
              </w:rPr>
              <w:t xml:space="preserve">Document </w:t>
            </w:r>
          </w:p>
        </w:tc>
        <w:tc>
          <w:tcPr>
            <w:tcW w:w="4868" w:type="dxa"/>
          </w:tcPr>
          <w:p>
            <w:pPr>
              <w:rPr>
                <w:rFonts w:ascii="Arial" w:hAnsi="Arial" w:cs="Arial"/>
                <w:b/>
                <w:sz w:val="20"/>
                <w:szCs w:val="20"/>
              </w:rPr>
            </w:pPr>
            <w:r>
              <w:rPr>
                <w:rFonts w:ascii="Arial" w:hAnsi="Arial" w:cs="Arial"/>
                <w:b/>
                <w:sz w:val="20"/>
                <w:szCs w:val="20"/>
              </w:rPr>
              <w:t>UNC Section</w:t>
            </w:r>
          </w:p>
        </w:tc>
        <w:tc>
          <w:tcPr>
            <w:tcW w:w="3006" w:type="dxa"/>
          </w:tcPr>
          <w:p>
            <w:pPr>
              <w:rPr>
                <w:rFonts w:ascii="Arial" w:hAnsi="Arial" w:cs="Arial"/>
                <w:b/>
                <w:sz w:val="20"/>
                <w:szCs w:val="20"/>
              </w:rPr>
            </w:pPr>
            <w:r>
              <w:rPr>
                <w:rFonts w:ascii="Arial" w:hAnsi="Arial" w:cs="Arial"/>
                <w:b/>
                <w:sz w:val="20"/>
                <w:szCs w:val="20"/>
              </w:rPr>
              <w:t>Document Type</w:t>
            </w:r>
          </w:p>
        </w:tc>
        <w:tc>
          <w:tcPr>
            <w:tcW w:w="4546" w:type="dxa"/>
          </w:tcPr>
          <w:p>
            <w:pPr>
              <w:rPr>
                <w:rFonts w:ascii="Arial" w:hAnsi="Arial" w:cs="Arial"/>
                <w:b/>
                <w:sz w:val="20"/>
                <w:szCs w:val="20"/>
              </w:rPr>
            </w:pPr>
            <w:r>
              <w:rPr>
                <w:rFonts w:ascii="Arial" w:hAnsi="Arial" w:cs="Arial"/>
                <w:b/>
                <w:sz w:val="20"/>
                <w:szCs w:val="20"/>
              </w:rPr>
              <w:t>Explanation/Notes</w:t>
            </w:r>
          </w:p>
        </w:tc>
      </w:tr>
      <w:tr>
        <w:tc>
          <w:tcPr>
            <w:tcW w:w="648" w:type="dxa"/>
          </w:tcPr>
          <w:p>
            <w:pPr>
              <w:rPr>
                <w:rFonts w:ascii="Arial" w:hAnsi="Arial" w:cs="Arial"/>
                <w:sz w:val="20"/>
                <w:szCs w:val="20"/>
              </w:rPr>
            </w:pPr>
          </w:p>
        </w:tc>
        <w:tc>
          <w:tcPr>
            <w:tcW w:w="4868" w:type="dxa"/>
          </w:tcPr>
          <w:p>
            <w:pPr>
              <w:rPr>
                <w:rFonts w:ascii="Arial" w:hAnsi="Arial" w:cs="Arial"/>
                <w:b/>
                <w:sz w:val="20"/>
                <w:szCs w:val="20"/>
              </w:rPr>
            </w:pPr>
            <w:r>
              <w:rPr>
                <w:rFonts w:ascii="Arial" w:hAnsi="Arial" w:cs="Arial"/>
                <w:b/>
                <w:sz w:val="20"/>
                <w:szCs w:val="20"/>
              </w:rPr>
              <w:t>TPD Section B (System Use and Capacity)</w:t>
            </w:r>
          </w:p>
        </w:tc>
        <w:tc>
          <w:tcPr>
            <w:tcW w:w="3006" w:type="dxa"/>
          </w:tcPr>
          <w:p>
            <w:pPr>
              <w:rPr>
                <w:rFonts w:ascii="Arial" w:hAnsi="Arial" w:cs="Arial"/>
                <w:b/>
                <w:sz w:val="20"/>
                <w:szCs w:val="20"/>
              </w:rPr>
            </w:pPr>
          </w:p>
        </w:tc>
        <w:tc>
          <w:tcPr>
            <w:tcW w:w="4546" w:type="dxa"/>
          </w:tcPr>
          <w:p>
            <w:pPr>
              <w:rPr>
                <w:rFonts w:ascii="Arial" w:hAnsi="Arial" w:cs="Arial"/>
                <w:b/>
                <w:sz w:val="20"/>
                <w:szCs w:val="20"/>
              </w:rPr>
            </w:pPr>
          </w:p>
        </w:tc>
      </w:tr>
      <w:tr>
        <w:tc>
          <w:tcPr>
            <w:tcW w:w="648" w:type="dxa"/>
          </w:tcPr>
          <w:p>
            <w:pPr>
              <w:rPr>
                <w:rFonts w:ascii="Arial" w:hAnsi="Arial" w:cs="Arial"/>
                <w:sz w:val="20"/>
                <w:szCs w:val="20"/>
              </w:rPr>
            </w:pPr>
            <w:r>
              <w:rPr>
                <w:rFonts w:ascii="Arial" w:hAnsi="Arial" w:cs="Arial"/>
                <w:sz w:val="20"/>
                <w:szCs w:val="20"/>
              </w:rPr>
              <w:t>1</w:t>
            </w:r>
          </w:p>
        </w:tc>
        <w:tc>
          <w:tcPr>
            <w:tcW w:w="4868" w:type="dxa"/>
          </w:tcPr>
          <w:p>
            <w:pPr>
              <w:rPr>
                <w:rFonts w:ascii="Arial" w:hAnsi="Arial" w:cs="Arial"/>
                <w:sz w:val="20"/>
                <w:szCs w:val="20"/>
              </w:rPr>
            </w:pPr>
            <w:r>
              <w:rPr>
                <w:rFonts w:ascii="Arial" w:hAnsi="Arial" w:cs="Arial"/>
                <w:sz w:val="20"/>
                <w:szCs w:val="20"/>
              </w:rPr>
              <w:t xml:space="preserve">Revised Section B4: </w:t>
            </w:r>
            <w:proofErr w:type="spellStart"/>
            <w:r>
              <w:rPr>
                <w:rFonts w:ascii="Arial" w:hAnsi="Arial" w:cs="Arial"/>
                <w:sz w:val="20"/>
                <w:szCs w:val="20"/>
              </w:rPr>
              <w:t>LDZ</w:t>
            </w:r>
            <w:proofErr w:type="spellEnd"/>
            <w:r>
              <w:rPr>
                <w:rFonts w:ascii="Arial" w:hAnsi="Arial" w:cs="Arial"/>
                <w:sz w:val="20"/>
                <w:szCs w:val="20"/>
              </w:rPr>
              <w:t xml:space="preserve"> Supply Point Capacity</w:t>
            </w:r>
          </w:p>
        </w:tc>
        <w:tc>
          <w:tcPr>
            <w:tcW w:w="3006" w:type="dxa"/>
          </w:tcPr>
          <w:p>
            <w:pPr>
              <w:rPr>
                <w:rFonts w:ascii="Arial" w:hAnsi="Arial" w:cs="Arial"/>
                <w:sz w:val="20"/>
                <w:szCs w:val="20"/>
              </w:rPr>
            </w:pPr>
            <w:r>
              <w:rPr>
                <w:rFonts w:ascii="Arial" w:hAnsi="Arial" w:cs="Arial"/>
                <w:sz w:val="20"/>
                <w:szCs w:val="20"/>
              </w:rPr>
              <w:t>Mark-up against current TPD Section B4.</w:t>
            </w:r>
          </w:p>
        </w:tc>
        <w:tc>
          <w:tcPr>
            <w:tcW w:w="4546" w:type="dxa"/>
          </w:tcPr>
          <w:p>
            <w:pPr>
              <w:rPr>
                <w:rFonts w:ascii="Arial" w:hAnsi="Arial" w:cs="Arial"/>
                <w:i/>
                <w:sz w:val="20"/>
                <w:szCs w:val="20"/>
                <w:u w:val="single"/>
              </w:rPr>
            </w:pPr>
            <w:r>
              <w:rPr>
                <w:rFonts w:ascii="Arial" w:hAnsi="Arial" w:cs="Arial"/>
                <w:i/>
                <w:sz w:val="20"/>
                <w:szCs w:val="20"/>
                <w:u w:val="single"/>
              </w:rPr>
              <w:t>Description of Changes</w:t>
            </w:r>
          </w:p>
          <w:p>
            <w:pPr>
              <w:rPr>
                <w:rFonts w:ascii="Arial" w:hAnsi="Arial" w:cs="Arial"/>
                <w:i/>
                <w:sz w:val="20"/>
                <w:szCs w:val="20"/>
                <w:u w:val="single"/>
              </w:rPr>
            </w:pPr>
          </w:p>
          <w:p>
            <w:pPr>
              <w:rPr>
                <w:rFonts w:ascii="Arial" w:hAnsi="Arial" w:cs="Arial"/>
                <w:i/>
                <w:sz w:val="20"/>
                <w:szCs w:val="20"/>
              </w:rPr>
            </w:pPr>
            <w:r>
              <w:rPr>
                <w:rFonts w:ascii="Arial" w:hAnsi="Arial" w:cs="Arial"/>
                <w:i/>
                <w:sz w:val="20"/>
                <w:szCs w:val="20"/>
              </w:rPr>
              <w:t xml:space="preserve">Paragraph 4.2 amended to reflect different processes under TPD Section G5 and G6 through which the User is treated as holding (or ceasing to hold) DM or </w:t>
            </w:r>
            <w:proofErr w:type="spellStart"/>
            <w:r>
              <w:rPr>
                <w:rFonts w:ascii="Arial" w:hAnsi="Arial" w:cs="Arial"/>
                <w:i/>
                <w:sz w:val="20"/>
                <w:szCs w:val="20"/>
              </w:rPr>
              <w:t>NDM</w:t>
            </w:r>
            <w:proofErr w:type="spellEnd"/>
            <w:r>
              <w:rPr>
                <w:rFonts w:ascii="Arial" w:hAnsi="Arial" w:cs="Arial"/>
                <w:i/>
                <w:sz w:val="20"/>
                <w:szCs w:val="20"/>
              </w:rPr>
              <w:t xml:space="preserve"> Supply Point Capacity at CSS/Non-CSS Supply Points.</w:t>
            </w:r>
          </w:p>
          <w:p>
            <w:pPr>
              <w:rPr>
                <w:rFonts w:ascii="Arial" w:hAnsi="Arial" w:cs="Arial"/>
                <w:i/>
                <w:sz w:val="20"/>
                <w:szCs w:val="20"/>
              </w:rPr>
            </w:pPr>
          </w:p>
          <w:p>
            <w:pPr>
              <w:rPr>
                <w:rFonts w:ascii="Arial" w:hAnsi="Arial" w:cs="Arial"/>
                <w:sz w:val="20"/>
                <w:szCs w:val="20"/>
              </w:rPr>
            </w:pPr>
            <w:r>
              <w:rPr>
                <w:rFonts w:ascii="Arial" w:hAnsi="Arial" w:cs="Arial"/>
                <w:i/>
                <w:sz w:val="20"/>
                <w:szCs w:val="20"/>
              </w:rPr>
              <w:t>All other amendments are minor consequential changes.</w:t>
            </w:r>
          </w:p>
        </w:tc>
      </w:tr>
      <w:tr>
        <w:tc>
          <w:tcPr>
            <w:tcW w:w="648" w:type="dxa"/>
          </w:tcPr>
          <w:p>
            <w:pPr>
              <w:rPr>
                <w:rFonts w:ascii="Arial" w:hAnsi="Arial" w:cs="Arial"/>
                <w:sz w:val="20"/>
                <w:szCs w:val="20"/>
              </w:rPr>
            </w:pPr>
            <w:r>
              <w:rPr>
                <w:rFonts w:ascii="Arial" w:hAnsi="Arial" w:cs="Arial"/>
                <w:sz w:val="20"/>
                <w:szCs w:val="20"/>
              </w:rPr>
              <w:t>2</w:t>
            </w:r>
          </w:p>
        </w:tc>
        <w:tc>
          <w:tcPr>
            <w:tcW w:w="4868" w:type="dxa"/>
          </w:tcPr>
          <w:p>
            <w:pPr>
              <w:rPr>
                <w:rFonts w:ascii="Arial" w:hAnsi="Arial" w:cs="Arial"/>
                <w:sz w:val="20"/>
                <w:szCs w:val="20"/>
              </w:rPr>
            </w:pPr>
            <w:r>
              <w:rPr>
                <w:rFonts w:ascii="Arial" w:hAnsi="Arial" w:cs="Arial"/>
                <w:sz w:val="20"/>
                <w:szCs w:val="20"/>
              </w:rPr>
              <w:t>New Section B8: Interruption</w:t>
            </w:r>
          </w:p>
        </w:tc>
        <w:tc>
          <w:tcPr>
            <w:tcW w:w="3006" w:type="dxa"/>
          </w:tcPr>
          <w:p>
            <w:pPr>
              <w:rPr>
                <w:rFonts w:ascii="Arial" w:hAnsi="Arial" w:cs="Arial"/>
                <w:sz w:val="20"/>
                <w:szCs w:val="20"/>
              </w:rPr>
            </w:pPr>
            <w:r>
              <w:rPr>
                <w:rFonts w:ascii="Arial" w:hAnsi="Arial" w:cs="Arial"/>
                <w:sz w:val="20"/>
                <w:szCs w:val="20"/>
              </w:rPr>
              <w:t>Mark-up against current TPD Section G6.</w:t>
            </w:r>
          </w:p>
        </w:tc>
        <w:tc>
          <w:tcPr>
            <w:tcW w:w="4546" w:type="dxa"/>
          </w:tcPr>
          <w:p>
            <w:pPr>
              <w:rPr>
                <w:rFonts w:ascii="Arial" w:hAnsi="Arial" w:cs="Arial"/>
                <w:sz w:val="20"/>
                <w:szCs w:val="20"/>
              </w:rPr>
            </w:pPr>
            <w:r>
              <w:rPr>
                <w:rFonts w:ascii="Arial" w:hAnsi="Arial" w:cs="Arial"/>
                <w:sz w:val="20"/>
                <w:szCs w:val="20"/>
              </w:rPr>
              <w:t xml:space="preserve">The interruption rules (in current TPD Section G6) have been moved to a new Section B8. </w:t>
            </w:r>
          </w:p>
          <w:p>
            <w:pPr>
              <w:rPr>
                <w:rFonts w:ascii="Arial" w:hAnsi="Arial" w:cs="Arial"/>
                <w:sz w:val="20"/>
                <w:szCs w:val="20"/>
              </w:rPr>
            </w:pPr>
          </w:p>
          <w:p>
            <w:pPr>
              <w:rPr>
                <w:rFonts w:ascii="Arial" w:hAnsi="Arial" w:cs="Arial"/>
                <w:i/>
                <w:sz w:val="20"/>
                <w:szCs w:val="20"/>
                <w:u w:val="single"/>
              </w:rPr>
            </w:pPr>
            <w:r>
              <w:rPr>
                <w:rFonts w:ascii="Arial" w:hAnsi="Arial" w:cs="Arial"/>
                <w:i/>
                <w:sz w:val="20"/>
                <w:szCs w:val="20"/>
                <w:u w:val="single"/>
              </w:rPr>
              <w:t>Description of Changes</w:t>
            </w:r>
          </w:p>
          <w:p>
            <w:pPr>
              <w:rPr>
                <w:rFonts w:ascii="Arial" w:hAnsi="Arial" w:cs="Arial"/>
                <w:i/>
                <w:sz w:val="20"/>
                <w:szCs w:val="20"/>
                <w:u w:val="single"/>
              </w:rPr>
            </w:pPr>
          </w:p>
          <w:p>
            <w:pPr>
              <w:rPr>
                <w:rFonts w:ascii="Arial" w:hAnsi="Arial" w:cs="Arial"/>
                <w:i/>
                <w:sz w:val="20"/>
                <w:szCs w:val="20"/>
              </w:rPr>
            </w:pPr>
            <w:r>
              <w:rPr>
                <w:rFonts w:ascii="Arial" w:hAnsi="Arial" w:cs="Arial"/>
                <w:i/>
                <w:sz w:val="20"/>
                <w:szCs w:val="20"/>
              </w:rPr>
              <w:t>This is a 'lift and shift' of current TPD Section G6.</w:t>
            </w:r>
          </w:p>
          <w:p>
            <w:pPr>
              <w:rPr>
                <w:rFonts w:ascii="Arial" w:hAnsi="Arial" w:cs="Arial"/>
                <w:sz w:val="20"/>
                <w:szCs w:val="20"/>
              </w:rPr>
            </w:pPr>
          </w:p>
          <w:p>
            <w:pPr>
              <w:rPr>
                <w:rFonts w:ascii="Arial" w:hAnsi="Arial" w:cs="Arial"/>
                <w:sz w:val="20"/>
                <w:szCs w:val="20"/>
              </w:rPr>
            </w:pPr>
            <w:r>
              <w:rPr>
                <w:rFonts w:ascii="Arial" w:hAnsi="Arial" w:cs="Arial"/>
                <w:i/>
                <w:sz w:val="20"/>
                <w:szCs w:val="20"/>
              </w:rPr>
              <w:t>All amendments are minor consequential changes</w:t>
            </w:r>
          </w:p>
          <w:p>
            <w:pPr>
              <w:rPr>
                <w:rFonts w:ascii="Arial" w:hAnsi="Arial" w:cs="Arial"/>
                <w:b/>
                <w:sz w:val="20"/>
                <w:szCs w:val="20"/>
              </w:rPr>
            </w:pPr>
          </w:p>
        </w:tc>
      </w:tr>
      <w:tr>
        <w:tc>
          <w:tcPr>
            <w:tcW w:w="648" w:type="dxa"/>
          </w:tcPr>
          <w:p>
            <w:pPr>
              <w:rPr>
                <w:rFonts w:ascii="Arial" w:hAnsi="Arial" w:cs="Arial"/>
                <w:sz w:val="20"/>
                <w:szCs w:val="20"/>
              </w:rPr>
            </w:pPr>
            <w:r>
              <w:rPr>
                <w:rFonts w:ascii="Arial" w:hAnsi="Arial" w:cs="Arial"/>
                <w:sz w:val="20"/>
                <w:szCs w:val="20"/>
              </w:rPr>
              <w:lastRenderedPageBreak/>
              <w:t>3</w:t>
            </w:r>
          </w:p>
        </w:tc>
        <w:tc>
          <w:tcPr>
            <w:tcW w:w="4868" w:type="dxa"/>
          </w:tcPr>
          <w:p>
            <w:pPr>
              <w:rPr>
                <w:rFonts w:ascii="Arial" w:hAnsi="Arial" w:cs="Arial"/>
                <w:sz w:val="20"/>
                <w:szCs w:val="20"/>
              </w:rPr>
            </w:pPr>
            <w:r>
              <w:rPr>
                <w:rFonts w:ascii="Arial" w:hAnsi="Arial" w:cs="Arial"/>
                <w:sz w:val="20"/>
                <w:szCs w:val="20"/>
              </w:rPr>
              <w:t>New Annex B-3: DM Supply Point Capacity and Offtake Rate)</w:t>
            </w:r>
          </w:p>
        </w:tc>
        <w:tc>
          <w:tcPr>
            <w:tcW w:w="3006" w:type="dxa"/>
          </w:tcPr>
          <w:p>
            <w:pPr>
              <w:rPr>
                <w:rFonts w:ascii="Arial" w:hAnsi="Arial" w:cs="Arial"/>
                <w:sz w:val="20"/>
                <w:szCs w:val="20"/>
              </w:rPr>
            </w:pPr>
            <w:r>
              <w:rPr>
                <w:rFonts w:ascii="Arial" w:hAnsi="Arial" w:cs="Arial"/>
                <w:sz w:val="20"/>
                <w:szCs w:val="20"/>
              </w:rPr>
              <w:t>Mark-up against a re-ordered version of current TPD Section G5.</w:t>
            </w:r>
          </w:p>
        </w:tc>
        <w:tc>
          <w:tcPr>
            <w:tcW w:w="4546" w:type="dxa"/>
          </w:tcPr>
          <w:p>
            <w:pPr>
              <w:rPr>
                <w:rFonts w:ascii="Arial" w:hAnsi="Arial" w:cs="Arial"/>
                <w:sz w:val="20"/>
                <w:szCs w:val="20"/>
              </w:rPr>
            </w:pPr>
            <w:r>
              <w:rPr>
                <w:rFonts w:ascii="Arial" w:hAnsi="Arial" w:cs="Arial"/>
                <w:sz w:val="20"/>
                <w:szCs w:val="20"/>
              </w:rPr>
              <w:t>The DM Supply Point Capacity and Supply Point Offtake Rate rules (in current TPD Section G5) have been moved to a new Annex B-3.</w:t>
            </w:r>
          </w:p>
          <w:p>
            <w:pPr>
              <w:rPr>
                <w:rFonts w:ascii="Arial" w:hAnsi="Arial" w:cs="Arial"/>
                <w:sz w:val="20"/>
                <w:szCs w:val="20"/>
              </w:rPr>
            </w:pPr>
          </w:p>
          <w:p>
            <w:pPr>
              <w:rPr>
                <w:rFonts w:ascii="Arial" w:hAnsi="Arial" w:cs="Arial"/>
                <w:i/>
                <w:sz w:val="20"/>
                <w:szCs w:val="20"/>
                <w:u w:val="single"/>
              </w:rPr>
            </w:pPr>
            <w:r>
              <w:rPr>
                <w:rFonts w:ascii="Arial" w:hAnsi="Arial" w:cs="Arial"/>
                <w:i/>
                <w:sz w:val="20"/>
                <w:szCs w:val="20"/>
                <w:u w:val="single"/>
              </w:rPr>
              <w:t>Description of Changes</w:t>
            </w:r>
          </w:p>
          <w:p>
            <w:pPr>
              <w:rPr>
                <w:rFonts w:ascii="Arial" w:hAnsi="Arial" w:cs="Arial"/>
                <w:i/>
                <w:sz w:val="20"/>
                <w:szCs w:val="20"/>
                <w:u w:val="single"/>
              </w:rPr>
            </w:pPr>
          </w:p>
          <w:p>
            <w:pPr>
              <w:rPr>
                <w:rFonts w:ascii="Arial" w:hAnsi="Arial" w:cs="Arial"/>
                <w:i/>
                <w:sz w:val="20"/>
                <w:szCs w:val="20"/>
              </w:rPr>
            </w:pPr>
            <w:r>
              <w:rPr>
                <w:rFonts w:ascii="Arial" w:hAnsi="Arial" w:cs="Arial"/>
                <w:i/>
                <w:sz w:val="20"/>
                <w:szCs w:val="20"/>
              </w:rPr>
              <w:t>Amendments generally reflect different processes under TPD Section G5 in relation to setting DM Supply Point Capacity at the time of  registration of a CSS Supply Point.</w:t>
            </w:r>
          </w:p>
          <w:p>
            <w:pPr>
              <w:rPr>
                <w:rFonts w:ascii="Arial" w:hAnsi="Arial" w:cs="Arial"/>
                <w:i/>
                <w:sz w:val="20"/>
                <w:szCs w:val="20"/>
              </w:rPr>
            </w:pPr>
          </w:p>
          <w:p>
            <w:pPr>
              <w:rPr>
                <w:rFonts w:ascii="Arial" w:hAnsi="Arial" w:cs="Arial"/>
                <w:i/>
                <w:sz w:val="20"/>
                <w:szCs w:val="20"/>
              </w:rPr>
            </w:pPr>
            <w:r>
              <w:rPr>
                <w:rFonts w:ascii="Arial" w:hAnsi="Arial" w:cs="Arial"/>
                <w:i/>
                <w:sz w:val="20"/>
                <w:szCs w:val="20"/>
              </w:rPr>
              <w:t>Included is a new rule to allow a Transporter to provide standing instructions to CDSP to be applied in event the Transporter is required to assess feasibility of making available gas for offtake at a Supply Point (such that the CDSP does not need to refer to the Transporter where the User's application falls within limits previously notified to the CDSP by the  Transporter).</w:t>
            </w:r>
          </w:p>
          <w:p>
            <w:pPr>
              <w:rPr>
                <w:rFonts w:ascii="Arial" w:hAnsi="Arial" w:cs="Arial"/>
                <w:i/>
                <w:sz w:val="20"/>
                <w:szCs w:val="20"/>
              </w:rPr>
            </w:pPr>
          </w:p>
          <w:p>
            <w:pPr>
              <w:rPr>
                <w:rFonts w:ascii="Arial" w:hAnsi="Arial" w:cs="Arial"/>
                <w:sz w:val="20"/>
                <w:szCs w:val="20"/>
              </w:rPr>
            </w:pPr>
            <w:r>
              <w:rPr>
                <w:rFonts w:ascii="Arial" w:hAnsi="Arial" w:cs="Arial"/>
                <w:i/>
                <w:sz w:val="20"/>
                <w:szCs w:val="20"/>
              </w:rPr>
              <w:t>Paragraph 13 is a 'lift and shift' of current Section G7.3.</w:t>
            </w:r>
          </w:p>
          <w:p>
            <w:pPr>
              <w:rPr>
                <w:rFonts w:ascii="Arial" w:hAnsi="Arial" w:cs="Arial"/>
                <w:sz w:val="20"/>
                <w:szCs w:val="20"/>
              </w:rPr>
            </w:pPr>
          </w:p>
        </w:tc>
      </w:tr>
      <w:tr>
        <w:tc>
          <w:tcPr>
            <w:tcW w:w="648" w:type="dxa"/>
          </w:tcPr>
          <w:p>
            <w:pPr>
              <w:rPr>
                <w:rFonts w:ascii="Arial" w:hAnsi="Arial" w:cs="Arial"/>
                <w:sz w:val="20"/>
                <w:szCs w:val="20"/>
              </w:rPr>
            </w:pPr>
            <w:r>
              <w:rPr>
                <w:rFonts w:ascii="Arial" w:hAnsi="Arial" w:cs="Arial"/>
                <w:sz w:val="20"/>
                <w:szCs w:val="20"/>
              </w:rPr>
              <w:t>4</w:t>
            </w:r>
          </w:p>
        </w:tc>
        <w:tc>
          <w:tcPr>
            <w:tcW w:w="4868" w:type="dxa"/>
          </w:tcPr>
          <w:p>
            <w:pPr>
              <w:rPr>
                <w:rFonts w:ascii="Arial" w:hAnsi="Arial" w:cs="Arial"/>
                <w:sz w:val="20"/>
                <w:szCs w:val="20"/>
              </w:rPr>
            </w:pPr>
            <w:r>
              <w:rPr>
                <w:rFonts w:ascii="Arial" w:hAnsi="Arial" w:cs="Arial"/>
                <w:sz w:val="20"/>
                <w:szCs w:val="20"/>
              </w:rPr>
              <w:t>Mark-up</w:t>
            </w:r>
          </w:p>
        </w:tc>
        <w:tc>
          <w:tcPr>
            <w:tcW w:w="3006" w:type="dxa"/>
          </w:tcPr>
          <w:p>
            <w:pPr>
              <w:rPr>
                <w:rFonts w:ascii="Arial" w:hAnsi="Arial" w:cs="Arial"/>
                <w:sz w:val="20"/>
                <w:szCs w:val="20"/>
              </w:rPr>
            </w:pPr>
            <w:r>
              <w:rPr>
                <w:rFonts w:ascii="Arial" w:hAnsi="Arial" w:cs="Arial"/>
                <w:sz w:val="20"/>
                <w:szCs w:val="20"/>
              </w:rPr>
              <w:t>Mark-up.</w:t>
            </w:r>
          </w:p>
        </w:tc>
        <w:tc>
          <w:tcPr>
            <w:tcW w:w="4546" w:type="dxa"/>
          </w:tcPr>
          <w:p>
            <w:pPr>
              <w:rPr>
                <w:rFonts w:ascii="Arial" w:hAnsi="Arial" w:cs="Arial"/>
                <w:i/>
                <w:sz w:val="20"/>
                <w:szCs w:val="20"/>
              </w:rPr>
            </w:pPr>
            <w:r>
              <w:rPr>
                <w:rFonts w:ascii="Arial" w:hAnsi="Arial" w:cs="Arial"/>
                <w:i/>
                <w:sz w:val="20"/>
                <w:szCs w:val="20"/>
              </w:rPr>
              <w:t>Prior to making the changes current TPD Section G5 was re-ordered to make the sequence of the rules more logical; and the mark up shows the changes made for the purposes of creating a new 'baseline' version of Annex B-3.</w:t>
            </w:r>
          </w:p>
          <w:p>
            <w:pPr>
              <w:rPr>
                <w:rFonts w:ascii="Arial" w:hAnsi="Arial" w:cs="Arial"/>
                <w:sz w:val="20"/>
                <w:szCs w:val="20"/>
              </w:rPr>
            </w:pPr>
          </w:p>
        </w:tc>
      </w:tr>
      <w:tr>
        <w:tc>
          <w:tcPr>
            <w:tcW w:w="648" w:type="dxa"/>
          </w:tcPr>
          <w:p>
            <w:pPr>
              <w:rPr>
                <w:rFonts w:ascii="Arial" w:hAnsi="Arial" w:cs="Arial"/>
                <w:sz w:val="20"/>
                <w:szCs w:val="20"/>
              </w:rPr>
            </w:pPr>
          </w:p>
        </w:tc>
        <w:tc>
          <w:tcPr>
            <w:tcW w:w="4868" w:type="dxa"/>
          </w:tcPr>
          <w:p>
            <w:pPr>
              <w:rPr>
                <w:rFonts w:ascii="Arial" w:hAnsi="Arial" w:cs="Arial"/>
                <w:b/>
                <w:sz w:val="20"/>
                <w:szCs w:val="20"/>
              </w:rPr>
            </w:pPr>
            <w:r>
              <w:rPr>
                <w:rFonts w:ascii="Arial" w:hAnsi="Arial" w:cs="Arial"/>
                <w:b/>
                <w:sz w:val="20"/>
                <w:szCs w:val="20"/>
              </w:rPr>
              <w:t>TPD Section G (Supply Point Registration)</w:t>
            </w:r>
          </w:p>
        </w:tc>
        <w:tc>
          <w:tcPr>
            <w:tcW w:w="3006" w:type="dxa"/>
          </w:tcPr>
          <w:p>
            <w:pPr>
              <w:rPr>
                <w:rFonts w:ascii="Arial" w:hAnsi="Arial" w:cs="Arial"/>
                <w:b/>
                <w:sz w:val="20"/>
                <w:szCs w:val="20"/>
              </w:rPr>
            </w:pPr>
          </w:p>
        </w:tc>
        <w:tc>
          <w:tcPr>
            <w:tcW w:w="4546" w:type="dxa"/>
          </w:tcPr>
          <w:p>
            <w:pPr>
              <w:rPr>
                <w:rFonts w:ascii="Arial" w:hAnsi="Arial" w:cs="Arial"/>
                <w:b/>
                <w:sz w:val="20"/>
                <w:szCs w:val="20"/>
              </w:rPr>
            </w:pPr>
          </w:p>
        </w:tc>
      </w:tr>
      <w:tr>
        <w:tc>
          <w:tcPr>
            <w:tcW w:w="648" w:type="dxa"/>
          </w:tcPr>
          <w:p>
            <w:pPr>
              <w:rPr>
                <w:rFonts w:ascii="Arial" w:hAnsi="Arial" w:cs="Arial"/>
                <w:sz w:val="20"/>
                <w:szCs w:val="20"/>
              </w:rPr>
            </w:pPr>
            <w:r>
              <w:rPr>
                <w:rFonts w:ascii="Arial" w:hAnsi="Arial" w:cs="Arial"/>
                <w:sz w:val="20"/>
                <w:szCs w:val="20"/>
              </w:rPr>
              <w:t>5</w:t>
            </w:r>
          </w:p>
        </w:tc>
        <w:tc>
          <w:tcPr>
            <w:tcW w:w="4868" w:type="dxa"/>
          </w:tcPr>
          <w:p>
            <w:pPr>
              <w:rPr>
                <w:rFonts w:ascii="Arial" w:hAnsi="Arial" w:cs="Arial"/>
                <w:sz w:val="20"/>
                <w:szCs w:val="20"/>
              </w:rPr>
            </w:pPr>
            <w:r>
              <w:rPr>
                <w:rFonts w:ascii="Arial" w:hAnsi="Arial" w:cs="Arial"/>
                <w:sz w:val="20"/>
                <w:szCs w:val="20"/>
              </w:rPr>
              <w:t>Revised Section G</w:t>
            </w:r>
          </w:p>
        </w:tc>
        <w:tc>
          <w:tcPr>
            <w:tcW w:w="3006" w:type="dxa"/>
          </w:tcPr>
          <w:p>
            <w:pPr>
              <w:rPr>
                <w:rFonts w:ascii="Arial" w:hAnsi="Arial" w:cs="Arial"/>
                <w:sz w:val="20"/>
                <w:szCs w:val="20"/>
              </w:rPr>
            </w:pPr>
            <w:r>
              <w:rPr>
                <w:rFonts w:ascii="Arial" w:hAnsi="Arial" w:cs="Arial"/>
                <w:sz w:val="20"/>
                <w:szCs w:val="20"/>
              </w:rPr>
              <w:t>Clean copy.</w:t>
            </w:r>
          </w:p>
        </w:tc>
        <w:tc>
          <w:tcPr>
            <w:tcW w:w="4546" w:type="dxa"/>
          </w:tcPr>
          <w:p>
            <w:pPr>
              <w:rPr>
                <w:rFonts w:ascii="Arial" w:hAnsi="Arial" w:cs="Arial"/>
                <w:i/>
                <w:sz w:val="20"/>
                <w:szCs w:val="20"/>
                <w:u w:val="single"/>
              </w:rPr>
            </w:pPr>
            <w:r>
              <w:rPr>
                <w:rFonts w:ascii="Arial" w:hAnsi="Arial" w:cs="Arial"/>
                <w:i/>
                <w:sz w:val="20"/>
                <w:szCs w:val="20"/>
                <w:u w:val="single"/>
              </w:rPr>
              <w:t>Description of Changes</w:t>
            </w:r>
          </w:p>
          <w:p>
            <w:pPr>
              <w:rPr>
                <w:rFonts w:ascii="Arial" w:hAnsi="Arial" w:cs="Arial"/>
                <w:i/>
                <w:sz w:val="20"/>
                <w:szCs w:val="20"/>
                <w:u w:val="single"/>
              </w:rPr>
            </w:pPr>
          </w:p>
          <w:p>
            <w:pPr>
              <w:rPr>
                <w:rFonts w:ascii="Arial" w:hAnsi="Arial" w:cs="Arial"/>
                <w:sz w:val="20"/>
                <w:szCs w:val="20"/>
                <w:u w:val="single"/>
              </w:rPr>
            </w:pPr>
            <w:r>
              <w:rPr>
                <w:rFonts w:ascii="Arial" w:hAnsi="Arial" w:cs="Arial"/>
                <w:i/>
                <w:sz w:val="20"/>
                <w:szCs w:val="20"/>
              </w:rPr>
              <w:lastRenderedPageBreak/>
              <w:t>Paragraph 1</w:t>
            </w:r>
          </w:p>
          <w:p>
            <w:pPr>
              <w:rPr>
                <w:rFonts w:ascii="Arial" w:hAnsi="Arial" w:cs="Arial"/>
                <w:sz w:val="20"/>
                <w:szCs w:val="20"/>
                <w:u w:val="single"/>
              </w:rPr>
            </w:pPr>
          </w:p>
          <w:p>
            <w:pPr>
              <w:rPr>
                <w:rFonts w:ascii="Arial" w:hAnsi="Arial" w:cs="Arial"/>
                <w:i/>
                <w:sz w:val="20"/>
                <w:szCs w:val="20"/>
              </w:rPr>
            </w:pPr>
            <w:r>
              <w:rPr>
                <w:rFonts w:ascii="Arial" w:hAnsi="Arial" w:cs="Arial"/>
                <w:i/>
                <w:sz w:val="20"/>
                <w:szCs w:val="20"/>
              </w:rPr>
              <w:t>G1.2 Introduces a number of new key definitions including CSS Supply Point/Supply Meter Point and Non CSS Supply Point/Supply Meter Point , REC and CSS Provider; and other rules to reflect the REC and new UNC processes for the registration of CSS Supply Points are which are now dependent on REC processes.</w:t>
            </w:r>
          </w:p>
          <w:p>
            <w:pPr>
              <w:rPr>
                <w:rFonts w:ascii="Arial" w:hAnsi="Arial" w:cs="Arial"/>
                <w:sz w:val="20"/>
                <w:szCs w:val="20"/>
                <w:u w:val="single"/>
              </w:rPr>
            </w:pPr>
          </w:p>
          <w:p>
            <w:pPr>
              <w:rPr>
                <w:rFonts w:ascii="Arial" w:hAnsi="Arial" w:cs="Arial"/>
                <w:i/>
                <w:sz w:val="20"/>
                <w:szCs w:val="20"/>
              </w:rPr>
            </w:pPr>
            <w:r>
              <w:rPr>
                <w:rFonts w:ascii="Arial" w:hAnsi="Arial" w:cs="Arial"/>
                <w:i/>
                <w:sz w:val="20"/>
                <w:szCs w:val="20"/>
              </w:rPr>
              <w:t>Paragraph 2</w:t>
            </w:r>
          </w:p>
          <w:p>
            <w:pPr>
              <w:rPr>
                <w:rFonts w:ascii="Arial" w:hAnsi="Arial" w:cs="Arial"/>
                <w:i/>
                <w:sz w:val="20"/>
                <w:szCs w:val="20"/>
              </w:rPr>
            </w:pPr>
          </w:p>
          <w:p>
            <w:pPr>
              <w:rPr>
                <w:rFonts w:ascii="Arial" w:hAnsi="Arial" w:cs="Arial"/>
                <w:sz w:val="20"/>
                <w:szCs w:val="20"/>
              </w:rPr>
            </w:pPr>
            <w:r>
              <w:rPr>
                <w:rFonts w:ascii="Arial" w:hAnsi="Arial" w:cs="Arial"/>
                <w:i/>
                <w:sz w:val="20"/>
                <w:szCs w:val="20"/>
              </w:rPr>
              <w:t>All amendments to Supply Point and Supply Meter Point characteristics are consequential changes</w:t>
            </w:r>
            <w:r>
              <w:rPr>
                <w:rFonts w:ascii="Arial" w:hAnsi="Arial" w:cs="Arial"/>
                <w:sz w:val="20"/>
                <w:szCs w:val="20"/>
              </w:rPr>
              <w:t>.</w:t>
            </w:r>
          </w:p>
          <w:p>
            <w:pPr>
              <w:rPr>
                <w:rFonts w:ascii="Arial" w:hAnsi="Arial" w:cs="Arial"/>
                <w:i/>
                <w:sz w:val="20"/>
                <w:szCs w:val="20"/>
              </w:rPr>
            </w:pPr>
          </w:p>
          <w:p>
            <w:pPr>
              <w:rPr>
                <w:rFonts w:ascii="Arial" w:hAnsi="Arial" w:cs="Arial"/>
                <w:i/>
                <w:sz w:val="20"/>
                <w:szCs w:val="20"/>
              </w:rPr>
            </w:pPr>
            <w:r>
              <w:rPr>
                <w:rFonts w:ascii="Arial" w:hAnsi="Arial" w:cs="Arial"/>
                <w:i/>
                <w:sz w:val="20"/>
                <w:szCs w:val="20"/>
              </w:rPr>
              <w:t>Paragraph 3</w:t>
            </w:r>
          </w:p>
          <w:p>
            <w:pPr>
              <w:rPr>
                <w:rFonts w:ascii="Arial" w:hAnsi="Arial" w:cs="Arial"/>
                <w:i/>
                <w:sz w:val="20"/>
                <w:szCs w:val="20"/>
              </w:rPr>
            </w:pPr>
          </w:p>
          <w:p>
            <w:pPr>
              <w:rPr>
                <w:rFonts w:ascii="Arial" w:hAnsi="Arial" w:cs="Arial"/>
                <w:i/>
                <w:sz w:val="20"/>
                <w:szCs w:val="20"/>
              </w:rPr>
            </w:pPr>
            <w:r>
              <w:rPr>
                <w:rFonts w:ascii="Arial" w:hAnsi="Arial" w:cs="Arial"/>
                <w:i/>
                <w:sz w:val="20"/>
                <w:szCs w:val="20"/>
              </w:rPr>
              <w:t>Introduces new rules in G3.2 setting out the basis on which User will have access to Registration Details as provided for in Annex G-1 and rules in relation to the first registration of new CSS Supply Points.</w:t>
            </w:r>
          </w:p>
          <w:p>
            <w:pPr>
              <w:rPr>
                <w:rFonts w:ascii="Arial" w:hAnsi="Arial" w:cs="Arial"/>
                <w:i/>
                <w:sz w:val="20"/>
                <w:szCs w:val="20"/>
              </w:rPr>
            </w:pPr>
          </w:p>
          <w:p>
            <w:pPr>
              <w:rPr>
                <w:rFonts w:ascii="Arial" w:hAnsi="Arial" w:cs="Arial"/>
                <w:i/>
                <w:sz w:val="20"/>
                <w:szCs w:val="20"/>
              </w:rPr>
            </w:pPr>
            <w:r>
              <w:rPr>
                <w:rFonts w:ascii="Arial" w:hAnsi="Arial" w:cs="Arial"/>
                <w:i/>
                <w:sz w:val="20"/>
                <w:szCs w:val="20"/>
              </w:rPr>
              <w:t>Paragraph 4</w:t>
            </w:r>
          </w:p>
          <w:p>
            <w:pPr>
              <w:rPr>
                <w:rFonts w:ascii="Arial" w:hAnsi="Arial" w:cs="Arial"/>
                <w:i/>
                <w:sz w:val="20"/>
                <w:szCs w:val="20"/>
              </w:rPr>
            </w:pPr>
          </w:p>
          <w:p>
            <w:pPr>
              <w:rPr>
                <w:rFonts w:ascii="Arial" w:hAnsi="Arial" w:cs="Arial"/>
                <w:i/>
                <w:sz w:val="20"/>
                <w:szCs w:val="20"/>
              </w:rPr>
            </w:pPr>
            <w:r>
              <w:rPr>
                <w:rFonts w:ascii="Arial" w:hAnsi="Arial" w:cs="Arial"/>
                <w:i/>
                <w:sz w:val="20"/>
                <w:szCs w:val="20"/>
              </w:rPr>
              <w:t>Includes rules which are generic to registration of CSS/Non-CSS Supply Points – and include new defined terms in G4.1 to assist drafting.  G4.4 sets out new rules in respect of a Transporter Referral, i.e. where a characteristic of the registration of a CSS Supply Point (as a DM Supply Point) needs to be referred to the Transporter for as response (e.g. optional commodity rate) This is not the same a  referral regarding feasibility to offtake gas under Annex B-3 (formerly TPD Section G5).</w:t>
            </w:r>
          </w:p>
          <w:p>
            <w:pPr>
              <w:rPr>
                <w:rFonts w:ascii="Arial" w:hAnsi="Arial" w:cs="Arial"/>
                <w:i/>
                <w:sz w:val="20"/>
                <w:szCs w:val="20"/>
              </w:rPr>
            </w:pPr>
          </w:p>
          <w:p>
            <w:pPr>
              <w:rPr>
                <w:rFonts w:ascii="Arial" w:hAnsi="Arial" w:cs="Arial"/>
                <w:i/>
                <w:sz w:val="20"/>
                <w:szCs w:val="20"/>
              </w:rPr>
            </w:pPr>
            <w:r>
              <w:rPr>
                <w:rFonts w:ascii="Arial" w:hAnsi="Arial" w:cs="Arial"/>
                <w:i/>
                <w:sz w:val="20"/>
                <w:szCs w:val="20"/>
              </w:rPr>
              <w:lastRenderedPageBreak/>
              <w:t>Paragraph 5</w:t>
            </w:r>
          </w:p>
          <w:p>
            <w:pPr>
              <w:rPr>
                <w:rFonts w:ascii="Arial" w:hAnsi="Arial" w:cs="Arial"/>
                <w:i/>
                <w:sz w:val="20"/>
                <w:szCs w:val="20"/>
              </w:rPr>
            </w:pPr>
          </w:p>
          <w:p>
            <w:pPr>
              <w:rPr>
                <w:rFonts w:ascii="Arial" w:hAnsi="Arial" w:cs="Arial"/>
                <w:i/>
                <w:sz w:val="20"/>
                <w:szCs w:val="20"/>
              </w:rPr>
            </w:pPr>
            <w:r>
              <w:rPr>
                <w:rFonts w:ascii="Arial" w:hAnsi="Arial" w:cs="Arial"/>
                <w:i/>
                <w:sz w:val="20"/>
                <w:szCs w:val="20"/>
              </w:rPr>
              <w:t>Contains the new rules relating to registration and de-registration of CSS Supply Points and which reflect related CSS processes under the REC.</w:t>
            </w:r>
          </w:p>
          <w:p>
            <w:pPr>
              <w:rPr>
                <w:rFonts w:ascii="Arial" w:hAnsi="Arial" w:cs="Arial"/>
                <w:i/>
                <w:sz w:val="20"/>
                <w:szCs w:val="20"/>
              </w:rPr>
            </w:pPr>
          </w:p>
          <w:p>
            <w:pPr>
              <w:rPr>
                <w:rFonts w:ascii="Arial" w:hAnsi="Arial" w:cs="Arial"/>
                <w:i/>
                <w:sz w:val="20"/>
                <w:szCs w:val="20"/>
              </w:rPr>
            </w:pPr>
            <w:r>
              <w:rPr>
                <w:rFonts w:ascii="Arial" w:hAnsi="Arial" w:cs="Arial"/>
                <w:i/>
                <w:sz w:val="20"/>
                <w:szCs w:val="20"/>
              </w:rPr>
              <w:t>Paragraph 6</w:t>
            </w:r>
          </w:p>
          <w:p>
            <w:pPr>
              <w:rPr>
                <w:rFonts w:ascii="Arial" w:hAnsi="Arial" w:cs="Arial"/>
                <w:i/>
                <w:sz w:val="20"/>
                <w:szCs w:val="20"/>
              </w:rPr>
            </w:pPr>
          </w:p>
          <w:p>
            <w:pPr>
              <w:rPr>
                <w:rFonts w:ascii="Arial" w:hAnsi="Arial" w:cs="Arial"/>
                <w:i/>
                <w:sz w:val="20"/>
                <w:szCs w:val="20"/>
              </w:rPr>
            </w:pPr>
            <w:r>
              <w:rPr>
                <w:rFonts w:ascii="Arial" w:hAnsi="Arial" w:cs="Arial"/>
                <w:i/>
                <w:sz w:val="20"/>
                <w:szCs w:val="20"/>
              </w:rPr>
              <w:t>Contains the rules (largely based on current TPD Section G2) relating to registration and de-registration of Non-CSS Supply Points.</w:t>
            </w:r>
          </w:p>
          <w:p>
            <w:pPr>
              <w:rPr>
                <w:rFonts w:ascii="Arial" w:hAnsi="Arial" w:cs="Arial"/>
                <w:i/>
                <w:sz w:val="20"/>
                <w:szCs w:val="20"/>
              </w:rPr>
            </w:pPr>
          </w:p>
          <w:p>
            <w:pPr>
              <w:rPr>
                <w:rFonts w:ascii="Arial" w:hAnsi="Arial" w:cs="Arial"/>
                <w:i/>
                <w:sz w:val="20"/>
                <w:szCs w:val="20"/>
              </w:rPr>
            </w:pPr>
            <w:r>
              <w:rPr>
                <w:rFonts w:ascii="Arial" w:hAnsi="Arial" w:cs="Arial"/>
                <w:i/>
                <w:sz w:val="20"/>
                <w:szCs w:val="20"/>
              </w:rPr>
              <w:t>Paragraph 7</w:t>
            </w:r>
          </w:p>
          <w:p>
            <w:pPr>
              <w:rPr>
                <w:rFonts w:ascii="Arial" w:hAnsi="Arial" w:cs="Arial"/>
                <w:i/>
                <w:sz w:val="20"/>
                <w:szCs w:val="20"/>
              </w:rPr>
            </w:pPr>
          </w:p>
          <w:p>
            <w:pPr>
              <w:rPr>
                <w:rFonts w:ascii="Arial" w:hAnsi="Arial" w:cs="Arial"/>
                <w:i/>
                <w:sz w:val="20"/>
                <w:szCs w:val="20"/>
              </w:rPr>
            </w:pPr>
            <w:r>
              <w:rPr>
                <w:rFonts w:ascii="Arial" w:hAnsi="Arial" w:cs="Arial"/>
                <w:i/>
                <w:sz w:val="20"/>
                <w:szCs w:val="20"/>
              </w:rPr>
              <w:t>Includes generic rules relating to Isolation in relation to both CSS/Non-CSS Supply Points.</w:t>
            </w:r>
          </w:p>
          <w:p>
            <w:pPr>
              <w:rPr>
                <w:rFonts w:ascii="Arial" w:hAnsi="Arial" w:cs="Arial"/>
                <w:i/>
                <w:sz w:val="20"/>
                <w:szCs w:val="20"/>
              </w:rPr>
            </w:pPr>
          </w:p>
          <w:p>
            <w:pPr>
              <w:rPr>
                <w:rFonts w:ascii="Arial" w:hAnsi="Arial" w:cs="Arial"/>
                <w:i/>
                <w:sz w:val="20"/>
                <w:szCs w:val="20"/>
              </w:rPr>
            </w:pPr>
            <w:r>
              <w:rPr>
                <w:rFonts w:ascii="Arial" w:hAnsi="Arial" w:cs="Arial"/>
                <w:i/>
                <w:sz w:val="20"/>
                <w:szCs w:val="20"/>
              </w:rPr>
              <w:t>Paragraph 8</w:t>
            </w:r>
          </w:p>
          <w:p>
            <w:pPr>
              <w:rPr>
                <w:rFonts w:ascii="Arial" w:hAnsi="Arial" w:cs="Arial"/>
                <w:i/>
                <w:sz w:val="20"/>
                <w:szCs w:val="20"/>
              </w:rPr>
            </w:pPr>
          </w:p>
          <w:p>
            <w:pPr>
              <w:rPr>
                <w:rFonts w:ascii="Arial" w:hAnsi="Arial" w:cs="Arial"/>
                <w:sz w:val="20"/>
                <w:szCs w:val="20"/>
              </w:rPr>
            </w:pPr>
            <w:r>
              <w:rPr>
                <w:rFonts w:ascii="Arial" w:hAnsi="Arial" w:cs="Arial"/>
                <w:i/>
                <w:sz w:val="20"/>
                <w:szCs w:val="20"/>
              </w:rPr>
              <w:t>All amendments to Re-establishment  are largely consequential changes to reflect the different registration processes for CSS/Non-CSS Supply Points</w:t>
            </w:r>
            <w:r>
              <w:rPr>
                <w:rFonts w:ascii="Arial" w:hAnsi="Arial" w:cs="Arial"/>
                <w:sz w:val="20"/>
                <w:szCs w:val="20"/>
              </w:rPr>
              <w:t>.</w:t>
            </w:r>
          </w:p>
          <w:p>
            <w:pPr>
              <w:rPr>
                <w:rFonts w:ascii="Arial" w:hAnsi="Arial" w:cs="Arial"/>
                <w:i/>
                <w:sz w:val="20"/>
                <w:szCs w:val="20"/>
              </w:rPr>
            </w:pPr>
          </w:p>
          <w:p>
            <w:pPr>
              <w:rPr>
                <w:rFonts w:ascii="Arial" w:hAnsi="Arial" w:cs="Arial"/>
                <w:i/>
                <w:sz w:val="20"/>
                <w:szCs w:val="20"/>
              </w:rPr>
            </w:pPr>
            <w:r>
              <w:rPr>
                <w:rFonts w:ascii="Arial" w:hAnsi="Arial" w:cs="Arial"/>
                <w:i/>
                <w:sz w:val="20"/>
                <w:szCs w:val="20"/>
              </w:rPr>
              <w:t>Paragraph 9</w:t>
            </w:r>
          </w:p>
          <w:p>
            <w:pPr>
              <w:rPr>
                <w:rFonts w:ascii="Arial" w:hAnsi="Arial" w:cs="Arial"/>
                <w:i/>
                <w:sz w:val="20"/>
                <w:szCs w:val="20"/>
              </w:rPr>
            </w:pPr>
          </w:p>
          <w:p>
            <w:pPr>
              <w:rPr>
                <w:rFonts w:ascii="Arial" w:hAnsi="Arial" w:cs="Arial"/>
                <w:i/>
                <w:sz w:val="20"/>
                <w:szCs w:val="20"/>
              </w:rPr>
            </w:pPr>
            <w:r>
              <w:rPr>
                <w:rFonts w:ascii="Arial" w:hAnsi="Arial" w:cs="Arial"/>
                <w:i/>
                <w:sz w:val="20"/>
                <w:szCs w:val="20"/>
              </w:rPr>
              <w:t xml:space="preserve">Contains changes to rules for operation of Shared Supply Meter Points to reflect CSS processes where the </w:t>
            </w:r>
            <w:proofErr w:type="spellStart"/>
            <w:r>
              <w:rPr>
                <w:rFonts w:ascii="Arial" w:hAnsi="Arial" w:cs="Arial"/>
                <w:i/>
                <w:sz w:val="20"/>
                <w:szCs w:val="20"/>
              </w:rPr>
              <w:t>SSMP</w:t>
            </w:r>
            <w:proofErr w:type="spellEnd"/>
            <w:r>
              <w:rPr>
                <w:rFonts w:ascii="Arial" w:hAnsi="Arial" w:cs="Arial"/>
                <w:i/>
                <w:sz w:val="20"/>
                <w:szCs w:val="20"/>
              </w:rPr>
              <w:t xml:space="preserve"> is a CSS Supply Point.</w:t>
            </w:r>
          </w:p>
          <w:p>
            <w:pPr>
              <w:rPr>
                <w:rFonts w:ascii="Arial" w:hAnsi="Arial" w:cs="Arial"/>
                <w:i/>
                <w:sz w:val="20"/>
                <w:szCs w:val="20"/>
              </w:rPr>
            </w:pPr>
          </w:p>
          <w:p>
            <w:pPr>
              <w:rPr>
                <w:rFonts w:ascii="Arial" w:hAnsi="Arial" w:cs="Arial"/>
                <w:i/>
                <w:sz w:val="20"/>
                <w:szCs w:val="20"/>
              </w:rPr>
            </w:pPr>
            <w:r>
              <w:rPr>
                <w:rFonts w:ascii="Arial" w:hAnsi="Arial" w:cs="Arial"/>
                <w:i/>
                <w:sz w:val="20"/>
                <w:szCs w:val="20"/>
              </w:rPr>
              <w:t>Annex G-1</w:t>
            </w:r>
          </w:p>
          <w:p>
            <w:pPr>
              <w:rPr>
                <w:rFonts w:ascii="Arial" w:hAnsi="Arial" w:cs="Arial"/>
                <w:i/>
                <w:sz w:val="20"/>
                <w:szCs w:val="20"/>
              </w:rPr>
            </w:pPr>
          </w:p>
          <w:p>
            <w:pPr>
              <w:rPr>
                <w:rFonts w:ascii="Arial" w:hAnsi="Arial" w:cs="Arial"/>
                <w:i/>
                <w:sz w:val="20"/>
                <w:szCs w:val="20"/>
              </w:rPr>
            </w:pPr>
            <w:r>
              <w:rPr>
                <w:rFonts w:ascii="Arial" w:hAnsi="Arial" w:cs="Arial"/>
                <w:i/>
                <w:sz w:val="20"/>
                <w:szCs w:val="20"/>
              </w:rPr>
              <w:t>[See Document 6]</w:t>
            </w:r>
          </w:p>
          <w:p>
            <w:pPr>
              <w:rPr>
                <w:rFonts w:ascii="Arial" w:hAnsi="Arial" w:cs="Arial"/>
                <w:i/>
                <w:sz w:val="20"/>
                <w:szCs w:val="20"/>
              </w:rPr>
            </w:pPr>
          </w:p>
          <w:p>
            <w:pPr>
              <w:rPr>
                <w:rFonts w:ascii="Arial" w:hAnsi="Arial" w:cs="Arial"/>
                <w:i/>
                <w:sz w:val="20"/>
                <w:szCs w:val="20"/>
              </w:rPr>
            </w:pPr>
            <w:r>
              <w:rPr>
                <w:rFonts w:ascii="Arial" w:hAnsi="Arial" w:cs="Arial"/>
                <w:i/>
                <w:sz w:val="20"/>
                <w:szCs w:val="20"/>
              </w:rPr>
              <w:t>Annex G-2</w:t>
            </w:r>
          </w:p>
          <w:p>
            <w:pPr>
              <w:rPr>
                <w:rFonts w:ascii="Arial" w:hAnsi="Arial" w:cs="Arial"/>
                <w:i/>
                <w:sz w:val="20"/>
                <w:szCs w:val="20"/>
              </w:rPr>
            </w:pPr>
          </w:p>
          <w:p>
            <w:pPr>
              <w:rPr>
                <w:rFonts w:ascii="Arial" w:hAnsi="Arial" w:cs="Arial"/>
                <w:i/>
                <w:sz w:val="20"/>
                <w:szCs w:val="20"/>
              </w:rPr>
            </w:pPr>
            <w:r>
              <w:rPr>
                <w:rFonts w:ascii="Arial" w:hAnsi="Arial" w:cs="Arial"/>
                <w:i/>
                <w:sz w:val="20"/>
                <w:szCs w:val="20"/>
              </w:rPr>
              <w:t>A 'lift and shift' of current TPD Section G4 re Compensation Rules relevant to TPD Section G.</w:t>
            </w:r>
          </w:p>
          <w:p>
            <w:pPr>
              <w:rPr>
                <w:rFonts w:ascii="Arial" w:hAnsi="Arial" w:cs="Arial"/>
                <w:i/>
                <w:sz w:val="20"/>
                <w:szCs w:val="20"/>
              </w:rPr>
            </w:pPr>
          </w:p>
          <w:p>
            <w:pPr>
              <w:rPr>
                <w:rFonts w:ascii="Arial" w:hAnsi="Arial" w:cs="Arial"/>
                <w:i/>
                <w:sz w:val="20"/>
                <w:szCs w:val="20"/>
              </w:rPr>
            </w:pPr>
            <w:r>
              <w:rPr>
                <w:rFonts w:ascii="Arial" w:hAnsi="Arial" w:cs="Arial"/>
                <w:i/>
                <w:sz w:val="20"/>
                <w:szCs w:val="20"/>
              </w:rPr>
              <w:t>Annex G-3</w:t>
            </w:r>
          </w:p>
          <w:p>
            <w:pPr>
              <w:rPr>
                <w:rFonts w:ascii="Arial" w:hAnsi="Arial" w:cs="Arial"/>
                <w:i/>
                <w:sz w:val="20"/>
                <w:szCs w:val="20"/>
              </w:rPr>
            </w:pPr>
          </w:p>
          <w:p>
            <w:pPr>
              <w:rPr>
                <w:rFonts w:ascii="Arial" w:hAnsi="Arial" w:cs="Arial"/>
                <w:i/>
                <w:sz w:val="20"/>
                <w:szCs w:val="20"/>
              </w:rPr>
            </w:pPr>
            <w:r>
              <w:rPr>
                <w:rFonts w:ascii="Arial" w:hAnsi="Arial" w:cs="Arial"/>
                <w:i/>
                <w:sz w:val="20"/>
                <w:szCs w:val="20"/>
              </w:rPr>
              <w:t>A 'lift and shift' of current TPD Section G7.4 re Siteworks related definitions.</w:t>
            </w:r>
          </w:p>
          <w:p>
            <w:pPr>
              <w:rPr>
                <w:rFonts w:ascii="Arial" w:hAnsi="Arial" w:cs="Arial"/>
                <w:i/>
                <w:sz w:val="20"/>
                <w:szCs w:val="20"/>
              </w:rPr>
            </w:pPr>
          </w:p>
          <w:p>
            <w:pPr>
              <w:rPr>
                <w:rFonts w:ascii="Arial" w:hAnsi="Arial" w:cs="Arial"/>
                <w:i/>
                <w:sz w:val="20"/>
                <w:szCs w:val="20"/>
              </w:rPr>
            </w:pPr>
            <w:r>
              <w:rPr>
                <w:rFonts w:ascii="Arial" w:hAnsi="Arial" w:cs="Arial"/>
                <w:i/>
                <w:sz w:val="20"/>
                <w:szCs w:val="20"/>
              </w:rPr>
              <w:t>Annex G-4</w:t>
            </w:r>
          </w:p>
          <w:p>
            <w:pPr>
              <w:rPr>
                <w:rFonts w:ascii="Arial" w:hAnsi="Arial" w:cs="Arial"/>
                <w:i/>
                <w:sz w:val="20"/>
                <w:szCs w:val="20"/>
              </w:rPr>
            </w:pPr>
          </w:p>
          <w:p>
            <w:pPr>
              <w:rPr>
                <w:rFonts w:ascii="Arial" w:hAnsi="Arial" w:cs="Arial"/>
                <w:b/>
                <w:sz w:val="20"/>
                <w:szCs w:val="20"/>
              </w:rPr>
            </w:pPr>
            <w:r>
              <w:rPr>
                <w:rFonts w:ascii="Arial" w:hAnsi="Arial" w:cs="Arial"/>
                <w:i/>
                <w:sz w:val="20"/>
                <w:szCs w:val="20"/>
              </w:rPr>
              <w:t>A 'lift and shift' of mandatory allocation agent terms from current Annex G-2.</w:t>
            </w:r>
          </w:p>
          <w:p>
            <w:pPr>
              <w:rPr>
                <w:rFonts w:ascii="Arial" w:hAnsi="Arial" w:cs="Arial"/>
                <w:b/>
                <w:sz w:val="20"/>
                <w:szCs w:val="20"/>
              </w:rPr>
            </w:pPr>
          </w:p>
        </w:tc>
      </w:tr>
      <w:tr>
        <w:tc>
          <w:tcPr>
            <w:tcW w:w="648" w:type="dxa"/>
          </w:tcPr>
          <w:p>
            <w:pPr>
              <w:rPr>
                <w:rFonts w:ascii="Arial" w:hAnsi="Arial" w:cs="Arial"/>
                <w:sz w:val="20"/>
                <w:szCs w:val="20"/>
              </w:rPr>
            </w:pPr>
            <w:r>
              <w:rPr>
                <w:rFonts w:ascii="Arial" w:hAnsi="Arial" w:cs="Arial"/>
                <w:sz w:val="20"/>
                <w:szCs w:val="20"/>
              </w:rPr>
              <w:lastRenderedPageBreak/>
              <w:t>6</w:t>
            </w:r>
          </w:p>
        </w:tc>
        <w:tc>
          <w:tcPr>
            <w:tcW w:w="4868" w:type="dxa"/>
          </w:tcPr>
          <w:p>
            <w:pPr>
              <w:rPr>
                <w:rFonts w:ascii="Arial" w:hAnsi="Arial" w:cs="Arial"/>
                <w:sz w:val="20"/>
                <w:szCs w:val="20"/>
              </w:rPr>
            </w:pPr>
            <w:r>
              <w:rPr>
                <w:rFonts w:ascii="Arial" w:hAnsi="Arial" w:cs="Arial"/>
                <w:sz w:val="20"/>
                <w:szCs w:val="20"/>
              </w:rPr>
              <w:t>New Annex G-1 and Tables A-D</w:t>
            </w:r>
          </w:p>
        </w:tc>
        <w:tc>
          <w:tcPr>
            <w:tcW w:w="3006" w:type="dxa"/>
          </w:tcPr>
          <w:p>
            <w:pPr>
              <w:rPr>
                <w:rFonts w:ascii="Arial" w:hAnsi="Arial" w:cs="Arial"/>
                <w:sz w:val="20"/>
                <w:szCs w:val="20"/>
              </w:rPr>
            </w:pPr>
            <w:r>
              <w:rPr>
                <w:rFonts w:ascii="Arial" w:hAnsi="Arial" w:cs="Arial"/>
                <w:sz w:val="20"/>
                <w:szCs w:val="20"/>
              </w:rPr>
              <w:t>Clean copy</w:t>
            </w:r>
          </w:p>
        </w:tc>
        <w:tc>
          <w:tcPr>
            <w:tcW w:w="4546" w:type="dxa"/>
          </w:tcPr>
          <w:p>
            <w:pPr>
              <w:rPr>
                <w:rFonts w:ascii="Arial" w:hAnsi="Arial" w:cs="Arial"/>
                <w:i/>
                <w:sz w:val="20"/>
                <w:szCs w:val="20"/>
              </w:rPr>
            </w:pPr>
            <w:r>
              <w:rPr>
                <w:rFonts w:ascii="Arial" w:hAnsi="Arial" w:cs="Arial"/>
                <w:i/>
                <w:sz w:val="20"/>
                <w:szCs w:val="20"/>
              </w:rPr>
              <w:t>Annex G-1</w:t>
            </w:r>
          </w:p>
          <w:p>
            <w:pPr>
              <w:rPr>
                <w:rFonts w:ascii="Arial" w:hAnsi="Arial" w:cs="Arial"/>
                <w:i/>
                <w:sz w:val="20"/>
                <w:szCs w:val="20"/>
              </w:rPr>
            </w:pPr>
          </w:p>
          <w:p>
            <w:pPr>
              <w:rPr>
                <w:rFonts w:ascii="Arial" w:hAnsi="Arial" w:cs="Arial"/>
                <w:i/>
                <w:sz w:val="20"/>
                <w:szCs w:val="20"/>
              </w:rPr>
            </w:pPr>
            <w:r>
              <w:rPr>
                <w:rFonts w:ascii="Arial" w:hAnsi="Arial" w:cs="Arial"/>
                <w:i/>
                <w:sz w:val="20"/>
                <w:szCs w:val="20"/>
              </w:rPr>
              <w:t xml:space="preserve">A new Annex to replace current Annex G-1.  Addresses various issues concerning Registration Details (as defined in TPD Section G3.1) including (i) what details make up Registration Details and whether they are relevant to CSS /Non-CSS Supply Points and also whether relevant to </w:t>
            </w:r>
            <w:proofErr w:type="spellStart"/>
            <w:r>
              <w:rPr>
                <w:rFonts w:ascii="Arial" w:hAnsi="Arial" w:cs="Arial"/>
                <w:i/>
                <w:sz w:val="20"/>
                <w:szCs w:val="20"/>
              </w:rPr>
              <w:t>CSEP</w:t>
            </w:r>
            <w:proofErr w:type="spellEnd"/>
            <w:r>
              <w:rPr>
                <w:rFonts w:ascii="Arial" w:hAnsi="Arial" w:cs="Arial"/>
                <w:i/>
                <w:sz w:val="20"/>
                <w:szCs w:val="20"/>
              </w:rPr>
              <w:t xml:space="preserve"> Supply Meter Points, (ii) at what stage in the registration process for both CSS/Non-CSS Supply Points Users will have access to particular Registration Details, (iii) what details need to be included in the new notifications to be given to and by the CDSP for the purposes of the registration of CSS Supply Points and (iv) how Registration Details may be modified and by whom during the life of a Supply Point. </w:t>
            </w:r>
          </w:p>
          <w:p>
            <w:pPr>
              <w:rPr>
                <w:rFonts w:ascii="Arial" w:hAnsi="Arial" w:cs="Arial"/>
                <w:sz w:val="20"/>
                <w:szCs w:val="20"/>
              </w:rPr>
            </w:pPr>
          </w:p>
        </w:tc>
      </w:tr>
      <w:tr>
        <w:tc>
          <w:tcPr>
            <w:tcW w:w="648" w:type="dxa"/>
          </w:tcPr>
          <w:p>
            <w:pPr>
              <w:rPr>
                <w:rFonts w:ascii="Arial" w:hAnsi="Arial" w:cs="Arial"/>
                <w:sz w:val="20"/>
                <w:szCs w:val="20"/>
              </w:rPr>
            </w:pPr>
            <w:r>
              <w:rPr>
                <w:rFonts w:ascii="Arial" w:hAnsi="Arial" w:cs="Arial"/>
                <w:sz w:val="20"/>
                <w:szCs w:val="20"/>
              </w:rPr>
              <w:t>[7</w:t>
            </w:r>
          </w:p>
        </w:tc>
        <w:tc>
          <w:tcPr>
            <w:tcW w:w="4868" w:type="dxa"/>
          </w:tcPr>
          <w:p>
            <w:pPr>
              <w:rPr>
                <w:rFonts w:ascii="Arial" w:hAnsi="Arial" w:cs="Arial"/>
                <w:sz w:val="20"/>
                <w:szCs w:val="20"/>
              </w:rPr>
            </w:pPr>
            <w:r>
              <w:rPr>
                <w:rFonts w:ascii="Arial" w:hAnsi="Arial" w:cs="Arial"/>
                <w:sz w:val="20"/>
                <w:szCs w:val="20"/>
              </w:rPr>
              <w:t>New 'baseline' for current TPD Section G</w:t>
            </w:r>
          </w:p>
        </w:tc>
        <w:tc>
          <w:tcPr>
            <w:tcW w:w="3006" w:type="dxa"/>
          </w:tcPr>
          <w:p>
            <w:pPr>
              <w:rPr>
                <w:rFonts w:ascii="Arial" w:hAnsi="Arial" w:cs="Arial"/>
                <w:sz w:val="20"/>
                <w:szCs w:val="20"/>
              </w:rPr>
            </w:pPr>
            <w:r>
              <w:rPr>
                <w:rFonts w:ascii="Arial" w:hAnsi="Arial" w:cs="Arial"/>
                <w:sz w:val="20"/>
                <w:szCs w:val="20"/>
              </w:rPr>
              <w:t>Mark-up.</w:t>
            </w:r>
          </w:p>
        </w:tc>
        <w:tc>
          <w:tcPr>
            <w:tcW w:w="4546" w:type="dxa"/>
          </w:tcPr>
          <w:p>
            <w:pPr>
              <w:rPr>
                <w:rFonts w:ascii="Arial" w:hAnsi="Arial" w:cs="Arial"/>
                <w:b/>
                <w:i/>
                <w:sz w:val="20"/>
                <w:szCs w:val="20"/>
              </w:rPr>
            </w:pPr>
            <w:r>
              <w:rPr>
                <w:rFonts w:ascii="Arial" w:hAnsi="Arial" w:cs="Arial"/>
                <w:i/>
                <w:sz w:val="20"/>
                <w:szCs w:val="20"/>
              </w:rPr>
              <w:t>Prior to making the changes current TPD Section G was re-ordered to make the sequence of the rules more logical; and the mark up shows the changes made for the purposes of creating a new 'baseline' version of TPD Section G.</w:t>
            </w:r>
          </w:p>
          <w:p>
            <w:pPr>
              <w:rPr>
                <w:rFonts w:ascii="Arial" w:hAnsi="Arial" w:cs="Arial"/>
                <w:b/>
                <w:sz w:val="20"/>
                <w:szCs w:val="20"/>
              </w:rPr>
            </w:pPr>
          </w:p>
        </w:tc>
      </w:tr>
      <w:tr>
        <w:tc>
          <w:tcPr>
            <w:tcW w:w="648" w:type="dxa"/>
          </w:tcPr>
          <w:p>
            <w:pPr>
              <w:rPr>
                <w:rFonts w:ascii="Arial" w:hAnsi="Arial" w:cs="Arial"/>
                <w:sz w:val="20"/>
                <w:szCs w:val="20"/>
              </w:rPr>
            </w:pPr>
            <w:r>
              <w:rPr>
                <w:rFonts w:ascii="Arial" w:hAnsi="Arial" w:cs="Arial"/>
                <w:sz w:val="20"/>
                <w:szCs w:val="20"/>
              </w:rPr>
              <w:t>8</w:t>
            </w:r>
          </w:p>
        </w:tc>
        <w:tc>
          <w:tcPr>
            <w:tcW w:w="4868" w:type="dxa"/>
          </w:tcPr>
          <w:p>
            <w:pPr>
              <w:rPr>
                <w:rFonts w:ascii="Arial" w:hAnsi="Arial" w:cs="Arial"/>
                <w:sz w:val="20"/>
                <w:szCs w:val="20"/>
              </w:rPr>
            </w:pPr>
            <w:r>
              <w:rPr>
                <w:rFonts w:ascii="Arial" w:hAnsi="Arial" w:cs="Arial"/>
                <w:sz w:val="20"/>
                <w:szCs w:val="20"/>
              </w:rPr>
              <w:t>Revised Section G</w:t>
            </w:r>
          </w:p>
        </w:tc>
        <w:tc>
          <w:tcPr>
            <w:tcW w:w="3006" w:type="dxa"/>
          </w:tcPr>
          <w:p>
            <w:pPr>
              <w:rPr>
                <w:rFonts w:ascii="Arial" w:hAnsi="Arial" w:cs="Arial"/>
                <w:sz w:val="20"/>
                <w:szCs w:val="20"/>
              </w:rPr>
            </w:pPr>
            <w:r>
              <w:rPr>
                <w:rFonts w:ascii="Arial" w:hAnsi="Arial" w:cs="Arial"/>
                <w:sz w:val="20"/>
                <w:szCs w:val="20"/>
              </w:rPr>
              <w:t>Mark-up of revised TPD Section G against new 'baseline' for current TPD Section G.</w:t>
            </w:r>
          </w:p>
        </w:tc>
        <w:tc>
          <w:tcPr>
            <w:tcW w:w="4546" w:type="dxa"/>
          </w:tcPr>
          <w:p>
            <w:pPr>
              <w:rPr>
                <w:rFonts w:ascii="Arial" w:hAnsi="Arial" w:cs="Arial"/>
                <w:sz w:val="20"/>
                <w:szCs w:val="20"/>
              </w:rPr>
            </w:pPr>
            <w:r>
              <w:rPr>
                <w:rFonts w:ascii="Arial" w:hAnsi="Arial" w:cs="Arial"/>
                <w:sz w:val="20"/>
                <w:szCs w:val="20"/>
              </w:rPr>
              <w:t>-</w:t>
            </w:r>
          </w:p>
        </w:tc>
      </w:tr>
      <w:tr>
        <w:tc>
          <w:tcPr>
            <w:tcW w:w="648" w:type="dxa"/>
          </w:tcPr>
          <w:p>
            <w:pPr>
              <w:rPr>
                <w:rFonts w:ascii="Arial" w:hAnsi="Arial" w:cs="Arial"/>
                <w:sz w:val="20"/>
                <w:szCs w:val="20"/>
              </w:rPr>
            </w:pPr>
          </w:p>
        </w:tc>
        <w:tc>
          <w:tcPr>
            <w:tcW w:w="4868" w:type="dxa"/>
          </w:tcPr>
          <w:p>
            <w:pPr>
              <w:rPr>
                <w:rFonts w:ascii="Arial" w:hAnsi="Arial" w:cs="Arial"/>
                <w:b/>
                <w:sz w:val="20"/>
                <w:szCs w:val="20"/>
              </w:rPr>
            </w:pPr>
            <w:r>
              <w:rPr>
                <w:rFonts w:ascii="Arial" w:hAnsi="Arial" w:cs="Arial"/>
                <w:b/>
                <w:sz w:val="20"/>
                <w:szCs w:val="20"/>
              </w:rPr>
              <w:t>TPD Section M (Supply Point Metering)</w:t>
            </w:r>
          </w:p>
        </w:tc>
        <w:tc>
          <w:tcPr>
            <w:tcW w:w="3006" w:type="dxa"/>
          </w:tcPr>
          <w:p>
            <w:pPr>
              <w:rPr>
                <w:rFonts w:ascii="Arial" w:hAnsi="Arial" w:cs="Arial"/>
                <w:b/>
                <w:sz w:val="20"/>
                <w:szCs w:val="20"/>
              </w:rPr>
            </w:pPr>
          </w:p>
        </w:tc>
        <w:tc>
          <w:tcPr>
            <w:tcW w:w="4546" w:type="dxa"/>
          </w:tcPr>
          <w:p>
            <w:pPr>
              <w:rPr>
                <w:rFonts w:ascii="Arial" w:hAnsi="Arial" w:cs="Arial"/>
                <w:b/>
                <w:sz w:val="20"/>
                <w:szCs w:val="20"/>
              </w:rPr>
            </w:pPr>
          </w:p>
        </w:tc>
      </w:tr>
      <w:tr>
        <w:tc>
          <w:tcPr>
            <w:tcW w:w="648" w:type="dxa"/>
          </w:tcPr>
          <w:p>
            <w:pPr>
              <w:rPr>
                <w:rFonts w:ascii="Arial" w:hAnsi="Arial" w:cs="Arial"/>
                <w:sz w:val="20"/>
                <w:szCs w:val="20"/>
              </w:rPr>
            </w:pPr>
            <w:r>
              <w:rPr>
                <w:rFonts w:ascii="Arial" w:hAnsi="Arial" w:cs="Arial"/>
                <w:sz w:val="20"/>
                <w:szCs w:val="20"/>
              </w:rPr>
              <w:t>9</w:t>
            </w:r>
          </w:p>
        </w:tc>
        <w:tc>
          <w:tcPr>
            <w:tcW w:w="4868" w:type="dxa"/>
          </w:tcPr>
          <w:p>
            <w:pPr>
              <w:rPr>
                <w:rFonts w:ascii="Arial" w:hAnsi="Arial" w:cs="Arial"/>
                <w:sz w:val="20"/>
                <w:szCs w:val="20"/>
              </w:rPr>
            </w:pPr>
            <w:r>
              <w:rPr>
                <w:rFonts w:ascii="Arial" w:hAnsi="Arial" w:cs="Arial"/>
                <w:sz w:val="20"/>
                <w:szCs w:val="20"/>
              </w:rPr>
              <w:t>Revised Section M</w:t>
            </w:r>
          </w:p>
        </w:tc>
        <w:tc>
          <w:tcPr>
            <w:tcW w:w="3006" w:type="dxa"/>
          </w:tcPr>
          <w:p>
            <w:pPr>
              <w:rPr>
                <w:rFonts w:ascii="Arial" w:hAnsi="Arial" w:cs="Arial"/>
                <w:sz w:val="20"/>
                <w:szCs w:val="20"/>
              </w:rPr>
            </w:pPr>
            <w:r>
              <w:rPr>
                <w:rFonts w:ascii="Arial" w:hAnsi="Arial" w:cs="Arial"/>
                <w:sz w:val="20"/>
                <w:szCs w:val="20"/>
              </w:rPr>
              <w:t>Mark-up against current TPD Section M.</w:t>
            </w:r>
          </w:p>
        </w:tc>
        <w:tc>
          <w:tcPr>
            <w:tcW w:w="4546" w:type="dxa"/>
          </w:tcPr>
          <w:p>
            <w:pPr>
              <w:rPr>
                <w:rFonts w:ascii="Arial" w:hAnsi="Arial" w:cs="Arial"/>
                <w:i/>
                <w:sz w:val="20"/>
                <w:szCs w:val="20"/>
                <w:u w:val="single"/>
              </w:rPr>
            </w:pPr>
            <w:r>
              <w:rPr>
                <w:rFonts w:ascii="Arial" w:hAnsi="Arial" w:cs="Arial"/>
                <w:i/>
                <w:sz w:val="20"/>
                <w:szCs w:val="20"/>
                <w:u w:val="single"/>
              </w:rPr>
              <w:t>Description of Changes</w:t>
            </w:r>
          </w:p>
          <w:p>
            <w:pPr>
              <w:rPr>
                <w:rFonts w:ascii="Arial" w:hAnsi="Arial" w:cs="Arial"/>
                <w:i/>
                <w:sz w:val="20"/>
                <w:szCs w:val="20"/>
                <w:u w:val="single"/>
              </w:rPr>
            </w:pPr>
          </w:p>
          <w:p>
            <w:pPr>
              <w:rPr>
                <w:rFonts w:ascii="Arial" w:hAnsi="Arial" w:cs="Arial"/>
                <w:sz w:val="20"/>
                <w:szCs w:val="20"/>
              </w:rPr>
            </w:pPr>
            <w:r>
              <w:rPr>
                <w:rFonts w:ascii="Arial" w:hAnsi="Arial" w:cs="Arial"/>
                <w:i/>
                <w:sz w:val="20"/>
                <w:szCs w:val="20"/>
              </w:rPr>
              <w:t>New paragraph 2.6 is a 'lift and shift' or current paragraph 3.3.</w:t>
            </w:r>
          </w:p>
          <w:p>
            <w:pPr>
              <w:rPr>
                <w:rFonts w:ascii="Arial" w:hAnsi="Arial" w:cs="Arial"/>
                <w:i/>
                <w:sz w:val="20"/>
                <w:szCs w:val="20"/>
                <w:u w:val="single"/>
              </w:rPr>
            </w:pPr>
          </w:p>
          <w:p>
            <w:pPr>
              <w:rPr>
                <w:rFonts w:ascii="Arial" w:hAnsi="Arial" w:cs="Arial"/>
                <w:i/>
                <w:sz w:val="20"/>
                <w:szCs w:val="20"/>
              </w:rPr>
            </w:pPr>
            <w:r>
              <w:rPr>
                <w:rFonts w:ascii="Arial" w:hAnsi="Arial" w:cs="Arial"/>
                <w:i/>
                <w:sz w:val="20"/>
                <w:szCs w:val="20"/>
              </w:rPr>
              <w:t>Some consequential changes to paragraph 4.2 reflecting new processes and terminology included in TPD Section G.</w:t>
            </w:r>
          </w:p>
          <w:p>
            <w:pPr>
              <w:rPr>
                <w:rFonts w:ascii="Arial" w:hAnsi="Arial" w:cs="Arial"/>
                <w:i/>
                <w:sz w:val="20"/>
                <w:szCs w:val="20"/>
              </w:rPr>
            </w:pPr>
          </w:p>
          <w:p>
            <w:pPr>
              <w:rPr>
                <w:rFonts w:ascii="Arial" w:hAnsi="Arial" w:cs="Arial"/>
                <w:i/>
                <w:sz w:val="20"/>
                <w:szCs w:val="20"/>
              </w:rPr>
            </w:pPr>
            <w:r>
              <w:rPr>
                <w:rFonts w:ascii="Arial" w:hAnsi="Arial" w:cs="Arial"/>
                <w:i/>
                <w:sz w:val="20"/>
                <w:szCs w:val="20"/>
              </w:rPr>
              <w:t xml:space="preserve">New rules relating to requirement for Proposing User to submit Opening Meter Reading for Supply Point Registration Date for all Classes of Supply Point and setting out of circumstances where in absence of submission of Opening Meter Reading </w:t>
            </w:r>
            <w:r>
              <w:rPr>
                <w:rFonts w:ascii="Arial" w:hAnsi="Arial" w:cs="Arial"/>
                <w:i/>
                <w:sz w:val="20"/>
                <w:szCs w:val="20"/>
              </w:rPr>
              <w:t xml:space="preserve">(or occurrence of other event) </w:t>
            </w:r>
            <w:r>
              <w:rPr>
                <w:rFonts w:ascii="Arial" w:hAnsi="Arial" w:cs="Arial"/>
                <w:i/>
                <w:sz w:val="20"/>
                <w:szCs w:val="20"/>
              </w:rPr>
              <w:t>the CDSP will generate an estimate to be used as the Opening Meter Reading and the basis on which such estimate will be generated.</w:t>
            </w:r>
          </w:p>
          <w:p>
            <w:pPr>
              <w:rPr>
                <w:rFonts w:ascii="Arial" w:hAnsi="Arial" w:cs="Arial"/>
                <w:b/>
                <w:sz w:val="20"/>
                <w:szCs w:val="20"/>
              </w:rPr>
            </w:pPr>
          </w:p>
        </w:tc>
      </w:tr>
      <w:tr>
        <w:tc>
          <w:tcPr>
            <w:tcW w:w="648" w:type="dxa"/>
          </w:tcPr>
          <w:p>
            <w:pPr>
              <w:rPr>
                <w:rFonts w:ascii="Arial" w:hAnsi="Arial" w:cs="Arial"/>
                <w:sz w:val="20"/>
                <w:szCs w:val="20"/>
              </w:rPr>
            </w:pPr>
          </w:p>
        </w:tc>
        <w:tc>
          <w:tcPr>
            <w:tcW w:w="4868" w:type="dxa"/>
          </w:tcPr>
          <w:p>
            <w:pPr>
              <w:rPr>
                <w:rFonts w:ascii="Arial" w:hAnsi="Arial" w:cs="Arial"/>
                <w:b/>
                <w:sz w:val="20"/>
                <w:szCs w:val="20"/>
              </w:rPr>
            </w:pPr>
            <w:r>
              <w:rPr>
                <w:rFonts w:ascii="Arial" w:hAnsi="Arial" w:cs="Arial"/>
                <w:b/>
                <w:sz w:val="20"/>
                <w:szCs w:val="20"/>
              </w:rPr>
              <w:t>UNC Other Sections</w:t>
            </w:r>
          </w:p>
        </w:tc>
        <w:tc>
          <w:tcPr>
            <w:tcW w:w="3006" w:type="dxa"/>
          </w:tcPr>
          <w:p>
            <w:pPr>
              <w:rPr>
                <w:rFonts w:ascii="Arial" w:hAnsi="Arial" w:cs="Arial"/>
                <w:sz w:val="20"/>
                <w:szCs w:val="20"/>
              </w:rPr>
            </w:pPr>
          </w:p>
        </w:tc>
        <w:tc>
          <w:tcPr>
            <w:tcW w:w="4546" w:type="dxa"/>
          </w:tcPr>
          <w:p>
            <w:pPr>
              <w:rPr>
                <w:rFonts w:ascii="Arial" w:hAnsi="Arial" w:cs="Arial"/>
                <w:b/>
                <w:sz w:val="20"/>
                <w:szCs w:val="20"/>
              </w:rPr>
            </w:pPr>
          </w:p>
        </w:tc>
      </w:tr>
      <w:tr>
        <w:tc>
          <w:tcPr>
            <w:tcW w:w="648" w:type="dxa"/>
          </w:tcPr>
          <w:p>
            <w:pPr>
              <w:rPr>
                <w:rFonts w:ascii="Arial" w:hAnsi="Arial" w:cs="Arial"/>
                <w:sz w:val="20"/>
                <w:szCs w:val="20"/>
              </w:rPr>
            </w:pPr>
            <w:r>
              <w:rPr>
                <w:rFonts w:ascii="Arial" w:hAnsi="Arial" w:cs="Arial"/>
                <w:sz w:val="20"/>
                <w:szCs w:val="20"/>
              </w:rPr>
              <w:t>10</w:t>
            </w:r>
          </w:p>
        </w:tc>
        <w:tc>
          <w:tcPr>
            <w:tcW w:w="4868" w:type="dxa"/>
          </w:tcPr>
          <w:p>
            <w:pPr>
              <w:rPr>
                <w:rFonts w:ascii="Arial" w:hAnsi="Arial" w:cs="Arial"/>
                <w:sz w:val="20"/>
                <w:szCs w:val="20"/>
              </w:rPr>
            </w:pPr>
            <w:r>
              <w:rPr>
                <w:rFonts w:ascii="Arial" w:hAnsi="Arial" w:cs="Arial"/>
                <w:sz w:val="20"/>
                <w:szCs w:val="20"/>
              </w:rPr>
              <w:t xml:space="preserve">Other changes to TPD Sections A, B, C, E, H, J, Q, S and V, </w:t>
            </w:r>
            <w:proofErr w:type="spellStart"/>
            <w:r>
              <w:rPr>
                <w:rFonts w:ascii="Arial" w:hAnsi="Arial" w:cs="Arial"/>
                <w:sz w:val="20"/>
                <w:szCs w:val="20"/>
              </w:rPr>
              <w:t>IGTAD</w:t>
            </w:r>
            <w:proofErr w:type="spellEnd"/>
            <w:r>
              <w:rPr>
                <w:rFonts w:ascii="Arial" w:hAnsi="Arial" w:cs="Arial"/>
                <w:sz w:val="20"/>
                <w:szCs w:val="20"/>
              </w:rPr>
              <w:t xml:space="preserve"> Sections A and E and GT Sections C and D </w:t>
            </w:r>
          </w:p>
        </w:tc>
        <w:tc>
          <w:tcPr>
            <w:tcW w:w="3006" w:type="dxa"/>
          </w:tcPr>
          <w:p>
            <w:pPr>
              <w:rPr>
                <w:rFonts w:ascii="Arial" w:hAnsi="Arial" w:cs="Arial"/>
                <w:sz w:val="20"/>
                <w:szCs w:val="20"/>
              </w:rPr>
            </w:pPr>
            <w:r>
              <w:rPr>
                <w:rFonts w:ascii="Arial" w:hAnsi="Arial" w:cs="Arial"/>
                <w:sz w:val="20"/>
                <w:szCs w:val="20"/>
              </w:rPr>
              <w:t xml:space="preserve">Mark up against relevant extract from current versions of relevant Section of TPD, </w:t>
            </w:r>
            <w:proofErr w:type="spellStart"/>
            <w:r>
              <w:rPr>
                <w:rFonts w:ascii="Arial" w:hAnsi="Arial" w:cs="Arial"/>
                <w:sz w:val="20"/>
                <w:szCs w:val="20"/>
              </w:rPr>
              <w:t>IGTAD</w:t>
            </w:r>
            <w:proofErr w:type="spellEnd"/>
            <w:r>
              <w:rPr>
                <w:rFonts w:ascii="Arial" w:hAnsi="Arial" w:cs="Arial"/>
                <w:sz w:val="20"/>
                <w:szCs w:val="20"/>
              </w:rPr>
              <w:t xml:space="preserve"> and GT.</w:t>
            </w:r>
          </w:p>
        </w:tc>
        <w:tc>
          <w:tcPr>
            <w:tcW w:w="4546" w:type="dxa"/>
          </w:tcPr>
          <w:p>
            <w:pPr>
              <w:rPr>
                <w:rFonts w:ascii="Arial" w:hAnsi="Arial" w:cs="Arial"/>
                <w:i/>
                <w:sz w:val="20"/>
                <w:szCs w:val="20"/>
                <w:u w:val="single"/>
              </w:rPr>
            </w:pPr>
            <w:r>
              <w:rPr>
                <w:rFonts w:ascii="Arial" w:hAnsi="Arial" w:cs="Arial"/>
                <w:i/>
                <w:sz w:val="20"/>
                <w:szCs w:val="20"/>
                <w:u w:val="single"/>
              </w:rPr>
              <w:t>Description of Changes</w:t>
            </w:r>
          </w:p>
          <w:p>
            <w:pPr>
              <w:rPr>
                <w:rFonts w:ascii="Arial" w:hAnsi="Arial" w:cs="Arial"/>
                <w:i/>
                <w:sz w:val="20"/>
                <w:szCs w:val="20"/>
                <w:u w:val="single"/>
              </w:rPr>
            </w:pPr>
          </w:p>
          <w:p>
            <w:pPr>
              <w:rPr>
                <w:rFonts w:ascii="Arial" w:hAnsi="Arial" w:cs="Arial"/>
                <w:i/>
                <w:sz w:val="20"/>
                <w:szCs w:val="20"/>
              </w:rPr>
            </w:pPr>
            <w:r>
              <w:rPr>
                <w:rFonts w:ascii="Arial" w:hAnsi="Arial" w:cs="Arial"/>
                <w:i/>
                <w:sz w:val="20"/>
                <w:szCs w:val="20"/>
              </w:rPr>
              <w:t>Amendments are generally consequential changes.</w:t>
            </w:r>
          </w:p>
          <w:p>
            <w:pPr>
              <w:rPr>
                <w:rFonts w:ascii="Arial" w:hAnsi="Arial" w:cs="Arial"/>
                <w:i/>
                <w:sz w:val="20"/>
                <w:szCs w:val="20"/>
              </w:rPr>
            </w:pPr>
          </w:p>
          <w:p>
            <w:pPr>
              <w:rPr>
                <w:rFonts w:ascii="Arial" w:hAnsi="Arial" w:cs="Arial"/>
                <w:b/>
                <w:sz w:val="20"/>
                <w:szCs w:val="20"/>
              </w:rPr>
            </w:pPr>
            <w:r>
              <w:rPr>
                <w:rFonts w:ascii="Arial" w:hAnsi="Arial" w:cs="Arial"/>
                <w:i/>
                <w:sz w:val="20"/>
                <w:szCs w:val="20"/>
              </w:rPr>
              <w:t>Addition in GT Section D of new term '</w:t>
            </w:r>
            <w:proofErr w:type="spellStart"/>
            <w:r>
              <w:rPr>
                <w:rFonts w:ascii="Arial" w:hAnsi="Arial" w:cs="Arial"/>
                <w:i/>
                <w:sz w:val="20"/>
                <w:szCs w:val="20"/>
              </w:rPr>
              <w:t>GRDA</w:t>
            </w:r>
            <w:proofErr w:type="spellEnd"/>
            <w:r>
              <w:rPr>
                <w:rFonts w:ascii="Arial" w:hAnsi="Arial" w:cs="Arial"/>
                <w:i/>
                <w:sz w:val="20"/>
                <w:szCs w:val="20"/>
              </w:rPr>
              <w:t xml:space="preserve"> Functions' to reflect functions assigned to the CDSP under the REC (distinct from CSS Functions), to categorise </w:t>
            </w:r>
            <w:proofErr w:type="spellStart"/>
            <w:r>
              <w:rPr>
                <w:rFonts w:ascii="Arial" w:hAnsi="Arial" w:cs="Arial"/>
                <w:i/>
                <w:sz w:val="20"/>
                <w:szCs w:val="20"/>
              </w:rPr>
              <w:t>GRDA</w:t>
            </w:r>
            <w:proofErr w:type="spellEnd"/>
            <w:r>
              <w:rPr>
                <w:rFonts w:ascii="Arial" w:hAnsi="Arial" w:cs="Arial"/>
                <w:i/>
                <w:sz w:val="20"/>
                <w:szCs w:val="20"/>
              </w:rPr>
              <w:t xml:space="preserve"> Functions as Direct Services and to confirm Code Parties will not do anything to hinder Transporter's GT licence obligations in respect of procuring the CDSP to perform </w:t>
            </w:r>
            <w:proofErr w:type="spellStart"/>
            <w:r>
              <w:rPr>
                <w:rFonts w:ascii="Arial" w:hAnsi="Arial" w:cs="Arial"/>
                <w:i/>
                <w:sz w:val="20"/>
                <w:szCs w:val="20"/>
              </w:rPr>
              <w:t>GRDA</w:t>
            </w:r>
            <w:proofErr w:type="spellEnd"/>
            <w:r>
              <w:rPr>
                <w:rFonts w:ascii="Arial" w:hAnsi="Arial" w:cs="Arial"/>
                <w:i/>
                <w:sz w:val="20"/>
                <w:szCs w:val="20"/>
              </w:rPr>
              <w:t xml:space="preserve"> Functions.</w:t>
            </w:r>
          </w:p>
          <w:p>
            <w:pPr>
              <w:rPr>
                <w:rFonts w:ascii="Arial" w:hAnsi="Arial" w:cs="Arial"/>
                <w:b/>
                <w:sz w:val="20"/>
                <w:szCs w:val="20"/>
              </w:rPr>
            </w:pPr>
          </w:p>
        </w:tc>
      </w:tr>
    </w:tbl>
    <w:p>
      <w:pPr>
        <w:ind w:left="720" w:hanging="720"/>
        <w:rPr>
          <w:b/>
        </w:rPr>
      </w:pPr>
    </w:p>
    <w:p>
      <w:pPr>
        <w:ind w:left="720" w:hanging="720"/>
        <w:rPr>
          <w:rFonts w:ascii="Arial" w:hAnsi="Arial" w:cs="Arial"/>
          <w:b/>
          <w:sz w:val="20"/>
          <w:szCs w:val="20"/>
        </w:rPr>
      </w:pPr>
      <w:r>
        <w:rPr>
          <w:b/>
        </w:rPr>
        <w:t>2</w:t>
      </w:r>
      <w:r>
        <w:rPr>
          <w:b/>
        </w:rPr>
        <w:tab/>
      </w:r>
      <w:r>
        <w:rPr>
          <w:rFonts w:ascii="Arial" w:hAnsi="Arial" w:cs="Arial"/>
          <w:b/>
          <w:sz w:val="20"/>
          <w:szCs w:val="20"/>
        </w:rPr>
        <w:t xml:space="preserve">Outstanding Matters </w:t>
      </w:r>
    </w:p>
    <w:p>
      <w:pPr>
        <w:ind w:left="720" w:hanging="720"/>
        <w:rPr>
          <w:rFonts w:ascii="Arial" w:hAnsi="Arial" w:cs="Arial"/>
          <w:sz w:val="20"/>
          <w:szCs w:val="20"/>
        </w:rPr>
      </w:pPr>
      <w:r>
        <w:rPr>
          <w:rFonts w:ascii="Arial" w:hAnsi="Arial" w:cs="Arial"/>
          <w:sz w:val="20"/>
          <w:szCs w:val="20"/>
        </w:rPr>
        <w:t>2.1</w:t>
      </w:r>
      <w:r>
        <w:rPr>
          <w:rFonts w:ascii="Arial" w:hAnsi="Arial" w:cs="Arial"/>
          <w:sz w:val="20"/>
          <w:szCs w:val="20"/>
        </w:rPr>
        <w:tab/>
        <w:t xml:space="preserve">Pending further consideration by </w:t>
      </w:r>
      <w:proofErr w:type="spellStart"/>
      <w:r>
        <w:rPr>
          <w:rFonts w:ascii="Arial" w:hAnsi="Arial" w:cs="Arial"/>
          <w:sz w:val="20"/>
          <w:szCs w:val="20"/>
        </w:rPr>
        <w:t>Ofgem</w:t>
      </w:r>
      <w:proofErr w:type="spellEnd"/>
      <w:r>
        <w:rPr>
          <w:rFonts w:ascii="Arial" w:hAnsi="Arial" w:cs="Arial"/>
          <w:sz w:val="20"/>
          <w:szCs w:val="20"/>
        </w:rPr>
        <w:t>, no changes have been made to the current rules relating to a Supplier of Last Resort at TPD Section G4.3 (currently TPD Section G2.1.6 to 2.1.14.</w:t>
      </w:r>
    </w:p>
    <w:p>
      <w:pPr>
        <w:ind w:left="720" w:hanging="720"/>
        <w:rPr>
          <w:rFonts w:ascii="Arial" w:hAnsi="Arial" w:cs="Arial"/>
          <w:sz w:val="20"/>
          <w:szCs w:val="20"/>
        </w:rPr>
      </w:pPr>
      <w:r>
        <w:rPr>
          <w:rFonts w:ascii="Arial" w:hAnsi="Arial" w:cs="Arial"/>
          <w:sz w:val="20"/>
          <w:szCs w:val="20"/>
        </w:rPr>
        <w:t>2.2</w:t>
      </w:r>
      <w:r>
        <w:rPr>
          <w:rFonts w:ascii="Arial" w:hAnsi="Arial" w:cs="Arial"/>
          <w:sz w:val="20"/>
          <w:szCs w:val="20"/>
        </w:rPr>
        <w:tab/>
        <w:t>In addition, the following should be noted:</w:t>
      </w:r>
    </w:p>
    <w:p>
      <w:pPr>
        <w:ind w:left="720" w:hanging="720"/>
        <w:rPr>
          <w:rFonts w:ascii="Arial" w:hAnsi="Arial" w:cs="Arial"/>
          <w:sz w:val="20"/>
          <w:szCs w:val="20"/>
        </w:rPr>
      </w:pPr>
      <w:r>
        <w:rPr>
          <w:rFonts w:ascii="Arial" w:hAnsi="Arial" w:cs="Arial"/>
          <w:sz w:val="20"/>
          <w:szCs w:val="20"/>
        </w:rPr>
        <w:tab/>
        <w:t>(a)</w:t>
      </w:r>
      <w:r>
        <w:rPr>
          <w:rFonts w:ascii="Arial" w:hAnsi="Arial" w:cs="Arial"/>
          <w:sz w:val="20"/>
          <w:szCs w:val="20"/>
        </w:rPr>
        <w:tab/>
        <w:t>the legal text does not cover any changes which may be required to any of the documents comprising the Data Services Contract;</w:t>
      </w:r>
    </w:p>
    <w:p>
      <w:pPr>
        <w:tabs>
          <w:tab w:val="left" w:pos="720"/>
        </w:tabs>
        <w:ind w:left="1440" w:hanging="1440"/>
        <w:rPr>
          <w:rFonts w:ascii="Arial" w:hAnsi="Arial" w:cs="Arial"/>
          <w:sz w:val="20"/>
          <w:szCs w:val="20"/>
        </w:rPr>
      </w:pPr>
      <w:r>
        <w:rPr>
          <w:rFonts w:ascii="Arial" w:hAnsi="Arial" w:cs="Arial"/>
          <w:sz w:val="20"/>
          <w:szCs w:val="20"/>
        </w:rPr>
        <w:tab/>
        <w:t>(b)</w:t>
      </w:r>
      <w:r>
        <w:rPr>
          <w:rFonts w:ascii="Arial" w:hAnsi="Arial" w:cs="Arial"/>
          <w:sz w:val="20"/>
          <w:szCs w:val="20"/>
        </w:rPr>
        <w:tab/>
        <w:t>the legal text does not included changes  (e.g. to TPD Section V5) which may be required to reflect the data enquiry service anticipated in the REC;</w:t>
      </w:r>
    </w:p>
    <w:p>
      <w:pPr>
        <w:ind w:left="720" w:hanging="720"/>
        <w:rPr>
          <w:rFonts w:ascii="Arial" w:hAnsi="Arial" w:cs="Arial"/>
          <w:sz w:val="20"/>
          <w:szCs w:val="20"/>
        </w:rPr>
      </w:pPr>
      <w:r>
        <w:rPr>
          <w:rFonts w:ascii="Arial" w:hAnsi="Arial" w:cs="Arial"/>
          <w:sz w:val="20"/>
          <w:szCs w:val="20"/>
        </w:rPr>
        <w:tab/>
        <w:t>(c)</w:t>
      </w:r>
      <w:r>
        <w:rPr>
          <w:rFonts w:ascii="Arial" w:hAnsi="Arial" w:cs="Arial"/>
          <w:sz w:val="20"/>
          <w:szCs w:val="20"/>
        </w:rPr>
        <w:tab/>
        <w:t>further drafting may be required once an agreed approach is confirmed in relation to licence exempt networks;</w:t>
      </w:r>
    </w:p>
    <w:p>
      <w:pPr>
        <w:ind w:left="720" w:hanging="720"/>
        <w:rPr>
          <w:rFonts w:ascii="Arial" w:hAnsi="Arial" w:cs="Arial"/>
          <w:sz w:val="20"/>
          <w:szCs w:val="20"/>
        </w:rPr>
      </w:pPr>
      <w:r>
        <w:rPr>
          <w:rFonts w:ascii="Arial" w:hAnsi="Arial" w:cs="Arial"/>
          <w:sz w:val="20"/>
          <w:szCs w:val="20"/>
        </w:rPr>
        <w:tab/>
        <w:t>(d)</w:t>
      </w:r>
      <w:r>
        <w:rPr>
          <w:rFonts w:ascii="Arial" w:hAnsi="Arial" w:cs="Arial"/>
          <w:sz w:val="20"/>
          <w:szCs w:val="20"/>
        </w:rPr>
        <w:tab/>
        <w:t>further changes may be required once the approach in the REC to Shared Supply Meter Points is confirmed; and</w:t>
      </w:r>
    </w:p>
    <w:p>
      <w:pPr>
        <w:ind w:left="720" w:hanging="720"/>
        <w:rPr>
          <w:rFonts w:ascii="Arial" w:hAnsi="Arial" w:cs="Arial"/>
          <w:sz w:val="20"/>
          <w:szCs w:val="20"/>
        </w:rPr>
      </w:pPr>
      <w:r>
        <w:rPr>
          <w:rFonts w:ascii="Arial" w:hAnsi="Arial" w:cs="Arial"/>
          <w:sz w:val="20"/>
          <w:szCs w:val="20"/>
        </w:rPr>
        <w:tab/>
        <w:t>(e)</w:t>
      </w:r>
      <w:r>
        <w:rPr>
          <w:rFonts w:ascii="Arial" w:hAnsi="Arial" w:cs="Arial"/>
          <w:sz w:val="20"/>
          <w:szCs w:val="20"/>
        </w:rPr>
        <w:tab/>
        <w:t>no transitional rules have been drafted (but see paragraph 3).</w:t>
      </w:r>
    </w:p>
    <w:p>
      <w:pPr>
        <w:ind w:left="720" w:hanging="720"/>
        <w:rPr>
          <w:rFonts w:ascii="Arial" w:hAnsi="Arial" w:cs="Arial"/>
          <w:b/>
          <w:sz w:val="20"/>
          <w:szCs w:val="20"/>
        </w:rPr>
      </w:pPr>
      <w:r>
        <w:rPr>
          <w:rFonts w:ascii="Arial" w:hAnsi="Arial" w:cs="Arial"/>
          <w:b/>
          <w:sz w:val="20"/>
          <w:szCs w:val="20"/>
        </w:rPr>
        <w:t>3</w:t>
      </w:r>
      <w:r>
        <w:rPr>
          <w:rFonts w:ascii="Arial" w:hAnsi="Arial" w:cs="Arial"/>
          <w:b/>
          <w:sz w:val="20"/>
          <w:szCs w:val="20"/>
        </w:rPr>
        <w:tab/>
        <w:t>Transitional Issues</w:t>
      </w:r>
    </w:p>
    <w:p>
      <w:pPr>
        <w:ind w:left="720" w:hanging="720"/>
        <w:rPr>
          <w:rFonts w:ascii="Arial" w:hAnsi="Arial" w:cs="Arial"/>
          <w:i/>
          <w:sz w:val="20"/>
          <w:szCs w:val="20"/>
        </w:rPr>
      </w:pPr>
      <w:r>
        <w:rPr>
          <w:rFonts w:ascii="Arial" w:hAnsi="Arial" w:cs="Arial"/>
          <w:b/>
          <w:sz w:val="20"/>
          <w:szCs w:val="20"/>
        </w:rPr>
        <w:tab/>
      </w:r>
      <w:r>
        <w:rPr>
          <w:rFonts w:ascii="Arial" w:hAnsi="Arial" w:cs="Arial"/>
          <w:i/>
          <w:sz w:val="20"/>
          <w:szCs w:val="20"/>
        </w:rPr>
        <w:t xml:space="preserve">Introduction </w:t>
      </w:r>
    </w:p>
    <w:p>
      <w:pPr>
        <w:ind w:left="720" w:hanging="720"/>
        <w:rPr>
          <w:rFonts w:ascii="Arial" w:hAnsi="Arial" w:cs="Arial"/>
          <w:sz w:val="20"/>
          <w:szCs w:val="20"/>
        </w:rPr>
      </w:pPr>
      <w:r>
        <w:rPr>
          <w:rFonts w:ascii="Arial" w:hAnsi="Arial" w:cs="Arial"/>
          <w:sz w:val="20"/>
          <w:szCs w:val="20"/>
        </w:rPr>
        <w:t>3.1</w:t>
      </w:r>
      <w:r>
        <w:rPr>
          <w:rFonts w:ascii="Arial" w:hAnsi="Arial" w:cs="Arial"/>
          <w:sz w:val="20"/>
          <w:szCs w:val="20"/>
        </w:rPr>
        <w:tab/>
        <w:t>Transition rules for the UNC will need to be tied to equivalent rules for the REC (which could but need not provide separate inception dates for gas and electricity).</w:t>
      </w:r>
    </w:p>
    <w:p>
      <w:pPr>
        <w:ind w:left="720" w:hanging="720"/>
        <w:rPr>
          <w:rFonts w:ascii="Arial" w:hAnsi="Arial" w:cs="Arial"/>
          <w:sz w:val="20"/>
          <w:szCs w:val="20"/>
        </w:rPr>
      </w:pPr>
      <w:r>
        <w:rPr>
          <w:rFonts w:ascii="Arial" w:hAnsi="Arial" w:cs="Arial"/>
          <w:sz w:val="20"/>
          <w:szCs w:val="20"/>
        </w:rPr>
        <w:t>3.2</w:t>
      </w:r>
      <w:r>
        <w:rPr>
          <w:rFonts w:ascii="Arial" w:hAnsi="Arial" w:cs="Arial"/>
          <w:sz w:val="20"/>
          <w:szCs w:val="20"/>
        </w:rPr>
        <w:tab/>
        <w:t>Transition rules for UNC could cover:</w:t>
      </w:r>
    </w:p>
    <w:p>
      <w:pPr>
        <w:ind w:left="720" w:hanging="720"/>
        <w:rPr>
          <w:rFonts w:ascii="Arial" w:hAnsi="Arial" w:cs="Arial"/>
          <w:sz w:val="20"/>
          <w:szCs w:val="20"/>
        </w:rPr>
      </w:pPr>
      <w:r>
        <w:rPr>
          <w:rFonts w:ascii="Arial" w:hAnsi="Arial" w:cs="Arial"/>
          <w:sz w:val="20"/>
          <w:szCs w:val="20"/>
        </w:rPr>
        <w:tab/>
        <w:t>(a)</w:t>
      </w:r>
      <w:r>
        <w:rPr>
          <w:rFonts w:ascii="Arial" w:hAnsi="Arial" w:cs="Arial"/>
          <w:sz w:val="20"/>
          <w:szCs w:val="20"/>
        </w:rPr>
        <w:tab/>
        <w:t>how the new rules come into effect and the old rules cease to have effect;</w:t>
      </w:r>
    </w:p>
    <w:p>
      <w:pPr>
        <w:ind w:left="720" w:hanging="720"/>
        <w:rPr>
          <w:rFonts w:ascii="Arial" w:hAnsi="Arial" w:cs="Arial"/>
          <w:sz w:val="20"/>
          <w:szCs w:val="20"/>
        </w:rPr>
      </w:pPr>
      <w:r>
        <w:rPr>
          <w:rFonts w:ascii="Arial" w:hAnsi="Arial" w:cs="Arial"/>
          <w:sz w:val="20"/>
          <w:szCs w:val="20"/>
        </w:rPr>
        <w:tab/>
        <w:t>(b)</w:t>
      </w:r>
      <w:r>
        <w:rPr>
          <w:rFonts w:ascii="Arial" w:hAnsi="Arial" w:cs="Arial"/>
          <w:sz w:val="20"/>
          <w:szCs w:val="20"/>
        </w:rPr>
        <w:tab/>
        <w:t>treatment of in-flight processes;</w:t>
      </w:r>
    </w:p>
    <w:p>
      <w:pPr>
        <w:ind w:left="720"/>
        <w:rPr>
          <w:rFonts w:ascii="Arial" w:hAnsi="Arial" w:cs="Arial"/>
          <w:sz w:val="20"/>
          <w:szCs w:val="20"/>
        </w:rPr>
      </w:pPr>
      <w:r>
        <w:rPr>
          <w:rFonts w:ascii="Arial" w:hAnsi="Arial" w:cs="Arial"/>
          <w:sz w:val="20"/>
          <w:szCs w:val="20"/>
        </w:rPr>
        <w:t>(c)</w:t>
      </w:r>
      <w:r>
        <w:rPr>
          <w:rFonts w:ascii="Arial" w:hAnsi="Arial" w:cs="Arial"/>
          <w:sz w:val="20"/>
          <w:szCs w:val="20"/>
        </w:rPr>
        <w:tab/>
        <w:t>carry-over or creation of classifications / status / other things under new rules; and</w:t>
      </w:r>
    </w:p>
    <w:p>
      <w:pPr>
        <w:ind w:left="720"/>
        <w:rPr>
          <w:rFonts w:ascii="Arial" w:hAnsi="Arial" w:cs="Arial"/>
          <w:sz w:val="20"/>
          <w:szCs w:val="20"/>
        </w:rPr>
      </w:pPr>
      <w:r>
        <w:rPr>
          <w:rFonts w:ascii="Arial" w:hAnsi="Arial" w:cs="Arial"/>
          <w:sz w:val="20"/>
          <w:szCs w:val="20"/>
        </w:rPr>
        <w:t>(d)</w:t>
      </w:r>
      <w:r>
        <w:rPr>
          <w:rFonts w:ascii="Arial" w:hAnsi="Arial" w:cs="Arial"/>
          <w:sz w:val="20"/>
          <w:szCs w:val="20"/>
        </w:rPr>
        <w:tab/>
        <w:t>initial database population.</w:t>
      </w:r>
    </w:p>
    <w:p>
      <w:pPr>
        <w:ind w:left="720" w:hanging="720"/>
        <w:rPr>
          <w:rFonts w:ascii="Arial" w:hAnsi="Arial" w:cs="Arial"/>
          <w:i/>
          <w:sz w:val="20"/>
          <w:szCs w:val="20"/>
        </w:rPr>
      </w:pPr>
      <w:r>
        <w:rPr>
          <w:rFonts w:ascii="Arial" w:hAnsi="Arial" w:cs="Arial"/>
          <w:sz w:val="20"/>
          <w:szCs w:val="20"/>
        </w:rPr>
        <w:tab/>
      </w:r>
      <w:r>
        <w:rPr>
          <w:rFonts w:ascii="Arial" w:hAnsi="Arial" w:cs="Arial"/>
          <w:i/>
          <w:sz w:val="20"/>
          <w:szCs w:val="20"/>
        </w:rPr>
        <w:t>Effective Date</w:t>
      </w:r>
    </w:p>
    <w:p>
      <w:pPr>
        <w:ind w:left="720" w:hanging="720"/>
        <w:rPr>
          <w:rFonts w:ascii="Arial" w:hAnsi="Arial" w:cs="Arial"/>
          <w:sz w:val="20"/>
          <w:szCs w:val="20"/>
        </w:rPr>
      </w:pPr>
      <w:r>
        <w:rPr>
          <w:rFonts w:ascii="Arial" w:hAnsi="Arial" w:cs="Arial"/>
          <w:sz w:val="20"/>
          <w:szCs w:val="20"/>
        </w:rPr>
        <w:t>3.3</w:t>
      </w:r>
      <w:r>
        <w:rPr>
          <w:rFonts w:ascii="Arial" w:hAnsi="Arial" w:cs="Arial"/>
          <w:sz w:val="20"/>
          <w:szCs w:val="20"/>
        </w:rPr>
        <w:tab/>
        <w:t>UNC transition rules would address:</w:t>
      </w:r>
    </w:p>
    <w:p>
      <w:pPr>
        <w:ind w:left="720" w:hanging="720"/>
        <w:rPr>
          <w:rFonts w:ascii="Arial" w:hAnsi="Arial" w:cs="Arial"/>
          <w:sz w:val="20"/>
          <w:szCs w:val="20"/>
        </w:rPr>
      </w:pPr>
      <w:r>
        <w:rPr>
          <w:rFonts w:ascii="Arial" w:hAnsi="Arial" w:cs="Arial"/>
          <w:sz w:val="20"/>
          <w:szCs w:val="20"/>
        </w:rPr>
        <w:tab/>
        <w:t>(a)</w:t>
      </w:r>
      <w:r>
        <w:rPr>
          <w:rFonts w:ascii="Arial" w:hAnsi="Arial" w:cs="Arial"/>
          <w:sz w:val="20"/>
          <w:szCs w:val="20"/>
        </w:rPr>
        <w:tab/>
        <w:t>the Effective Date (i.e. the Gas Flow Day) which can be the first Supply Point Registration Date under the new rules;</w:t>
      </w:r>
    </w:p>
    <w:p>
      <w:pPr>
        <w:ind w:left="720" w:hanging="720"/>
        <w:rPr>
          <w:rFonts w:ascii="Arial" w:hAnsi="Arial" w:cs="Arial"/>
          <w:sz w:val="20"/>
          <w:szCs w:val="20"/>
        </w:rPr>
      </w:pPr>
      <w:r>
        <w:rPr>
          <w:rFonts w:ascii="Arial" w:hAnsi="Arial" w:cs="Arial"/>
          <w:sz w:val="20"/>
          <w:szCs w:val="20"/>
        </w:rPr>
        <w:tab/>
        <w:t>(b)</w:t>
      </w:r>
      <w:r>
        <w:rPr>
          <w:rFonts w:ascii="Arial" w:hAnsi="Arial" w:cs="Arial"/>
          <w:sz w:val="20"/>
          <w:szCs w:val="20"/>
        </w:rPr>
        <w:tab/>
        <w:t>the dates (earlier than the Effective Date) which are the earliest Days on which:</w:t>
      </w:r>
    </w:p>
    <w:p>
      <w:pPr>
        <w:ind w:left="720" w:firstLine="720"/>
        <w:rPr>
          <w:rFonts w:ascii="Arial" w:hAnsi="Arial" w:cs="Arial"/>
          <w:sz w:val="20"/>
          <w:szCs w:val="20"/>
        </w:rPr>
      </w:pPr>
      <w:r>
        <w:rPr>
          <w:rFonts w:ascii="Arial" w:hAnsi="Arial" w:cs="Arial"/>
          <w:sz w:val="20"/>
          <w:szCs w:val="20"/>
        </w:rPr>
        <w:t>(i)</w:t>
      </w:r>
      <w:r>
        <w:rPr>
          <w:rFonts w:ascii="Arial" w:hAnsi="Arial" w:cs="Arial"/>
          <w:sz w:val="20"/>
          <w:szCs w:val="20"/>
        </w:rPr>
        <w:tab/>
        <w:t>Users can submit Referable Registration Nominations and Base Registration Nominations;</w:t>
      </w:r>
    </w:p>
    <w:p>
      <w:pPr>
        <w:ind w:left="720" w:firstLine="720"/>
        <w:rPr>
          <w:rFonts w:ascii="Arial" w:hAnsi="Arial" w:cs="Arial"/>
          <w:sz w:val="20"/>
          <w:szCs w:val="20"/>
        </w:rPr>
      </w:pPr>
      <w:r>
        <w:rPr>
          <w:rFonts w:ascii="Arial" w:hAnsi="Arial" w:cs="Arial"/>
          <w:sz w:val="20"/>
          <w:szCs w:val="20"/>
        </w:rPr>
        <w:t>(ii)</w:t>
      </w:r>
      <w:r>
        <w:rPr>
          <w:rFonts w:ascii="Arial" w:hAnsi="Arial" w:cs="Arial"/>
          <w:sz w:val="20"/>
          <w:szCs w:val="20"/>
        </w:rPr>
        <w:tab/>
        <w:t>the CDSP will receive notice from the CSS Provider of Relevant CSS Requests;</w:t>
      </w:r>
    </w:p>
    <w:p>
      <w:pPr>
        <w:ind w:left="1440" w:hanging="720"/>
        <w:rPr>
          <w:rFonts w:ascii="Arial" w:hAnsi="Arial" w:cs="Arial"/>
          <w:sz w:val="20"/>
          <w:szCs w:val="20"/>
        </w:rPr>
      </w:pPr>
      <w:r>
        <w:rPr>
          <w:rFonts w:ascii="Arial" w:hAnsi="Arial" w:cs="Arial"/>
          <w:sz w:val="20"/>
          <w:szCs w:val="20"/>
        </w:rPr>
        <w:t>(c)</w:t>
      </w:r>
      <w:r>
        <w:rPr>
          <w:rFonts w:ascii="Arial" w:hAnsi="Arial" w:cs="Arial"/>
          <w:sz w:val="20"/>
          <w:szCs w:val="20"/>
        </w:rPr>
        <w:tab/>
        <w:t xml:space="preserve">the latest dates on which Users can submit Supply Point Enquiries, Supply Point Nominations and Supply Point Confirmations (for CSS Supply Points) under the old rules. </w:t>
      </w:r>
    </w:p>
    <w:p>
      <w:pPr>
        <w:ind w:left="720" w:hanging="720"/>
        <w:rPr>
          <w:rFonts w:ascii="Arial" w:hAnsi="Arial" w:cs="Arial"/>
          <w:sz w:val="20"/>
          <w:szCs w:val="20"/>
        </w:rPr>
      </w:pPr>
      <w:r>
        <w:rPr>
          <w:rFonts w:ascii="Arial" w:hAnsi="Arial" w:cs="Arial"/>
          <w:sz w:val="20"/>
          <w:szCs w:val="20"/>
        </w:rPr>
        <w:t>3.4</w:t>
      </w:r>
      <w:r>
        <w:rPr>
          <w:rFonts w:ascii="Arial" w:hAnsi="Arial" w:cs="Arial"/>
          <w:sz w:val="20"/>
          <w:szCs w:val="20"/>
        </w:rPr>
        <w:tab/>
        <w:t xml:space="preserve">Linked to these, transition rules may specify 'non-business days' when processes under the old rules are suspended in order to allow the new systems to be commissioned / brought into operation. </w:t>
      </w:r>
    </w:p>
    <w:p>
      <w:pPr>
        <w:ind w:left="720" w:hanging="720"/>
        <w:rPr>
          <w:rFonts w:ascii="Arial" w:hAnsi="Arial" w:cs="Arial"/>
          <w:i/>
          <w:sz w:val="20"/>
          <w:szCs w:val="20"/>
        </w:rPr>
      </w:pPr>
      <w:r>
        <w:rPr>
          <w:rFonts w:ascii="Arial" w:hAnsi="Arial" w:cs="Arial"/>
          <w:sz w:val="20"/>
          <w:szCs w:val="20"/>
        </w:rPr>
        <w:tab/>
      </w:r>
      <w:r>
        <w:rPr>
          <w:rFonts w:ascii="Arial" w:hAnsi="Arial" w:cs="Arial"/>
          <w:i/>
          <w:sz w:val="20"/>
          <w:szCs w:val="20"/>
        </w:rPr>
        <w:t>In-flight things</w:t>
      </w:r>
    </w:p>
    <w:p>
      <w:pPr>
        <w:ind w:left="720" w:hanging="720"/>
        <w:rPr>
          <w:rFonts w:ascii="Arial" w:hAnsi="Arial" w:cs="Arial"/>
          <w:sz w:val="20"/>
          <w:szCs w:val="20"/>
        </w:rPr>
      </w:pPr>
      <w:r>
        <w:rPr>
          <w:rFonts w:ascii="Arial" w:hAnsi="Arial" w:cs="Arial"/>
          <w:sz w:val="20"/>
          <w:szCs w:val="20"/>
        </w:rPr>
        <w:t>3.5</w:t>
      </w:r>
      <w:r>
        <w:rPr>
          <w:rFonts w:ascii="Arial" w:hAnsi="Arial" w:cs="Arial"/>
          <w:sz w:val="20"/>
          <w:szCs w:val="20"/>
        </w:rPr>
        <w:tab/>
        <w:t>Presumably the basic existing processes simply fall away, i.e. Supply Point Enquiries, Supply Point Nominations, Supply Point Offers and Supply Point Confirmations (for CSS Supply Points) lapse if a Supply Point Registration has not gone live by the Effective Date.</w:t>
      </w:r>
    </w:p>
    <w:p>
      <w:pPr>
        <w:ind w:left="720" w:hanging="720"/>
        <w:rPr>
          <w:rFonts w:ascii="Arial" w:hAnsi="Arial" w:cs="Arial"/>
          <w:sz w:val="20"/>
          <w:szCs w:val="20"/>
        </w:rPr>
      </w:pPr>
      <w:r>
        <w:rPr>
          <w:rFonts w:ascii="Arial" w:hAnsi="Arial" w:cs="Arial"/>
          <w:sz w:val="20"/>
          <w:szCs w:val="20"/>
        </w:rPr>
        <w:t>3.6</w:t>
      </w:r>
      <w:r>
        <w:rPr>
          <w:rFonts w:ascii="Arial" w:hAnsi="Arial" w:cs="Arial"/>
          <w:sz w:val="20"/>
          <w:szCs w:val="20"/>
        </w:rPr>
        <w:tab/>
        <w:t>But the position might be different for referrals, isolation requests, the 'shipperless' site processes, re-establishment, and other longer term processes.</w:t>
      </w:r>
    </w:p>
    <w:p>
      <w:pPr>
        <w:ind w:left="720" w:hanging="720"/>
        <w:rPr>
          <w:rFonts w:ascii="Arial" w:hAnsi="Arial" w:cs="Arial"/>
          <w:i/>
          <w:sz w:val="20"/>
          <w:szCs w:val="20"/>
        </w:rPr>
      </w:pPr>
      <w:r>
        <w:rPr>
          <w:rFonts w:ascii="Arial" w:hAnsi="Arial" w:cs="Arial"/>
          <w:sz w:val="20"/>
          <w:szCs w:val="20"/>
        </w:rPr>
        <w:tab/>
      </w:r>
      <w:r>
        <w:rPr>
          <w:rFonts w:ascii="Arial" w:hAnsi="Arial" w:cs="Arial"/>
          <w:i/>
          <w:sz w:val="20"/>
          <w:szCs w:val="20"/>
        </w:rPr>
        <w:t>Carry-over/creation</w:t>
      </w:r>
    </w:p>
    <w:p>
      <w:pPr>
        <w:ind w:left="720" w:hanging="720"/>
        <w:rPr>
          <w:rFonts w:ascii="Arial" w:hAnsi="Arial" w:cs="Arial"/>
          <w:sz w:val="20"/>
          <w:szCs w:val="20"/>
        </w:rPr>
      </w:pPr>
      <w:r>
        <w:rPr>
          <w:rFonts w:ascii="Arial" w:hAnsi="Arial" w:cs="Arial"/>
          <w:sz w:val="20"/>
          <w:szCs w:val="20"/>
        </w:rPr>
        <w:t>3.7</w:t>
      </w:r>
      <w:r>
        <w:rPr>
          <w:rFonts w:ascii="Arial" w:hAnsi="Arial" w:cs="Arial"/>
          <w:sz w:val="20"/>
          <w:szCs w:val="20"/>
        </w:rPr>
        <w:tab/>
        <w:t>The initial versions of the Shipper-User Association Data and the Shipper-Transporter Association Data need to be created.</w:t>
      </w:r>
    </w:p>
    <w:p>
      <w:pPr>
        <w:ind w:left="720" w:hanging="720"/>
        <w:rPr>
          <w:rFonts w:ascii="Arial" w:hAnsi="Arial" w:cs="Arial"/>
          <w:sz w:val="20"/>
          <w:szCs w:val="20"/>
        </w:rPr>
      </w:pPr>
      <w:r>
        <w:rPr>
          <w:rFonts w:ascii="Arial" w:hAnsi="Arial" w:cs="Arial"/>
          <w:sz w:val="20"/>
          <w:szCs w:val="20"/>
        </w:rPr>
        <w:t>3.8</w:t>
      </w:r>
      <w:r>
        <w:rPr>
          <w:rFonts w:ascii="Arial" w:hAnsi="Arial" w:cs="Arial"/>
          <w:sz w:val="20"/>
          <w:szCs w:val="20"/>
        </w:rPr>
        <w:tab/>
        <w:t xml:space="preserve">There may be a need to address classification or status under the new rules – e.g. by carry-across of an existing classification or status (e.g. a </w:t>
      </w:r>
      <w:proofErr w:type="spellStart"/>
      <w:r>
        <w:rPr>
          <w:rFonts w:ascii="Arial" w:hAnsi="Arial" w:cs="Arial"/>
          <w:sz w:val="20"/>
          <w:szCs w:val="20"/>
        </w:rPr>
        <w:t>SMP</w:t>
      </w:r>
      <w:proofErr w:type="spellEnd"/>
      <w:r>
        <w:rPr>
          <w:rFonts w:ascii="Arial" w:hAnsi="Arial" w:cs="Arial"/>
          <w:sz w:val="20"/>
          <w:szCs w:val="20"/>
        </w:rPr>
        <w:t xml:space="preserve"> which is Isolated under the old rules remains Isolated); and any actions by the CDSP needed to give effect to this.</w:t>
      </w:r>
    </w:p>
    <w:p>
      <w:pPr>
        <w:ind w:left="720" w:hanging="720"/>
        <w:rPr>
          <w:rFonts w:ascii="Arial" w:hAnsi="Arial" w:cs="Arial"/>
          <w:sz w:val="20"/>
          <w:szCs w:val="20"/>
        </w:rPr>
      </w:pPr>
      <w:r>
        <w:rPr>
          <w:rFonts w:ascii="Arial" w:hAnsi="Arial" w:cs="Arial"/>
          <w:sz w:val="20"/>
          <w:szCs w:val="20"/>
        </w:rPr>
        <w:tab/>
      </w:r>
      <w:r>
        <w:rPr>
          <w:rFonts w:ascii="Arial" w:hAnsi="Arial" w:cs="Arial"/>
          <w:i/>
          <w:sz w:val="20"/>
          <w:szCs w:val="20"/>
        </w:rPr>
        <w:t>Database population</w:t>
      </w:r>
    </w:p>
    <w:p>
      <w:pPr>
        <w:ind w:left="720" w:hanging="720"/>
        <w:rPr>
          <w:rFonts w:ascii="Arial" w:hAnsi="Arial" w:cs="Arial"/>
          <w:sz w:val="20"/>
          <w:szCs w:val="20"/>
        </w:rPr>
      </w:pPr>
      <w:r>
        <w:rPr>
          <w:rFonts w:ascii="Arial" w:hAnsi="Arial" w:cs="Arial"/>
          <w:sz w:val="20"/>
          <w:szCs w:val="20"/>
        </w:rPr>
        <w:t>3.9</w:t>
      </w:r>
      <w:r>
        <w:rPr>
          <w:rFonts w:ascii="Arial" w:hAnsi="Arial" w:cs="Arial"/>
          <w:sz w:val="20"/>
          <w:szCs w:val="20"/>
        </w:rPr>
        <w:tab/>
        <w:t>Transition rules could impose obligations on UNC parties to participate in implementation processes to populate / update / clean up data.  But this could be done in other ways.</w:t>
      </w:r>
    </w:p>
    <w:p>
      <w:pPr>
        <w:ind w:left="720" w:hanging="720"/>
        <w:rPr>
          <w:rFonts w:ascii="Arial" w:hAnsi="Arial" w:cs="Arial"/>
          <w:sz w:val="20"/>
          <w:szCs w:val="20"/>
        </w:rPr>
      </w:pPr>
      <w:r>
        <w:rPr>
          <w:rFonts w:ascii="Arial" w:hAnsi="Arial" w:cs="Arial"/>
          <w:sz w:val="20"/>
          <w:szCs w:val="20"/>
        </w:rPr>
        <w:t>3.10</w:t>
      </w:r>
      <w:r>
        <w:rPr>
          <w:rFonts w:ascii="Arial" w:hAnsi="Arial" w:cs="Arial"/>
          <w:sz w:val="20"/>
          <w:szCs w:val="20"/>
        </w:rPr>
        <w:tab/>
        <w:t>This is potentially more relevant to REC/CSS than to the UNC.</w:t>
      </w:r>
    </w:p>
    <w:p>
      <w:pPr>
        <w:ind w:left="720" w:hanging="720"/>
        <w:rPr>
          <w:rFonts w:ascii="Arial" w:hAnsi="Arial" w:cs="Arial"/>
          <w:b/>
          <w:sz w:val="20"/>
          <w:szCs w:val="20"/>
        </w:rPr>
      </w:pPr>
      <w:r>
        <w:rPr>
          <w:rFonts w:ascii="Arial" w:hAnsi="Arial" w:cs="Arial"/>
          <w:b/>
          <w:sz w:val="20"/>
          <w:szCs w:val="20"/>
        </w:rPr>
        <w:t>4</w:t>
      </w:r>
      <w:r>
        <w:rPr>
          <w:rFonts w:ascii="Arial" w:hAnsi="Arial" w:cs="Arial"/>
          <w:b/>
          <w:sz w:val="20"/>
          <w:szCs w:val="20"/>
        </w:rPr>
        <w:tab/>
        <w:t>UNC – Versions of Code use in preparing Legal Text</w:t>
      </w:r>
    </w:p>
    <w:p>
      <w:pPr>
        <w:ind w:left="720" w:hanging="720"/>
        <w:rPr>
          <w:rFonts w:ascii="Arial" w:hAnsi="Arial" w:cs="Arial"/>
          <w:sz w:val="20"/>
          <w:szCs w:val="20"/>
        </w:rPr>
      </w:pPr>
      <w:r>
        <w:rPr>
          <w:rFonts w:ascii="Arial" w:hAnsi="Arial" w:cs="Arial"/>
          <w:sz w:val="20"/>
          <w:szCs w:val="20"/>
        </w:rPr>
        <w:t>4.1</w:t>
      </w:r>
      <w:r>
        <w:rPr>
          <w:rFonts w:ascii="Arial" w:hAnsi="Arial" w:cs="Arial"/>
          <w:sz w:val="20"/>
          <w:szCs w:val="20"/>
        </w:rPr>
        <w:tab/>
        <w:t xml:space="preserve">The changes to the UNC in the documents referred to in paragraph 2 are shown </w:t>
      </w:r>
      <w:bookmarkStart w:id="0" w:name="_GoBack"/>
      <w:bookmarkEnd w:id="0"/>
      <w:r>
        <w:rPr>
          <w:rFonts w:ascii="Arial" w:hAnsi="Arial" w:cs="Arial"/>
          <w:sz w:val="20"/>
          <w:szCs w:val="20"/>
        </w:rPr>
        <w:t>against the following versions of the UNC available from the Joint Office:</w:t>
      </w:r>
    </w:p>
    <w:tbl>
      <w:tblPr>
        <w:tblStyle w:val="TableGrid"/>
        <w:tblW w:w="0" w:type="auto"/>
        <w:tblInd w:w="720" w:type="dxa"/>
        <w:tblLook w:val="04A0" w:firstRow="1" w:lastRow="0" w:firstColumn="1" w:lastColumn="0" w:noHBand="0" w:noVBand="1"/>
      </w:tblPr>
      <w:tblGrid>
        <w:gridCol w:w="6727"/>
        <w:gridCol w:w="6727"/>
      </w:tblGrid>
      <w:tr>
        <w:tc>
          <w:tcPr>
            <w:tcW w:w="6727" w:type="dxa"/>
          </w:tcPr>
          <w:p>
            <w:pPr>
              <w:rPr>
                <w:rFonts w:ascii="Arial" w:hAnsi="Arial" w:cs="Arial"/>
                <w:b/>
                <w:sz w:val="20"/>
                <w:szCs w:val="20"/>
              </w:rPr>
            </w:pPr>
            <w:r>
              <w:rPr>
                <w:rFonts w:ascii="Arial" w:hAnsi="Arial" w:cs="Arial"/>
                <w:b/>
                <w:sz w:val="20"/>
                <w:szCs w:val="20"/>
              </w:rPr>
              <w:t>UNC Section</w:t>
            </w:r>
          </w:p>
        </w:tc>
        <w:tc>
          <w:tcPr>
            <w:tcW w:w="6727" w:type="dxa"/>
          </w:tcPr>
          <w:p>
            <w:pPr>
              <w:rPr>
                <w:rFonts w:ascii="Arial" w:hAnsi="Arial" w:cs="Arial"/>
                <w:b/>
                <w:sz w:val="20"/>
                <w:szCs w:val="20"/>
              </w:rPr>
            </w:pPr>
            <w:r>
              <w:rPr>
                <w:rFonts w:ascii="Arial" w:hAnsi="Arial" w:cs="Arial"/>
                <w:b/>
                <w:sz w:val="20"/>
                <w:szCs w:val="20"/>
              </w:rPr>
              <w:t>Version</w:t>
            </w:r>
          </w:p>
        </w:tc>
      </w:tr>
      <w:tr>
        <w:tc>
          <w:tcPr>
            <w:tcW w:w="6727" w:type="dxa"/>
          </w:tcPr>
          <w:p>
            <w:pPr>
              <w:rPr>
                <w:rFonts w:ascii="Arial" w:hAnsi="Arial" w:cs="Arial"/>
                <w:sz w:val="20"/>
                <w:szCs w:val="20"/>
              </w:rPr>
            </w:pPr>
            <w:r>
              <w:rPr>
                <w:rFonts w:ascii="Arial" w:hAnsi="Arial" w:cs="Arial"/>
                <w:sz w:val="20"/>
                <w:szCs w:val="20"/>
              </w:rPr>
              <w:t>TPD A</w:t>
            </w:r>
          </w:p>
        </w:tc>
        <w:tc>
          <w:tcPr>
            <w:tcW w:w="6727" w:type="dxa"/>
          </w:tcPr>
          <w:p>
            <w:pPr>
              <w:rPr>
                <w:rFonts w:ascii="Arial" w:hAnsi="Arial" w:cs="Arial"/>
                <w:sz w:val="20"/>
                <w:szCs w:val="20"/>
              </w:rPr>
            </w:pPr>
            <w:r>
              <w:rPr>
                <w:rFonts w:ascii="Arial" w:hAnsi="Arial" w:cs="Arial"/>
                <w:sz w:val="20"/>
                <w:szCs w:val="20"/>
              </w:rPr>
              <w:t>5.04  07 June 2017</w:t>
            </w:r>
          </w:p>
        </w:tc>
      </w:tr>
      <w:tr>
        <w:tc>
          <w:tcPr>
            <w:tcW w:w="6727" w:type="dxa"/>
          </w:tcPr>
          <w:p>
            <w:pPr>
              <w:rPr>
                <w:rFonts w:ascii="Arial" w:hAnsi="Arial" w:cs="Arial"/>
                <w:sz w:val="20"/>
                <w:szCs w:val="20"/>
              </w:rPr>
            </w:pPr>
            <w:r>
              <w:rPr>
                <w:rFonts w:ascii="Arial" w:hAnsi="Arial" w:cs="Arial"/>
                <w:sz w:val="20"/>
                <w:szCs w:val="20"/>
              </w:rPr>
              <w:t>TPD B</w:t>
            </w:r>
          </w:p>
        </w:tc>
        <w:tc>
          <w:tcPr>
            <w:tcW w:w="6727" w:type="dxa"/>
          </w:tcPr>
          <w:p>
            <w:pPr>
              <w:rPr>
                <w:rFonts w:ascii="Arial" w:hAnsi="Arial" w:cs="Arial"/>
                <w:sz w:val="20"/>
                <w:szCs w:val="20"/>
              </w:rPr>
            </w:pPr>
            <w:r>
              <w:rPr>
                <w:rFonts w:ascii="Arial" w:hAnsi="Arial" w:cs="Arial"/>
                <w:sz w:val="20"/>
                <w:szCs w:val="20"/>
              </w:rPr>
              <w:t>5.27  30 October 2018</w:t>
            </w:r>
          </w:p>
        </w:tc>
      </w:tr>
      <w:tr>
        <w:tc>
          <w:tcPr>
            <w:tcW w:w="6727" w:type="dxa"/>
          </w:tcPr>
          <w:p>
            <w:pPr>
              <w:rPr>
                <w:rFonts w:ascii="Arial" w:hAnsi="Arial" w:cs="Arial"/>
                <w:sz w:val="20"/>
                <w:szCs w:val="20"/>
              </w:rPr>
            </w:pPr>
            <w:r>
              <w:rPr>
                <w:rFonts w:ascii="Arial" w:hAnsi="Arial" w:cs="Arial"/>
                <w:sz w:val="20"/>
                <w:szCs w:val="20"/>
              </w:rPr>
              <w:t>TPD C</w:t>
            </w:r>
          </w:p>
        </w:tc>
        <w:tc>
          <w:tcPr>
            <w:tcW w:w="6727" w:type="dxa"/>
          </w:tcPr>
          <w:p>
            <w:pPr>
              <w:rPr>
                <w:rFonts w:ascii="Arial" w:hAnsi="Arial" w:cs="Arial"/>
                <w:sz w:val="20"/>
                <w:szCs w:val="20"/>
              </w:rPr>
            </w:pPr>
            <w:r>
              <w:rPr>
                <w:rFonts w:ascii="Arial" w:hAnsi="Arial" w:cs="Arial"/>
                <w:sz w:val="20"/>
                <w:szCs w:val="20"/>
              </w:rPr>
              <w:t>5.04  07 June 2017</w:t>
            </w:r>
          </w:p>
        </w:tc>
      </w:tr>
      <w:tr>
        <w:tc>
          <w:tcPr>
            <w:tcW w:w="6727" w:type="dxa"/>
          </w:tcPr>
          <w:p>
            <w:pPr>
              <w:rPr>
                <w:rFonts w:ascii="Arial" w:hAnsi="Arial" w:cs="Arial"/>
                <w:sz w:val="20"/>
                <w:szCs w:val="20"/>
              </w:rPr>
            </w:pPr>
            <w:r>
              <w:rPr>
                <w:rFonts w:ascii="Arial" w:hAnsi="Arial" w:cs="Arial"/>
                <w:sz w:val="20"/>
                <w:szCs w:val="20"/>
              </w:rPr>
              <w:t>TPD E</w:t>
            </w:r>
          </w:p>
        </w:tc>
        <w:tc>
          <w:tcPr>
            <w:tcW w:w="6727" w:type="dxa"/>
          </w:tcPr>
          <w:p>
            <w:pPr>
              <w:rPr>
                <w:rFonts w:ascii="Arial" w:hAnsi="Arial" w:cs="Arial"/>
                <w:sz w:val="20"/>
                <w:szCs w:val="20"/>
              </w:rPr>
            </w:pPr>
            <w:r>
              <w:rPr>
                <w:rFonts w:ascii="Arial" w:hAnsi="Arial" w:cs="Arial"/>
                <w:sz w:val="20"/>
                <w:szCs w:val="20"/>
              </w:rPr>
              <w:t>5.04  07 June 2017</w:t>
            </w:r>
          </w:p>
        </w:tc>
      </w:tr>
      <w:tr>
        <w:tc>
          <w:tcPr>
            <w:tcW w:w="6727" w:type="dxa"/>
          </w:tcPr>
          <w:p>
            <w:pPr>
              <w:rPr>
                <w:rFonts w:ascii="Arial" w:hAnsi="Arial" w:cs="Arial"/>
                <w:sz w:val="20"/>
                <w:szCs w:val="20"/>
              </w:rPr>
            </w:pPr>
            <w:r>
              <w:rPr>
                <w:rFonts w:ascii="Arial" w:hAnsi="Arial" w:cs="Arial"/>
                <w:sz w:val="20"/>
                <w:szCs w:val="20"/>
              </w:rPr>
              <w:t>TPD H</w:t>
            </w:r>
          </w:p>
        </w:tc>
        <w:tc>
          <w:tcPr>
            <w:tcW w:w="6727" w:type="dxa"/>
          </w:tcPr>
          <w:p>
            <w:pPr>
              <w:rPr>
                <w:rFonts w:ascii="Arial" w:hAnsi="Arial" w:cs="Arial"/>
                <w:sz w:val="20"/>
                <w:szCs w:val="20"/>
              </w:rPr>
            </w:pPr>
            <w:r>
              <w:rPr>
                <w:rFonts w:ascii="Arial" w:hAnsi="Arial" w:cs="Arial"/>
                <w:sz w:val="20"/>
                <w:szCs w:val="20"/>
              </w:rPr>
              <w:t>5.26  25 October 2018</w:t>
            </w:r>
          </w:p>
        </w:tc>
      </w:tr>
      <w:tr>
        <w:tc>
          <w:tcPr>
            <w:tcW w:w="6727" w:type="dxa"/>
          </w:tcPr>
          <w:p>
            <w:pPr>
              <w:rPr>
                <w:rFonts w:ascii="Arial" w:hAnsi="Arial" w:cs="Arial"/>
                <w:sz w:val="20"/>
                <w:szCs w:val="20"/>
              </w:rPr>
            </w:pPr>
            <w:r>
              <w:rPr>
                <w:rFonts w:ascii="Arial" w:hAnsi="Arial" w:cs="Arial"/>
                <w:sz w:val="20"/>
                <w:szCs w:val="20"/>
              </w:rPr>
              <w:t>TPD J</w:t>
            </w:r>
          </w:p>
        </w:tc>
        <w:tc>
          <w:tcPr>
            <w:tcW w:w="6727" w:type="dxa"/>
          </w:tcPr>
          <w:p>
            <w:pPr>
              <w:rPr>
                <w:rFonts w:ascii="Arial" w:hAnsi="Arial" w:cs="Arial"/>
                <w:sz w:val="20"/>
                <w:szCs w:val="20"/>
              </w:rPr>
            </w:pPr>
            <w:r>
              <w:rPr>
                <w:rFonts w:ascii="Arial" w:hAnsi="Arial" w:cs="Arial"/>
                <w:sz w:val="20"/>
                <w:szCs w:val="20"/>
              </w:rPr>
              <w:t>5.03  01 June 2017</w:t>
            </w:r>
          </w:p>
        </w:tc>
      </w:tr>
      <w:tr>
        <w:tc>
          <w:tcPr>
            <w:tcW w:w="6727" w:type="dxa"/>
          </w:tcPr>
          <w:p>
            <w:pPr>
              <w:rPr>
                <w:rFonts w:ascii="Arial" w:hAnsi="Arial" w:cs="Arial"/>
                <w:sz w:val="20"/>
                <w:szCs w:val="20"/>
              </w:rPr>
            </w:pPr>
            <w:r>
              <w:rPr>
                <w:rFonts w:ascii="Arial" w:hAnsi="Arial" w:cs="Arial"/>
                <w:sz w:val="20"/>
                <w:szCs w:val="20"/>
              </w:rPr>
              <w:t>TPD M</w:t>
            </w:r>
          </w:p>
        </w:tc>
        <w:tc>
          <w:tcPr>
            <w:tcW w:w="6727" w:type="dxa"/>
          </w:tcPr>
          <w:p>
            <w:pPr>
              <w:rPr>
                <w:rFonts w:ascii="Arial" w:hAnsi="Arial" w:cs="Arial"/>
                <w:sz w:val="20"/>
                <w:szCs w:val="20"/>
              </w:rPr>
            </w:pPr>
            <w:r>
              <w:rPr>
                <w:rFonts w:ascii="Arial" w:hAnsi="Arial" w:cs="Arial"/>
                <w:sz w:val="20"/>
                <w:szCs w:val="20"/>
              </w:rPr>
              <w:t>5.23  15 June 2018</w:t>
            </w:r>
          </w:p>
        </w:tc>
      </w:tr>
      <w:tr>
        <w:tc>
          <w:tcPr>
            <w:tcW w:w="6727" w:type="dxa"/>
          </w:tcPr>
          <w:p>
            <w:pPr>
              <w:rPr>
                <w:rFonts w:ascii="Arial" w:hAnsi="Arial" w:cs="Arial"/>
                <w:sz w:val="20"/>
                <w:szCs w:val="20"/>
              </w:rPr>
            </w:pPr>
            <w:r>
              <w:rPr>
                <w:rFonts w:ascii="Arial" w:hAnsi="Arial" w:cs="Arial"/>
                <w:sz w:val="20"/>
                <w:szCs w:val="20"/>
              </w:rPr>
              <w:t>TPD Q</w:t>
            </w:r>
          </w:p>
        </w:tc>
        <w:tc>
          <w:tcPr>
            <w:tcW w:w="6727" w:type="dxa"/>
          </w:tcPr>
          <w:p>
            <w:pPr>
              <w:rPr>
                <w:rFonts w:ascii="Arial" w:hAnsi="Arial" w:cs="Arial"/>
                <w:sz w:val="20"/>
                <w:szCs w:val="20"/>
              </w:rPr>
            </w:pPr>
            <w:r>
              <w:rPr>
                <w:rFonts w:ascii="Arial" w:hAnsi="Arial" w:cs="Arial"/>
                <w:sz w:val="20"/>
                <w:szCs w:val="20"/>
              </w:rPr>
              <w:t>5.03  01 June 2017</w:t>
            </w:r>
          </w:p>
        </w:tc>
      </w:tr>
      <w:tr>
        <w:tc>
          <w:tcPr>
            <w:tcW w:w="6727" w:type="dxa"/>
          </w:tcPr>
          <w:p>
            <w:pPr>
              <w:rPr>
                <w:rFonts w:ascii="Arial" w:hAnsi="Arial" w:cs="Arial"/>
                <w:sz w:val="20"/>
                <w:szCs w:val="20"/>
              </w:rPr>
            </w:pPr>
            <w:r>
              <w:rPr>
                <w:rFonts w:ascii="Arial" w:hAnsi="Arial" w:cs="Arial"/>
                <w:sz w:val="20"/>
                <w:szCs w:val="20"/>
              </w:rPr>
              <w:t>TPD S</w:t>
            </w:r>
          </w:p>
        </w:tc>
        <w:tc>
          <w:tcPr>
            <w:tcW w:w="6727" w:type="dxa"/>
          </w:tcPr>
          <w:p>
            <w:pPr>
              <w:rPr>
                <w:rFonts w:ascii="Arial" w:hAnsi="Arial" w:cs="Arial"/>
                <w:sz w:val="20"/>
                <w:szCs w:val="20"/>
              </w:rPr>
            </w:pPr>
            <w:r>
              <w:rPr>
                <w:rFonts w:ascii="Arial" w:hAnsi="Arial" w:cs="Arial"/>
                <w:sz w:val="20"/>
                <w:szCs w:val="20"/>
              </w:rPr>
              <w:t>5.03  01 June 2017</w:t>
            </w:r>
          </w:p>
        </w:tc>
      </w:tr>
      <w:tr>
        <w:tc>
          <w:tcPr>
            <w:tcW w:w="6727" w:type="dxa"/>
          </w:tcPr>
          <w:p>
            <w:pPr>
              <w:rPr>
                <w:rFonts w:ascii="Arial" w:hAnsi="Arial" w:cs="Arial"/>
                <w:sz w:val="20"/>
                <w:szCs w:val="20"/>
              </w:rPr>
            </w:pPr>
            <w:r>
              <w:rPr>
                <w:rFonts w:ascii="Arial" w:hAnsi="Arial" w:cs="Arial"/>
                <w:sz w:val="20"/>
                <w:szCs w:val="20"/>
              </w:rPr>
              <w:t>TPD V</w:t>
            </w:r>
          </w:p>
        </w:tc>
        <w:tc>
          <w:tcPr>
            <w:tcW w:w="6727" w:type="dxa"/>
          </w:tcPr>
          <w:p>
            <w:pPr>
              <w:rPr>
                <w:rFonts w:ascii="Arial" w:hAnsi="Arial" w:cs="Arial"/>
                <w:sz w:val="20"/>
                <w:szCs w:val="20"/>
              </w:rPr>
            </w:pPr>
            <w:r>
              <w:rPr>
                <w:rFonts w:ascii="Arial" w:hAnsi="Arial" w:cs="Arial"/>
                <w:sz w:val="20"/>
                <w:szCs w:val="20"/>
              </w:rPr>
              <w:t>5.31  07 December 2018</w:t>
            </w:r>
          </w:p>
        </w:tc>
      </w:tr>
      <w:tr>
        <w:tc>
          <w:tcPr>
            <w:tcW w:w="6727" w:type="dxa"/>
          </w:tcPr>
          <w:p>
            <w:pPr>
              <w:rPr>
                <w:rFonts w:ascii="Arial" w:hAnsi="Arial" w:cs="Arial"/>
                <w:sz w:val="20"/>
                <w:szCs w:val="20"/>
              </w:rPr>
            </w:pPr>
          </w:p>
        </w:tc>
        <w:tc>
          <w:tcPr>
            <w:tcW w:w="6727" w:type="dxa"/>
          </w:tcPr>
          <w:p>
            <w:pPr>
              <w:rPr>
                <w:rFonts w:ascii="Arial" w:hAnsi="Arial" w:cs="Arial"/>
                <w:sz w:val="20"/>
                <w:szCs w:val="20"/>
              </w:rPr>
            </w:pPr>
          </w:p>
        </w:tc>
      </w:tr>
      <w:tr>
        <w:tc>
          <w:tcPr>
            <w:tcW w:w="6727" w:type="dxa"/>
          </w:tcPr>
          <w:p>
            <w:pPr>
              <w:rPr>
                <w:rFonts w:ascii="Arial" w:hAnsi="Arial" w:cs="Arial"/>
                <w:sz w:val="20"/>
                <w:szCs w:val="20"/>
              </w:rPr>
            </w:pPr>
            <w:proofErr w:type="spellStart"/>
            <w:r>
              <w:rPr>
                <w:rFonts w:ascii="Arial" w:hAnsi="Arial" w:cs="Arial"/>
                <w:sz w:val="20"/>
                <w:szCs w:val="20"/>
              </w:rPr>
              <w:t>IGTAD</w:t>
            </w:r>
            <w:proofErr w:type="spellEnd"/>
            <w:r>
              <w:rPr>
                <w:rFonts w:ascii="Arial" w:hAnsi="Arial" w:cs="Arial"/>
                <w:sz w:val="20"/>
                <w:szCs w:val="20"/>
              </w:rPr>
              <w:t xml:space="preserve"> A</w:t>
            </w:r>
          </w:p>
        </w:tc>
        <w:tc>
          <w:tcPr>
            <w:tcW w:w="6727" w:type="dxa"/>
          </w:tcPr>
          <w:p>
            <w:pPr>
              <w:rPr>
                <w:rFonts w:ascii="Arial" w:hAnsi="Arial" w:cs="Arial"/>
                <w:sz w:val="20"/>
                <w:szCs w:val="20"/>
              </w:rPr>
            </w:pPr>
            <w:r>
              <w:rPr>
                <w:rFonts w:ascii="Arial" w:hAnsi="Arial" w:cs="Arial"/>
                <w:sz w:val="20"/>
                <w:szCs w:val="20"/>
              </w:rPr>
              <w:t>5.03  01 June 2017</w:t>
            </w:r>
          </w:p>
        </w:tc>
      </w:tr>
      <w:tr>
        <w:tc>
          <w:tcPr>
            <w:tcW w:w="6727" w:type="dxa"/>
          </w:tcPr>
          <w:p>
            <w:pPr>
              <w:rPr>
                <w:rFonts w:ascii="Arial" w:hAnsi="Arial" w:cs="Arial"/>
                <w:sz w:val="20"/>
                <w:szCs w:val="20"/>
              </w:rPr>
            </w:pPr>
            <w:proofErr w:type="spellStart"/>
            <w:r>
              <w:rPr>
                <w:rFonts w:ascii="Arial" w:hAnsi="Arial" w:cs="Arial"/>
                <w:sz w:val="20"/>
                <w:szCs w:val="20"/>
              </w:rPr>
              <w:t>IGTAD</w:t>
            </w:r>
            <w:proofErr w:type="spellEnd"/>
            <w:r>
              <w:rPr>
                <w:rFonts w:ascii="Arial" w:hAnsi="Arial" w:cs="Arial"/>
                <w:sz w:val="20"/>
                <w:szCs w:val="20"/>
              </w:rPr>
              <w:t xml:space="preserve"> E</w:t>
            </w:r>
          </w:p>
        </w:tc>
        <w:tc>
          <w:tcPr>
            <w:tcW w:w="6727" w:type="dxa"/>
          </w:tcPr>
          <w:p>
            <w:pPr>
              <w:rPr>
                <w:rFonts w:ascii="Arial" w:hAnsi="Arial" w:cs="Arial"/>
                <w:sz w:val="20"/>
                <w:szCs w:val="20"/>
              </w:rPr>
            </w:pPr>
            <w:r>
              <w:rPr>
                <w:rFonts w:ascii="Arial" w:hAnsi="Arial" w:cs="Arial"/>
                <w:sz w:val="20"/>
                <w:szCs w:val="20"/>
              </w:rPr>
              <w:t>5.03  01 June 2017</w:t>
            </w:r>
          </w:p>
        </w:tc>
      </w:tr>
      <w:tr>
        <w:tc>
          <w:tcPr>
            <w:tcW w:w="6727" w:type="dxa"/>
          </w:tcPr>
          <w:p>
            <w:pPr>
              <w:rPr>
                <w:rFonts w:ascii="Arial" w:hAnsi="Arial" w:cs="Arial"/>
                <w:sz w:val="20"/>
                <w:szCs w:val="20"/>
              </w:rPr>
            </w:pPr>
          </w:p>
        </w:tc>
        <w:tc>
          <w:tcPr>
            <w:tcW w:w="6727" w:type="dxa"/>
          </w:tcPr>
          <w:p>
            <w:pPr>
              <w:rPr>
                <w:rFonts w:ascii="Arial" w:hAnsi="Arial" w:cs="Arial"/>
                <w:sz w:val="20"/>
                <w:szCs w:val="20"/>
              </w:rPr>
            </w:pPr>
          </w:p>
        </w:tc>
      </w:tr>
      <w:tr>
        <w:tc>
          <w:tcPr>
            <w:tcW w:w="6727" w:type="dxa"/>
          </w:tcPr>
          <w:p>
            <w:pPr>
              <w:rPr>
                <w:rFonts w:ascii="Arial" w:hAnsi="Arial" w:cs="Arial"/>
                <w:sz w:val="20"/>
                <w:szCs w:val="20"/>
              </w:rPr>
            </w:pPr>
            <w:r>
              <w:rPr>
                <w:rFonts w:ascii="Arial" w:hAnsi="Arial" w:cs="Arial"/>
                <w:sz w:val="20"/>
                <w:szCs w:val="20"/>
              </w:rPr>
              <w:t>GT C</w:t>
            </w:r>
          </w:p>
        </w:tc>
        <w:tc>
          <w:tcPr>
            <w:tcW w:w="6727" w:type="dxa"/>
          </w:tcPr>
          <w:p>
            <w:pPr>
              <w:rPr>
                <w:rFonts w:ascii="Arial" w:hAnsi="Arial" w:cs="Arial"/>
                <w:sz w:val="20"/>
                <w:szCs w:val="20"/>
              </w:rPr>
            </w:pPr>
            <w:r>
              <w:rPr>
                <w:rFonts w:ascii="Arial" w:hAnsi="Arial" w:cs="Arial"/>
                <w:sz w:val="20"/>
                <w:szCs w:val="20"/>
              </w:rPr>
              <w:t>5.03  01 June 2017</w:t>
            </w:r>
          </w:p>
        </w:tc>
      </w:tr>
      <w:tr>
        <w:tc>
          <w:tcPr>
            <w:tcW w:w="6727" w:type="dxa"/>
          </w:tcPr>
          <w:p>
            <w:pPr>
              <w:rPr>
                <w:rFonts w:ascii="Arial" w:hAnsi="Arial" w:cs="Arial"/>
                <w:sz w:val="20"/>
                <w:szCs w:val="20"/>
              </w:rPr>
            </w:pPr>
            <w:r>
              <w:rPr>
                <w:rFonts w:ascii="Arial" w:hAnsi="Arial" w:cs="Arial"/>
                <w:sz w:val="20"/>
                <w:szCs w:val="20"/>
              </w:rPr>
              <w:t>GT D</w:t>
            </w:r>
          </w:p>
        </w:tc>
        <w:tc>
          <w:tcPr>
            <w:tcW w:w="6727" w:type="dxa"/>
          </w:tcPr>
          <w:p>
            <w:pPr>
              <w:rPr>
                <w:rFonts w:ascii="Arial" w:hAnsi="Arial" w:cs="Arial"/>
                <w:sz w:val="20"/>
                <w:szCs w:val="20"/>
              </w:rPr>
            </w:pPr>
            <w:r>
              <w:rPr>
                <w:rFonts w:ascii="Arial" w:hAnsi="Arial" w:cs="Arial"/>
                <w:sz w:val="20"/>
                <w:szCs w:val="20"/>
              </w:rPr>
              <w:t>5.30  30 November 2018</w:t>
            </w:r>
          </w:p>
        </w:tc>
      </w:tr>
    </w:tbl>
    <w:p>
      <w:pPr>
        <w:ind w:left="720" w:hanging="720"/>
        <w:rPr>
          <w:rFonts w:ascii="Arial" w:hAnsi="Arial" w:cs="Arial"/>
          <w:sz w:val="20"/>
          <w:szCs w:val="20"/>
        </w:rPr>
      </w:pPr>
      <w:r>
        <w:rPr>
          <w:rFonts w:ascii="Arial" w:hAnsi="Arial" w:cs="Arial"/>
          <w:sz w:val="20"/>
          <w:szCs w:val="20"/>
        </w:rPr>
        <w:t xml:space="preserve"> </w:t>
      </w:r>
    </w:p>
    <w:p>
      <w:pPr>
        <w:ind w:left="720" w:hanging="720"/>
        <w:rPr>
          <w:rFonts w:ascii="Arial" w:hAnsi="Arial" w:cs="Arial"/>
          <w:b/>
          <w:i/>
          <w:sz w:val="20"/>
          <w:szCs w:val="20"/>
        </w:rPr>
      </w:pPr>
      <w:r>
        <w:rPr>
          <w:rFonts w:ascii="Arial" w:hAnsi="Arial" w:cs="Arial"/>
          <w:b/>
          <w:i/>
          <w:sz w:val="20"/>
          <w:szCs w:val="20"/>
        </w:rPr>
        <w:t>Dentons UK and Middle East LLP</w:t>
      </w:r>
    </w:p>
    <w:p>
      <w:pPr>
        <w:ind w:left="720" w:hanging="720"/>
        <w:rPr>
          <w:rFonts w:ascii="Arial" w:hAnsi="Arial" w:cs="Arial"/>
          <w:b/>
          <w:i/>
          <w:sz w:val="20"/>
          <w:szCs w:val="20"/>
        </w:rPr>
      </w:pPr>
      <w:r>
        <w:rPr>
          <w:b/>
          <w:i/>
        </w:rPr>
        <w:t xml:space="preserve">9 April </w:t>
      </w:r>
      <w:r>
        <w:rPr>
          <w:rFonts w:ascii="Arial" w:hAnsi="Arial" w:cs="Arial"/>
          <w:b/>
          <w:i/>
          <w:sz w:val="20"/>
          <w:szCs w:val="20"/>
        </w:rPr>
        <w:t>2019</w:t>
      </w:r>
    </w:p>
    <w:sectPr>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fldSimple w:instr=" DOCPROPERTY DocumentNumber ">
      <w:r>
        <w:t>63920009.01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style>
  <w:style w:type="character" w:customStyle="1" w:styleId="Style1Char">
    <w:name w:val="Style1 Char"/>
    <w:basedOn w:val="DefaultParagraphFont"/>
    <w:link w:val="Style1"/>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style>
  <w:style w:type="character" w:customStyle="1" w:styleId="Style1Char">
    <w:name w:val="Style1 Char"/>
    <w:basedOn w:val="DefaultParagraphFont"/>
    <w:link w:val="Style1"/>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63920009.01</vt:lpstr>
    </vt:vector>
  </TitlesOfParts>
  <Company>Dentons</Company>
  <LinksUpToDate>false</LinksUpToDate>
  <CharactersWithSpaces>12320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63920009.01</dc:title>
  <dc:subject/>
  <dc:creator>Dentons</dc:creator>
  <cp:keywords/>
  <dc:description>SARN/DBT/036091.00005/63920009.01</dc:description>
  <cp:lastModifiedBy>Dentons</cp:lastModifiedBy>
  <cp:revision>7</cp:revision>
  <cp:lastPrinted>2019-03-20T19:04:00Z</cp:lastPrinted>
  <dcterms:created xsi:type="dcterms:W3CDTF">2019-03-21T17:34:00Z</dcterms:created>
  <dcterms:modified xsi:type="dcterms:W3CDTF">2019-04-09T14:56:00Z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63920009.01</vt:lpwstr>
  </property>
  <property fmtid="{D5CDD505-2E9C-101B-9397-08002B2CF9AE}" pid="3" name="Client/Matter">
    <vt:lpwstr>036091.00005</vt:lpwstr>
  </property>
  <property fmtid="{D5CDD505-2E9C-101B-9397-08002B2CF9AE}" pid="4" name="OurRef">
    <vt:lpwstr>SARN/DBT/036091.00005</vt:lpwstr>
  </property>
</Properties>
</file>