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4E" w:rsidRDefault="009C2FA4" w:rsidP="006A724E">
      <w:r w:rsidRPr="002C756F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4C1FB628" wp14:editId="779C0A73">
            <wp:simplePos x="0" y="0"/>
            <wp:positionH relativeFrom="column">
              <wp:posOffset>1255395</wp:posOffset>
            </wp:positionH>
            <wp:positionV relativeFrom="paragraph">
              <wp:posOffset>635</wp:posOffset>
            </wp:positionV>
            <wp:extent cx="3288665" cy="517525"/>
            <wp:effectExtent l="0" t="0" r="6985" b="0"/>
            <wp:wrapTight wrapText="bothSides">
              <wp:wrapPolygon edited="0">
                <wp:start x="0" y="0"/>
                <wp:lineTo x="0" y="1590"/>
                <wp:lineTo x="626" y="12721"/>
                <wp:lineTo x="0" y="19082"/>
                <wp:lineTo x="0" y="20672"/>
                <wp:lineTo x="21020" y="20672"/>
                <wp:lineTo x="21521" y="17492"/>
                <wp:lineTo x="21521" y="3975"/>
                <wp:lineTo x="208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FA4" w:rsidRDefault="009C2FA4" w:rsidP="00146769">
      <w:pPr>
        <w:spacing w:after="0" w:line="240" w:lineRule="auto"/>
        <w:jc w:val="center"/>
        <w:rPr>
          <w:rFonts w:asciiTheme="majorHAnsi" w:hAnsiTheme="majorHAnsi" w:cstheme="majorHAnsi"/>
          <w:b/>
          <w:color w:val="3E5AA8"/>
          <w:sz w:val="60"/>
          <w:szCs w:val="60"/>
        </w:rPr>
      </w:pPr>
    </w:p>
    <w:p w:rsidR="007B4360" w:rsidRPr="00A9117A" w:rsidRDefault="00BB5A00" w:rsidP="001A6BF4">
      <w:pPr>
        <w:spacing w:after="0" w:line="240" w:lineRule="auto"/>
        <w:jc w:val="center"/>
        <w:rPr>
          <w:rFonts w:cs="Arial"/>
        </w:rPr>
      </w:pPr>
      <w:r w:rsidRPr="00146769">
        <w:rPr>
          <w:rFonts w:asciiTheme="majorHAnsi" w:hAnsiTheme="majorHAnsi" w:cstheme="majorHAnsi"/>
          <w:b/>
          <w:color w:val="3E5AA8"/>
          <w:sz w:val="60"/>
          <w:szCs w:val="60"/>
        </w:rPr>
        <w:t xml:space="preserve">DSC </w:t>
      </w:r>
      <w:r w:rsidR="00727F20">
        <w:rPr>
          <w:rFonts w:asciiTheme="majorHAnsi" w:hAnsiTheme="majorHAnsi" w:cstheme="majorHAnsi"/>
          <w:b/>
          <w:color w:val="3E5AA8"/>
          <w:sz w:val="60"/>
          <w:szCs w:val="60"/>
        </w:rPr>
        <w:t>Business Evaluation Report</w:t>
      </w:r>
      <w:r w:rsidR="00AF37F5">
        <w:rPr>
          <w:rFonts w:asciiTheme="majorHAnsi" w:hAnsiTheme="majorHAnsi" w:cstheme="majorHAnsi"/>
          <w:b/>
          <w:color w:val="3E5AA8"/>
          <w:sz w:val="60"/>
          <w:szCs w:val="60"/>
        </w:rPr>
        <w:t xml:space="preserve"> (</w:t>
      </w:r>
      <w:r w:rsidR="00727F20">
        <w:rPr>
          <w:rFonts w:asciiTheme="majorHAnsi" w:hAnsiTheme="majorHAnsi" w:cstheme="majorHAnsi"/>
          <w:b/>
          <w:color w:val="3E5AA8"/>
          <w:sz w:val="60"/>
          <w:szCs w:val="60"/>
        </w:rPr>
        <w:t>BE</w:t>
      </w:r>
      <w:r w:rsidR="00E50847">
        <w:rPr>
          <w:rFonts w:asciiTheme="majorHAnsi" w:hAnsiTheme="majorHAnsi" w:cstheme="majorHAnsi"/>
          <w:b/>
          <w:color w:val="3E5AA8"/>
          <w:sz w:val="60"/>
          <w:szCs w:val="60"/>
        </w:rPr>
        <w:t>R)</w:t>
      </w:r>
      <w:r w:rsidR="00192B0D" w:rsidRPr="00A9117A">
        <w:rPr>
          <w:rFonts w:cs="Arial"/>
        </w:rPr>
        <w:t xml:space="preserve"> </w:t>
      </w:r>
    </w:p>
    <w:tbl>
      <w:tblPr>
        <w:tblStyle w:val="TableGrid"/>
        <w:tblW w:w="550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963"/>
        <w:gridCol w:w="5211"/>
      </w:tblGrid>
      <w:tr w:rsidR="00A9117A" w:rsidRPr="00A9117A" w:rsidTr="00CD007F">
        <w:tc>
          <w:tcPr>
            <w:tcW w:w="2439" w:type="pct"/>
            <w:shd w:val="clear" w:color="auto" w:fill="FFFFFF" w:themeFill="background1"/>
            <w:vAlign w:val="center"/>
          </w:tcPr>
          <w:p w:rsidR="006A724E" w:rsidRPr="005F5F70" w:rsidRDefault="00FF5462" w:rsidP="00076FF3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F5F70">
              <w:rPr>
                <w:rFonts w:ascii="Arial" w:hAnsi="Arial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561" w:type="pct"/>
          </w:tcPr>
          <w:p w:rsidR="006A724E" w:rsidRPr="00596ACB" w:rsidRDefault="002C7E03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Gemini Re-platform</w:t>
            </w:r>
          </w:p>
        </w:tc>
      </w:tr>
      <w:tr w:rsidR="00A9117A" w:rsidRPr="00A9117A" w:rsidTr="00CD007F">
        <w:tc>
          <w:tcPr>
            <w:tcW w:w="2439" w:type="pct"/>
            <w:shd w:val="clear" w:color="auto" w:fill="FFFFFF" w:themeFill="background1"/>
            <w:vAlign w:val="center"/>
          </w:tcPr>
          <w:p w:rsidR="006A724E" w:rsidRPr="005F5F70" w:rsidRDefault="00CD007F" w:rsidP="00076FF3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Xoserve reference n</w:t>
            </w:r>
            <w:r w:rsidR="00C83168" w:rsidRPr="005F5F70">
              <w:rPr>
                <w:rFonts w:ascii="Arial" w:hAnsi="Arial" w:cs="Arial"/>
                <w:b/>
                <w:sz w:val="20"/>
                <w:szCs w:val="16"/>
              </w:rPr>
              <w:t>umber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(XRN)</w:t>
            </w:r>
          </w:p>
        </w:tc>
        <w:tc>
          <w:tcPr>
            <w:tcW w:w="2561" w:type="pct"/>
          </w:tcPr>
          <w:p w:rsidR="006A724E" w:rsidRPr="00596ACB" w:rsidRDefault="002C7E03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CP4550</w:t>
            </w:r>
          </w:p>
        </w:tc>
      </w:tr>
      <w:tr w:rsidR="00A9117A" w:rsidRPr="00A9117A" w:rsidTr="00CD007F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724E" w:rsidRPr="005F5F70" w:rsidRDefault="009C272A" w:rsidP="00076FF3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F5F70">
              <w:rPr>
                <w:rFonts w:ascii="Arial" w:hAnsi="Arial" w:cs="Arial"/>
                <w:b/>
                <w:sz w:val="20"/>
                <w:szCs w:val="16"/>
              </w:rPr>
              <w:t>Xoserve</w:t>
            </w:r>
            <w:r w:rsidR="00FF5462" w:rsidRPr="005F5F70">
              <w:rPr>
                <w:rFonts w:ascii="Arial" w:hAnsi="Arial" w:cs="Arial"/>
                <w:b/>
                <w:sz w:val="20"/>
                <w:szCs w:val="16"/>
              </w:rPr>
              <w:t xml:space="preserve"> Project Manager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:rsidR="006A724E" w:rsidRPr="00596ACB" w:rsidRDefault="002C7E03" w:rsidP="00BB5A0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Hannah Reddy</w:t>
            </w:r>
          </w:p>
        </w:tc>
      </w:tr>
      <w:tr w:rsidR="00A9117A" w:rsidRPr="00A9117A" w:rsidTr="00CD007F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724E" w:rsidRPr="005F5F70" w:rsidRDefault="00FF5462" w:rsidP="00076FF3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F5F70">
              <w:rPr>
                <w:rFonts w:ascii="Arial" w:hAnsi="Arial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:rsidR="006A724E" w:rsidRPr="00596ACB" w:rsidRDefault="0054194F" w:rsidP="00BB5A00">
            <w:pPr>
              <w:rPr>
                <w:rFonts w:ascii="Arial" w:hAnsi="Arial" w:cs="Arial"/>
                <w:sz w:val="20"/>
                <w:szCs w:val="16"/>
              </w:rPr>
            </w:pPr>
            <w:hyperlink r:id="rId13" w:history="1">
              <w:r w:rsidR="002C7E03" w:rsidRPr="00E82EEE">
                <w:rPr>
                  <w:rStyle w:val="Hyperlink"/>
                  <w:rFonts w:cs="Arial"/>
                  <w:szCs w:val="16"/>
                </w:rPr>
                <w:t>Hannah.Reddy@xoserve.com</w:t>
              </w:r>
            </w:hyperlink>
          </w:p>
        </w:tc>
      </w:tr>
      <w:tr w:rsidR="00A9117A" w:rsidRPr="00A9117A" w:rsidTr="00CD007F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462" w:rsidRPr="00D82754" w:rsidRDefault="00FF5462" w:rsidP="00076FF3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82754">
              <w:rPr>
                <w:rFonts w:ascii="Arial" w:hAnsi="Arial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:rsidR="00FF5462" w:rsidRPr="00596ACB" w:rsidRDefault="002C7E03" w:rsidP="00BB5A00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0121 623 2826</w:t>
            </w:r>
          </w:p>
        </w:tc>
      </w:tr>
      <w:tr w:rsidR="001A2319" w:rsidRPr="00A9117A" w:rsidTr="00CD007F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2319" w:rsidRPr="008B1EF1" w:rsidRDefault="00DC6912" w:rsidP="00076FF3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8B1EF1">
              <w:rPr>
                <w:rFonts w:ascii="Arial" w:hAnsi="Arial" w:cs="Arial"/>
                <w:b/>
                <w:sz w:val="20"/>
                <w:szCs w:val="16"/>
              </w:rPr>
              <w:t>Target Ch</w:t>
            </w:r>
            <w:r w:rsidR="00CD007F" w:rsidRPr="008B1EF1">
              <w:rPr>
                <w:rFonts w:ascii="Arial" w:hAnsi="Arial" w:cs="Arial"/>
                <w:b/>
                <w:sz w:val="20"/>
                <w:szCs w:val="16"/>
              </w:rPr>
              <w:t xml:space="preserve">ange </w:t>
            </w:r>
            <w:r w:rsidRPr="008B1EF1">
              <w:rPr>
                <w:rFonts w:ascii="Arial" w:hAnsi="Arial" w:cs="Arial"/>
                <w:b/>
                <w:sz w:val="20"/>
                <w:szCs w:val="16"/>
              </w:rPr>
              <w:t>M</w:t>
            </w:r>
            <w:r w:rsidR="00CD007F" w:rsidRPr="008B1EF1">
              <w:rPr>
                <w:rFonts w:ascii="Arial" w:hAnsi="Arial" w:cs="Arial"/>
                <w:b/>
                <w:sz w:val="20"/>
                <w:szCs w:val="16"/>
              </w:rPr>
              <w:t xml:space="preserve">anagement Committee </w:t>
            </w:r>
            <w:r w:rsidRPr="008B1EF1">
              <w:rPr>
                <w:rFonts w:ascii="Arial" w:hAnsi="Arial" w:cs="Arial"/>
                <w:b/>
                <w:sz w:val="20"/>
                <w:szCs w:val="16"/>
              </w:rPr>
              <w:t>date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:rsidR="00F719B9" w:rsidRDefault="00F719B9" w:rsidP="00BB5A00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To be shared for information at February Change Management Committee.</w:t>
            </w:r>
          </w:p>
          <w:p w:rsidR="00F719B9" w:rsidRDefault="00F719B9" w:rsidP="00BB5A00">
            <w:pPr>
              <w:rPr>
                <w:rFonts w:cs="Arial"/>
                <w:szCs w:val="16"/>
              </w:rPr>
            </w:pPr>
          </w:p>
          <w:p w:rsidR="001A2319" w:rsidRPr="008B1EF1" w:rsidRDefault="00F719B9" w:rsidP="00F719B9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National Grid approval expected at</w:t>
            </w:r>
            <w:bookmarkStart w:id="0" w:name="_GoBack"/>
            <w:bookmarkEnd w:id="0"/>
            <w:r w:rsidR="008B1EF1" w:rsidRPr="008B1EF1">
              <w:rPr>
                <w:rFonts w:cs="Arial"/>
                <w:szCs w:val="16"/>
              </w:rPr>
              <w:t xml:space="preserve"> March Change Management Committee.</w:t>
            </w:r>
          </w:p>
        </w:tc>
      </w:tr>
      <w:tr w:rsidR="008E3FB0" w:rsidRPr="00683A0C" w:rsidTr="00CD007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:rsidR="008E3FB0" w:rsidRPr="003C52B2" w:rsidRDefault="00C83168" w:rsidP="00076FF3">
            <w:pPr>
              <w:jc w:val="center"/>
              <w:rPr>
                <w:rFonts w:cs="Arial"/>
                <w:b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</w:rPr>
              <w:t xml:space="preserve">Section 1: </w:t>
            </w:r>
            <w:r w:rsidR="00727F20" w:rsidRPr="00076FF3">
              <w:rPr>
                <w:rFonts w:cs="Arial"/>
                <w:b/>
                <w:color w:val="FFFFFF" w:themeColor="background1"/>
                <w:sz w:val="20"/>
              </w:rPr>
              <w:t>In Scope</w:t>
            </w:r>
          </w:p>
        </w:tc>
      </w:tr>
      <w:tr w:rsidR="008E3FB0" w:rsidRPr="00683A0C" w:rsidTr="00CD007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72D36" w:rsidRDefault="00972D36" w:rsidP="00137D0E">
            <w:pPr>
              <w:rPr>
                <w:rFonts w:cs="Arial"/>
                <w:color w:val="000000" w:themeColor="text1"/>
                <w:sz w:val="20"/>
              </w:rPr>
            </w:pPr>
            <w:r w:rsidRPr="00972D36">
              <w:rPr>
                <w:rFonts w:cs="Arial"/>
                <w:color w:val="000000" w:themeColor="text1"/>
                <w:sz w:val="20"/>
              </w:rPr>
              <w:t xml:space="preserve">National Grid Transmission took the decision to defer the planned rewrite of the Gemini system until beyond the end of the RIIO-T1 period. As a consequence a health assessment of Gemini was needed in order to understand the options for extending the </w:t>
            </w:r>
            <w:r>
              <w:rPr>
                <w:rFonts w:cs="Arial"/>
                <w:color w:val="000000" w:themeColor="text1"/>
                <w:sz w:val="20"/>
              </w:rPr>
              <w:t xml:space="preserve">existing </w:t>
            </w:r>
            <w:r w:rsidRPr="00972D36">
              <w:rPr>
                <w:rFonts w:cs="Arial"/>
                <w:color w:val="000000" w:themeColor="text1"/>
                <w:sz w:val="20"/>
              </w:rPr>
              <w:t xml:space="preserve">Gemini service into RIIO-T2. The recommendation of this health assessment was to </w:t>
            </w:r>
            <w:proofErr w:type="spellStart"/>
            <w:r w:rsidRPr="00972D36">
              <w:rPr>
                <w:rFonts w:cs="Arial"/>
                <w:color w:val="000000" w:themeColor="text1"/>
                <w:sz w:val="20"/>
              </w:rPr>
              <w:t>replatform</w:t>
            </w:r>
            <w:proofErr w:type="spellEnd"/>
            <w:r w:rsidRPr="00972D36">
              <w:rPr>
                <w:rFonts w:cs="Arial"/>
                <w:color w:val="000000" w:themeColor="text1"/>
                <w:sz w:val="20"/>
              </w:rPr>
              <w:t xml:space="preserve"> Gemini.</w:t>
            </w:r>
            <w:r w:rsidR="00EB61AF">
              <w:rPr>
                <w:rFonts w:cs="Arial"/>
                <w:color w:val="000000" w:themeColor="text1"/>
                <w:sz w:val="20"/>
              </w:rPr>
              <w:t xml:space="preserve"> The </w:t>
            </w:r>
            <w:proofErr w:type="spellStart"/>
            <w:r w:rsidR="00EB61AF">
              <w:rPr>
                <w:rFonts w:cs="Arial"/>
                <w:color w:val="000000" w:themeColor="text1"/>
                <w:sz w:val="20"/>
              </w:rPr>
              <w:t>replatforming</w:t>
            </w:r>
            <w:proofErr w:type="spellEnd"/>
            <w:r w:rsidR="00EB61AF">
              <w:rPr>
                <w:rFonts w:cs="Arial"/>
                <w:color w:val="000000" w:themeColor="text1"/>
                <w:sz w:val="20"/>
              </w:rPr>
              <w:t xml:space="preserve"> of Gemini will include moving the system to new hardware and any necessary upgrades to software.</w:t>
            </w:r>
          </w:p>
          <w:p w:rsidR="00972D36" w:rsidRDefault="00972D36" w:rsidP="00137D0E">
            <w:pPr>
              <w:rPr>
                <w:rFonts w:cs="Arial"/>
                <w:color w:val="000000" w:themeColor="text1"/>
                <w:sz w:val="20"/>
              </w:rPr>
            </w:pPr>
          </w:p>
          <w:p w:rsidR="00972D36" w:rsidRDefault="00972D36" w:rsidP="00137D0E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In parallel to this assessment, Xoserve has undertaken a review of its Data Centre Strategy. As a result Xoserve is planning to exit </w:t>
            </w:r>
            <w:r w:rsidR="00EB61AF">
              <w:rPr>
                <w:rFonts w:cs="Arial"/>
                <w:color w:val="000000" w:themeColor="text1"/>
                <w:sz w:val="20"/>
              </w:rPr>
              <w:t>two of its current</w:t>
            </w:r>
            <w:r>
              <w:rPr>
                <w:rFonts w:cs="Arial"/>
                <w:color w:val="000000" w:themeColor="text1"/>
                <w:sz w:val="20"/>
              </w:rPr>
              <w:t xml:space="preserve"> data centres whereby all elements currently hosted in the Peterborough/Kettering Data Centres will be migrated to a new Platform As A Service model.</w:t>
            </w:r>
          </w:p>
          <w:p w:rsidR="00972D36" w:rsidRDefault="00972D36" w:rsidP="00137D0E">
            <w:pPr>
              <w:rPr>
                <w:rFonts w:cs="Arial"/>
                <w:color w:val="000000" w:themeColor="text1"/>
                <w:sz w:val="20"/>
              </w:rPr>
            </w:pPr>
          </w:p>
          <w:p w:rsidR="008B1EF1" w:rsidRDefault="008B1EF1" w:rsidP="00137D0E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Gemini </w:t>
            </w:r>
            <w:proofErr w:type="spellStart"/>
            <w:r>
              <w:rPr>
                <w:rFonts w:cs="Arial"/>
                <w:color w:val="000000" w:themeColor="text1"/>
                <w:sz w:val="20"/>
              </w:rPr>
              <w:t>Replatform</w:t>
            </w:r>
            <w:proofErr w:type="spellEnd"/>
            <w:r w:rsidR="00EB61AF">
              <w:rPr>
                <w:rFonts w:cs="Arial"/>
                <w:color w:val="000000" w:themeColor="text1"/>
                <w:sz w:val="20"/>
              </w:rPr>
              <w:t xml:space="preserve"> will be delivered alongside the</w:t>
            </w:r>
            <w:r>
              <w:rPr>
                <w:rFonts w:cs="Arial"/>
                <w:color w:val="000000" w:themeColor="text1"/>
                <w:sz w:val="20"/>
              </w:rPr>
              <w:t xml:space="preserve"> wider </w:t>
            </w:r>
            <w:r w:rsidR="00EB61AF">
              <w:rPr>
                <w:rFonts w:cs="Arial"/>
                <w:color w:val="000000" w:themeColor="text1"/>
                <w:sz w:val="20"/>
              </w:rPr>
              <w:t>data centre exit</w:t>
            </w:r>
            <w:r>
              <w:rPr>
                <w:rFonts w:cs="Arial"/>
                <w:color w:val="000000" w:themeColor="text1"/>
                <w:sz w:val="20"/>
              </w:rPr>
              <w:t xml:space="preserve"> project </w:t>
            </w:r>
          </w:p>
          <w:p w:rsidR="008B1EF1" w:rsidRDefault="008B1EF1" w:rsidP="00137D0E">
            <w:pPr>
              <w:rPr>
                <w:rFonts w:cs="Arial"/>
                <w:color w:val="000000" w:themeColor="text1"/>
                <w:sz w:val="20"/>
              </w:rPr>
            </w:pPr>
          </w:p>
          <w:p w:rsidR="00137D0E" w:rsidRPr="008B1EF1" w:rsidRDefault="008B1EF1" w:rsidP="00137D0E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Xoserve has engaged with potential suppliers to obtain proposals for the hosting solution. </w:t>
            </w:r>
            <w:r w:rsidR="00137D0E">
              <w:rPr>
                <w:rFonts w:cs="Arial"/>
                <w:color w:val="000000" w:themeColor="text1"/>
                <w:sz w:val="20"/>
              </w:rPr>
              <w:t xml:space="preserve">The contract negotiation process with the preferred supplier </w:t>
            </w:r>
            <w:r>
              <w:rPr>
                <w:rFonts w:cs="Arial"/>
                <w:color w:val="000000" w:themeColor="text1"/>
                <w:sz w:val="20"/>
              </w:rPr>
              <w:t>is not due to complete until early 2019 therefore</w:t>
            </w:r>
            <w:r w:rsidR="00D81EAB">
              <w:rPr>
                <w:rFonts w:cs="Arial"/>
                <w:color w:val="000000" w:themeColor="text1"/>
                <w:sz w:val="20"/>
              </w:rPr>
              <w:t xml:space="preserve"> a firm plan is yet to be </w:t>
            </w:r>
            <w:r w:rsidR="00D81EAB" w:rsidRPr="008B1EF1">
              <w:rPr>
                <w:rFonts w:cs="Arial"/>
                <w:color w:val="000000" w:themeColor="text1"/>
                <w:sz w:val="20"/>
                <w:szCs w:val="20"/>
              </w:rPr>
              <w:t>confirmed. The project will include:</w:t>
            </w:r>
          </w:p>
          <w:p w:rsidR="00D81EAB" w:rsidRPr="008B1EF1" w:rsidRDefault="00D81EAB" w:rsidP="00D81EAB">
            <w:pPr>
              <w:pStyle w:val="ListParagraph"/>
              <w:numPr>
                <w:ilvl w:val="0"/>
                <w:numId w:val="13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B1EF1">
              <w:rPr>
                <w:rFonts w:cs="Arial"/>
                <w:color w:val="000000" w:themeColor="text1"/>
                <w:sz w:val="20"/>
                <w:szCs w:val="20"/>
              </w:rPr>
              <w:t>High level and Detailed Design</w:t>
            </w:r>
          </w:p>
          <w:p w:rsidR="00D81EAB" w:rsidRPr="008B1EF1" w:rsidRDefault="00D81EAB" w:rsidP="00D81EAB">
            <w:pPr>
              <w:pStyle w:val="ListParagraph"/>
              <w:numPr>
                <w:ilvl w:val="0"/>
                <w:numId w:val="13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B1EF1">
              <w:rPr>
                <w:rFonts w:cs="Arial"/>
                <w:color w:val="000000" w:themeColor="text1"/>
                <w:sz w:val="20"/>
                <w:szCs w:val="20"/>
              </w:rPr>
              <w:t>Build</w:t>
            </w:r>
          </w:p>
          <w:p w:rsidR="00D81EAB" w:rsidRPr="008B1EF1" w:rsidRDefault="00D81EAB" w:rsidP="00D81EAB">
            <w:pPr>
              <w:pStyle w:val="ListParagraph"/>
              <w:numPr>
                <w:ilvl w:val="0"/>
                <w:numId w:val="13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B1EF1">
              <w:rPr>
                <w:rFonts w:cs="Arial"/>
                <w:color w:val="000000" w:themeColor="text1"/>
                <w:sz w:val="20"/>
                <w:szCs w:val="20"/>
              </w:rPr>
              <w:t>Testing including Penetration Testing, Performance Testing and Interface Testing</w:t>
            </w:r>
          </w:p>
          <w:p w:rsidR="00D81EAB" w:rsidRPr="008B1EF1" w:rsidRDefault="00D81EAB" w:rsidP="00D81EAB">
            <w:pPr>
              <w:pStyle w:val="ListParagraph"/>
              <w:numPr>
                <w:ilvl w:val="0"/>
                <w:numId w:val="13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B1EF1">
              <w:rPr>
                <w:rFonts w:cs="Arial"/>
                <w:color w:val="000000" w:themeColor="text1"/>
                <w:sz w:val="20"/>
                <w:szCs w:val="20"/>
              </w:rPr>
              <w:t>Definition of Implementation strategy</w:t>
            </w:r>
          </w:p>
          <w:p w:rsidR="00D81EAB" w:rsidRPr="008B1EF1" w:rsidRDefault="00D81EAB" w:rsidP="00D81EAB">
            <w:pPr>
              <w:pStyle w:val="ListParagraph"/>
              <w:numPr>
                <w:ilvl w:val="0"/>
                <w:numId w:val="13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8B1EF1">
              <w:rPr>
                <w:rFonts w:cs="Arial"/>
                <w:color w:val="000000" w:themeColor="text1"/>
                <w:sz w:val="20"/>
                <w:szCs w:val="20"/>
              </w:rPr>
              <w:t>Definition of operate model</w:t>
            </w:r>
          </w:p>
          <w:p w:rsidR="00137D0E" w:rsidRPr="008B1EF1" w:rsidRDefault="00137D0E" w:rsidP="00137D0E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2C7E03" w:rsidRDefault="008B1EF1" w:rsidP="00AA0387">
            <w:pPr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Also, the </w:t>
            </w:r>
            <w:r w:rsidR="00D81EAB" w:rsidRPr="008B1EF1">
              <w:rPr>
                <w:rFonts w:cs="Arial"/>
                <w:color w:val="000000" w:themeColor="text1"/>
                <w:sz w:val="20"/>
                <w:szCs w:val="20"/>
              </w:rPr>
              <w:t>Non Functional Requirements</w:t>
            </w:r>
            <w:r w:rsidR="00D51E48">
              <w:rPr>
                <w:rFonts w:cs="Arial"/>
                <w:color w:val="000000" w:themeColor="text1"/>
                <w:sz w:val="20"/>
                <w:szCs w:val="20"/>
              </w:rPr>
              <w:t xml:space="preserve"> (NFRs)</w:t>
            </w:r>
            <w:r w:rsidR="00D81EAB" w:rsidRPr="008B1EF1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for Gemini were</w:t>
            </w:r>
            <w:r w:rsidR="00D81EAB" w:rsidRPr="008B1EF1">
              <w:rPr>
                <w:rFonts w:cs="Arial"/>
                <w:color w:val="000000" w:themeColor="text1"/>
                <w:sz w:val="20"/>
                <w:szCs w:val="20"/>
              </w:rPr>
              <w:t xml:space="preserve"> reassessed during the analysis phase. No significant changes were made however</w:t>
            </w:r>
            <w:r w:rsidR="00D51E48">
              <w:rPr>
                <w:rFonts w:cs="Arial"/>
                <w:color w:val="000000" w:themeColor="text1"/>
                <w:sz w:val="20"/>
              </w:rPr>
              <w:t xml:space="preserve"> a number of activities relating to the NFRs e.g. confirming owners are outstanding</w:t>
            </w:r>
            <w:r w:rsidR="00D81EAB">
              <w:rPr>
                <w:rFonts w:cs="Arial"/>
                <w:color w:val="000000" w:themeColor="text1"/>
                <w:sz w:val="20"/>
              </w:rPr>
              <w:t>.</w:t>
            </w:r>
            <w:r w:rsidR="00D51E48">
              <w:rPr>
                <w:rFonts w:cs="Arial"/>
                <w:color w:val="000000" w:themeColor="text1"/>
                <w:sz w:val="20"/>
              </w:rPr>
              <w:t xml:space="preserve"> A provisional plan for completion of these activities has been shared separately with National Grid.</w:t>
            </w:r>
          </w:p>
          <w:p w:rsidR="008B1EF1" w:rsidRDefault="008B1EF1" w:rsidP="00AA0387">
            <w:pPr>
              <w:rPr>
                <w:rFonts w:cs="Arial"/>
                <w:color w:val="000000" w:themeColor="text1"/>
                <w:sz w:val="20"/>
              </w:rPr>
            </w:pPr>
          </w:p>
          <w:p w:rsidR="008B1EF1" w:rsidRDefault="008B1EF1" w:rsidP="00AA0387">
            <w:pPr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National Grid raised a separate project to look at potential enhancements to the Gemini system. The analysis for this project identified some items that can be delivered under Gemini </w:t>
            </w:r>
            <w:proofErr w:type="spellStart"/>
            <w:r>
              <w:rPr>
                <w:rFonts w:cs="Arial"/>
                <w:color w:val="000000" w:themeColor="text1"/>
                <w:sz w:val="20"/>
              </w:rPr>
              <w:t>Replatform</w:t>
            </w:r>
            <w:proofErr w:type="spellEnd"/>
            <w:r>
              <w:rPr>
                <w:rFonts w:cs="Arial"/>
                <w:color w:val="000000" w:themeColor="text1"/>
                <w:sz w:val="20"/>
              </w:rPr>
              <w:t>. In the main these relate to training facilities and the provision of a more flexible user trials environment.</w:t>
            </w:r>
          </w:p>
          <w:p w:rsidR="00727F20" w:rsidRPr="00727F20" w:rsidRDefault="00727F20" w:rsidP="00AA0387">
            <w:pPr>
              <w:rPr>
                <w:rFonts w:cs="Arial"/>
                <w:i/>
                <w:color w:val="0070C0"/>
              </w:rPr>
            </w:pPr>
          </w:p>
        </w:tc>
      </w:tr>
      <w:tr w:rsidR="003C2945" w:rsidRPr="00683A0C" w:rsidTr="00CD007F">
        <w:trPr>
          <w:trHeight w:val="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:rsidR="003C2945" w:rsidRPr="003C52B2" w:rsidRDefault="00C83168" w:rsidP="00076FF3">
            <w:pPr>
              <w:jc w:val="center"/>
              <w:rPr>
                <w:rFonts w:cs="Arial"/>
                <w:b/>
                <w:color w:val="FF0000"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</w:rPr>
              <w:t xml:space="preserve">Section 2: </w:t>
            </w:r>
            <w:r w:rsidR="00727F20" w:rsidRPr="00076FF3">
              <w:rPr>
                <w:rFonts w:cs="Arial"/>
                <w:b/>
                <w:color w:val="FFFFFF" w:themeColor="background1"/>
                <w:sz w:val="20"/>
              </w:rPr>
              <w:t>Out of Scope</w:t>
            </w:r>
          </w:p>
        </w:tc>
      </w:tr>
      <w:tr w:rsidR="003C52B2" w:rsidRPr="00683A0C" w:rsidTr="00CD007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F5F70" w:rsidRPr="00D81EAB" w:rsidRDefault="00D81EAB" w:rsidP="00AA0387">
            <w:pPr>
              <w:pStyle w:val="ListParagraph"/>
              <w:ind w:left="0"/>
              <w:rPr>
                <w:rFonts w:cs="Arial"/>
                <w:color w:val="FF0000"/>
                <w:sz w:val="20"/>
              </w:rPr>
            </w:pPr>
            <w:r w:rsidRPr="00D81EAB">
              <w:rPr>
                <w:rFonts w:cs="Arial"/>
                <w:color w:val="000000" w:themeColor="text1"/>
                <w:sz w:val="20"/>
              </w:rPr>
              <w:t>Changes to the functionality of the Gemini system.</w:t>
            </w:r>
          </w:p>
        </w:tc>
      </w:tr>
      <w:tr w:rsidR="00727F20" w:rsidRPr="00683A0C" w:rsidTr="00CD007F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:rsidR="005F5F70" w:rsidRDefault="00C83168" w:rsidP="00CD007F">
            <w:pPr>
              <w:jc w:val="center"/>
              <w:rPr>
                <w:rFonts w:cs="Arial"/>
                <w:b/>
                <w:szCs w:val="16"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 xml:space="preserve">Section 3: </w:t>
            </w:r>
            <w:r w:rsidR="00CD007F">
              <w:rPr>
                <w:rFonts w:cs="Arial"/>
                <w:b/>
                <w:color w:val="FFFFFF" w:themeColor="background1"/>
                <w:sz w:val="20"/>
                <w:szCs w:val="16"/>
              </w:rPr>
              <w:t>Funding required</w:t>
            </w:r>
            <w:r w:rsidR="005F0151"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 xml:space="preserve"> to deliver the c</w:t>
            </w:r>
            <w:r w:rsidR="00727F20"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>hange</w:t>
            </w:r>
          </w:p>
        </w:tc>
      </w:tr>
      <w:tr w:rsidR="00727F20" w:rsidRPr="00683A0C" w:rsidTr="00CD007F">
        <w:tc>
          <w:tcPr>
            <w:tcW w:w="5000" w:type="pct"/>
            <w:gridSpan w:val="2"/>
            <w:shd w:val="clear" w:color="auto" w:fill="auto"/>
          </w:tcPr>
          <w:tbl>
            <w:tblPr>
              <w:tblStyle w:val="TableGrid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3161"/>
              <w:gridCol w:w="3672"/>
              <w:gridCol w:w="3260"/>
            </w:tblGrid>
            <w:tr w:rsidR="006D61E0" w:rsidTr="00410E09">
              <w:tc>
                <w:tcPr>
                  <w:tcW w:w="3161" w:type="dxa"/>
                </w:tcPr>
                <w:p w:rsidR="006D61E0" w:rsidRPr="001A2319" w:rsidRDefault="006D61E0" w:rsidP="00E66DEA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Gas Industry Participant</w:t>
                  </w:r>
                </w:p>
              </w:tc>
              <w:tc>
                <w:tcPr>
                  <w:tcW w:w="3672" w:type="dxa"/>
                </w:tcPr>
                <w:p w:rsidR="006D61E0" w:rsidRPr="001A2319" w:rsidRDefault="006D61E0" w:rsidP="00E66DEA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% Share of Cost</w:t>
                  </w:r>
                </w:p>
              </w:tc>
              <w:tc>
                <w:tcPr>
                  <w:tcW w:w="3260" w:type="dxa"/>
                </w:tcPr>
                <w:p w:rsidR="006D61E0" w:rsidRPr="001A2319" w:rsidRDefault="006D61E0" w:rsidP="00E66DEA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Cost Value</w:t>
                  </w:r>
                </w:p>
              </w:tc>
            </w:tr>
            <w:tr w:rsidR="006D61E0" w:rsidTr="00410E09">
              <w:tc>
                <w:tcPr>
                  <w:tcW w:w="3161" w:type="dxa"/>
                </w:tcPr>
                <w:p w:rsidR="006D61E0" w:rsidRPr="001A2319" w:rsidRDefault="006D61E0" w:rsidP="00727F20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Shippers</w:t>
                  </w:r>
                </w:p>
              </w:tc>
              <w:tc>
                <w:tcPr>
                  <w:tcW w:w="3672" w:type="dxa"/>
                  <w:vAlign w:val="center"/>
                </w:tcPr>
                <w:p w:rsidR="006D61E0" w:rsidRPr="00596ACB" w:rsidRDefault="006D61E0" w:rsidP="00E636BC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6D61E0" w:rsidRPr="00596ACB" w:rsidRDefault="006D61E0" w:rsidP="00E636BC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</w:p>
              </w:tc>
            </w:tr>
            <w:tr w:rsidR="006D61E0" w:rsidTr="00410E09">
              <w:tc>
                <w:tcPr>
                  <w:tcW w:w="3161" w:type="dxa"/>
                </w:tcPr>
                <w:p w:rsidR="006D61E0" w:rsidRPr="001A2319" w:rsidRDefault="006D61E0" w:rsidP="00727F20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iGT</w:t>
                  </w:r>
                  <w:r w:rsidR="005F5F70" w:rsidRPr="001A2319">
                    <w:rPr>
                      <w:rFonts w:cs="Arial"/>
                      <w:b/>
                      <w:sz w:val="20"/>
                      <w:szCs w:val="16"/>
                    </w:rPr>
                    <w:t>’</w:t>
                  </w: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s</w:t>
                  </w:r>
                </w:p>
              </w:tc>
              <w:tc>
                <w:tcPr>
                  <w:tcW w:w="3672" w:type="dxa"/>
                  <w:vAlign w:val="center"/>
                </w:tcPr>
                <w:p w:rsidR="006D61E0" w:rsidRPr="00596ACB" w:rsidRDefault="006D61E0" w:rsidP="00E636BC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6D61E0" w:rsidRPr="00596ACB" w:rsidRDefault="006D61E0" w:rsidP="00E636BC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</w:p>
              </w:tc>
            </w:tr>
            <w:tr w:rsidR="006D61E0" w:rsidTr="00410E09">
              <w:tc>
                <w:tcPr>
                  <w:tcW w:w="3161" w:type="dxa"/>
                </w:tcPr>
                <w:p w:rsidR="006D61E0" w:rsidRPr="001A2319" w:rsidRDefault="006D61E0" w:rsidP="00727F20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DNO</w:t>
                  </w:r>
                  <w:r w:rsidR="005F5F70" w:rsidRPr="001A2319">
                    <w:rPr>
                      <w:rFonts w:cs="Arial"/>
                      <w:b/>
                      <w:sz w:val="20"/>
                      <w:szCs w:val="16"/>
                    </w:rPr>
                    <w:t>’</w:t>
                  </w: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s</w:t>
                  </w:r>
                </w:p>
              </w:tc>
              <w:tc>
                <w:tcPr>
                  <w:tcW w:w="3672" w:type="dxa"/>
                  <w:vAlign w:val="center"/>
                </w:tcPr>
                <w:p w:rsidR="006D61E0" w:rsidRPr="00596ACB" w:rsidRDefault="006D61E0" w:rsidP="00E636BC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6D61E0" w:rsidRPr="00596ACB" w:rsidRDefault="006D61E0" w:rsidP="00E636BC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</w:p>
              </w:tc>
            </w:tr>
            <w:tr w:rsidR="006D61E0" w:rsidTr="00410E09">
              <w:tc>
                <w:tcPr>
                  <w:tcW w:w="3161" w:type="dxa"/>
                </w:tcPr>
                <w:p w:rsidR="006D61E0" w:rsidRPr="001A2319" w:rsidRDefault="006D61E0" w:rsidP="00727F20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lastRenderedPageBreak/>
                    <w:t>Transmission</w:t>
                  </w:r>
                </w:p>
              </w:tc>
              <w:tc>
                <w:tcPr>
                  <w:tcW w:w="3672" w:type="dxa"/>
                  <w:vAlign w:val="center"/>
                </w:tcPr>
                <w:p w:rsidR="006D61E0" w:rsidRPr="00596ACB" w:rsidRDefault="002C7E03" w:rsidP="00E636BC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r>
                    <w:rPr>
                      <w:rFonts w:cs="Arial"/>
                      <w:b/>
                      <w:sz w:val="20"/>
                      <w:szCs w:val="16"/>
                    </w:rPr>
                    <w:t>100%</w:t>
                  </w:r>
                </w:p>
              </w:tc>
              <w:tc>
                <w:tcPr>
                  <w:tcW w:w="3260" w:type="dxa"/>
                  <w:vAlign w:val="center"/>
                </w:tcPr>
                <w:p w:rsidR="006D61E0" w:rsidRPr="00596ACB" w:rsidRDefault="00D51E48" w:rsidP="00EE2647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EE2647">
                    <w:rPr>
                      <w:rFonts w:cs="Arial"/>
                      <w:b/>
                      <w:sz w:val="20"/>
                      <w:szCs w:val="16"/>
                    </w:rPr>
                    <w:t>Cost for delivery is estimated at</w:t>
                  </w:r>
                  <w:r w:rsidR="007C10DD">
                    <w:rPr>
                      <w:rFonts w:cs="Arial"/>
                      <w:b/>
                      <w:sz w:val="20"/>
                      <w:szCs w:val="16"/>
                    </w:rPr>
                    <w:t xml:space="preserve"> </w:t>
                  </w:r>
                  <w:r w:rsidR="00D81EAB" w:rsidRPr="00EE2647">
                    <w:rPr>
                      <w:rFonts w:cs="Arial"/>
                      <w:b/>
                      <w:sz w:val="20"/>
                      <w:szCs w:val="16"/>
                    </w:rPr>
                    <w:t>£</w:t>
                  </w:r>
                  <w:r w:rsidR="00EE2647" w:rsidRPr="00EE2647">
                    <w:rPr>
                      <w:rFonts w:cs="Arial"/>
                      <w:b/>
                      <w:sz w:val="20"/>
                      <w:szCs w:val="16"/>
                    </w:rPr>
                    <w:t>9,300,000</w:t>
                  </w:r>
                </w:p>
              </w:tc>
            </w:tr>
            <w:tr w:rsidR="006D61E0" w:rsidTr="00410E09">
              <w:tc>
                <w:tcPr>
                  <w:tcW w:w="3161" w:type="dxa"/>
                </w:tcPr>
                <w:p w:rsidR="006D61E0" w:rsidRPr="001A2319" w:rsidRDefault="006D61E0" w:rsidP="00727F20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DN</w:t>
                  </w:r>
                  <w:r w:rsidR="00296068" w:rsidRPr="001A2319">
                    <w:rPr>
                      <w:rFonts w:cs="Arial"/>
                      <w:b/>
                      <w:sz w:val="20"/>
                      <w:szCs w:val="16"/>
                    </w:rPr>
                    <w:t xml:space="preserve"> &amp; </w:t>
                  </w: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iGT</w:t>
                  </w:r>
                </w:p>
              </w:tc>
              <w:tc>
                <w:tcPr>
                  <w:tcW w:w="3672" w:type="dxa"/>
                  <w:vAlign w:val="center"/>
                </w:tcPr>
                <w:p w:rsidR="006D61E0" w:rsidRPr="00596ACB" w:rsidRDefault="006D61E0" w:rsidP="00E636BC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6D61E0" w:rsidRPr="00596ACB" w:rsidRDefault="006D61E0" w:rsidP="00E636BC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</w:p>
              </w:tc>
            </w:tr>
            <w:tr w:rsidR="005F5F70" w:rsidTr="00410E09">
              <w:tc>
                <w:tcPr>
                  <w:tcW w:w="3161" w:type="dxa"/>
                </w:tcPr>
                <w:p w:rsidR="005F5F70" w:rsidRPr="001A2319" w:rsidRDefault="00163A82" w:rsidP="00727F20">
                  <w:pPr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b/>
                      <w:sz w:val="20"/>
                      <w:szCs w:val="16"/>
                    </w:rPr>
                    <w:t>Total C</w:t>
                  </w:r>
                  <w:r w:rsidR="001A2319" w:rsidRPr="001A2319">
                    <w:rPr>
                      <w:rFonts w:cs="Arial"/>
                      <w:b/>
                      <w:sz w:val="20"/>
                      <w:szCs w:val="16"/>
                    </w:rPr>
                    <w:t>ost</w:t>
                  </w:r>
                </w:p>
              </w:tc>
              <w:tc>
                <w:tcPr>
                  <w:tcW w:w="3672" w:type="dxa"/>
                  <w:vAlign w:val="center"/>
                </w:tcPr>
                <w:p w:rsidR="005F5F70" w:rsidRPr="00596ACB" w:rsidRDefault="005F5F70" w:rsidP="00E636BC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5F5F70" w:rsidRPr="00596ACB" w:rsidRDefault="005F5F70" w:rsidP="00E636BC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</w:p>
              </w:tc>
            </w:tr>
          </w:tbl>
          <w:p w:rsidR="00727F20" w:rsidRDefault="00727F20" w:rsidP="00727F20">
            <w:pPr>
              <w:rPr>
                <w:rFonts w:cs="Arial"/>
                <w:b/>
                <w:szCs w:val="16"/>
              </w:rPr>
            </w:pPr>
          </w:p>
        </w:tc>
      </w:tr>
      <w:tr w:rsidR="00727F20" w:rsidRPr="00683A0C" w:rsidTr="00CD007F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:rsidR="00727F20" w:rsidRDefault="00C83168" w:rsidP="00A50990">
            <w:pPr>
              <w:jc w:val="center"/>
              <w:rPr>
                <w:rFonts w:cs="Arial"/>
                <w:b/>
                <w:szCs w:val="16"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lastRenderedPageBreak/>
              <w:t xml:space="preserve">Section 4: </w:t>
            </w:r>
            <w:r w:rsidR="002421A6"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>E</w:t>
            </w:r>
            <w:r w:rsidR="00727F20"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>stimated impact of the service change on service charges</w:t>
            </w:r>
          </w:p>
        </w:tc>
      </w:tr>
      <w:tr w:rsidR="00727F20" w:rsidRPr="00683A0C" w:rsidTr="00CD007F">
        <w:tc>
          <w:tcPr>
            <w:tcW w:w="5000" w:type="pct"/>
            <w:gridSpan w:val="2"/>
            <w:shd w:val="clear" w:color="auto" w:fill="auto"/>
          </w:tcPr>
          <w:p w:rsidR="00AC2C33" w:rsidRPr="00AC2C33" w:rsidRDefault="002C7E03" w:rsidP="00AC2C33">
            <w:pPr>
              <w:rPr>
                <w:rFonts w:cs="Arial"/>
                <w:color w:val="000000" w:themeColor="text1"/>
                <w:sz w:val="20"/>
              </w:rPr>
            </w:pPr>
            <w:r w:rsidRPr="007C10DD">
              <w:rPr>
                <w:rFonts w:cs="Arial"/>
                <w:color w:val="000000" w:themeColor="text1"/>
                <w:sz w:val="20"/>
              </w:rPr>
              <w:t xml:space="preserve">Indicative Run The Business cost is </w:t>
            </w:r>
            <w:r w:rsidR="00EE2647" w:rsidRPr="007C10DD">
              <w:rPr>
                <w:rFonts w:cs="Arial"/>
                <w:color w:val="000000" w:themeColor="text1"/>
                <w:sz w:val="20"/>
              </w:rPr>
              <w:t>£8</w:t>
            </w:r>
            <w:r w:rsidR="00137D0E" w:rsidRPr="007C10DD">
              <w:rPr>
                <w:rFonts w:cs="Arial"/>
                <w:color w:val="000000" w:themeColor="text1"/>
                <w:sz w:val="20"/>
              </w:rPr>
              <w:t xml:space="preserve">.1m </w:t>
            </w:r>
            <w:r w:rsidR="00EE2647" w:rsidRPr="007C10DD">
              <w:rPr>
                <w:rFonts w:cs="Arial"/>
                <w:color w:val="000000" w:themeColor="text1"/>
                <w:sz w:val="20"/>
              </w:rPr>
              <w:t xml:space="preserve">spread </w:t>
            </w:r>
            <w:r w:rsidR="00137D0E" w:rsidRPr="007C10DD">
              <w:rPr>
                <w:rFonts w:cs="Arial"/>
                <w:color w:val="000000" w:themeColor="text1"/>
                <w:sz w:val="20"/>
              </w:rPr>
              <w:t>over the course of 5 years</w:t>
            </w:r>
            <w:r w:rsidR="00EE2647" w:rsidRPr="007C10DD">
              <w:rPr>
                <w:rFonts w:cs="Arial"/>
                <w:color w:val="000000" w:themeColor="text1"/>
                <w:sz w:val="20"/>
              </w:rPr>
              <w:t xml:space="preserve"> compared to the current Run The Business cost of </w:t>
            </w:r>
            <w:r w:rsidR="00CE6178">
              <w:rPr>
                <w:rFonts w:cs="Arial"/>
                <w:color w:val="000000" w:themeColor="text1"/>
                <w:sz w:val="20"/>
              </w:rPr>
              <w:t>approximately £17</w:t>
            </w:r>
            <w:r w:rsidR="007C10DD" w:rsidRPr="007C10DD">
              <w:rPr>
                <w:rFonts w:cs="Arial"/>
                <w:color w:val="000000" w:themeColor="text1"/>
                <w:sz w:val="20"/>
              </w:rPr>
              <w:t xml:space="preserve">.5m </w:t>
            </w:r>
            <w:r w:rsidR="00CE6178">
              <w:rPr>
                <w:rFonts w:cs="Arial"/>
                <w:color w:val="000000" w:themeColor="text1"/>
                <w:sz w:val="20"/>
              </w:rPr>
              <w:t>for the same period</w:t>
            </w:r>
            <w:r w:rsidR="00137D0E" w:rsidRPr="007C10DD">
              <w:rPr>
                <w:rFonts w:cs="Arial"/>
                <w:color w:val="000000" w:themeColor="text1"/>
                <w:sz w:val="20"/>
              </w:rPr>
              <w:t xml:space="preserve">. </w:t>
            </w:r>
            <w:r w:rsidR="007C10DD" w:rsidRPr="007C10DD">
              <w:rPr>
                <w:rFonts w:cs="Arial"/>
                <w:color w:val="000000" w:themeColor="text1"/>
                <w:sz w:val="20"/>
              </w:rPr>
              <w:t>Please note t</w:t>
            </w:r>
            <w:r w:rsidR="00137D0E" w:rsidRPr="007C10DD">
              <w:rPr>
                <w:rFonts w:cs="Arial"/>
                <w:color w:val="000000" w:themeColor="text1"/>
                <w:sz w:val="20"/>
              </w:rPr>
              <w:t>his does not include Gemini Application Support, Serv</w:t>
            </w:r>
            <w:r w:rsidR="007C10DD" w:rsidRPr="007C10DD">
              <w:rPr>
                <w:rFonts w:cs="Arial"/>
                <w:color w:val="000000" w:themeColor="text1"/>
                <w:sz w:val="20"/>
              </w:rPr>
              <w:t>ice Desk or Service Management</w:t>
            </w:r>
            <w:r w:rsidR="00CE6178">
              <w:rPr>
                <w:rFonts w:cs="Arial"/>
                <w:color w:val="000000" w:themeColor="text1"/>
                <w:sz w:val="20"/>
              </w:rPr>
              <w:t xml:space="preserve"> which are covered by existing arrangements until early 2020</w:t>
            </w:r>
            <w:r w:rsidR="00AC2C33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AC2C33" w:rsidRPr="00AC2C33">
              <w:rPr>
                <w:rFonts w:cs="Arial"/>
                <w:color w:val="000000" w:themeColor="text1"/>
                <w:sz w:val="20"/>
              </w:rPr>
              <w:t>and therefore there is no change to the costs for these elements of support</w:t>
            </w:r>
            <w:r w:rsidR="00AC2C33">
              <w:rPr>
                <w:rFonts w:cs="Arial"/>
                <w:color w:val="000000" w:themeColor="text1"/>
                <w:sz w:val="20"/>
              </w:rPr>
              <w:t xml:space="preserve"> as a part of this project</w:t>
            </w:r>
            <w:r w:rsidR="00AC2C33" w:rsidRPr="00AC2C33">
              <w:rPr>
                <w:rFonts w:cs="Arial"/>
                <w:color w:val="000000" w:themeColor="text1"/>
                <w:sz w:val="20"/>
              </w:rPr>
              <w:t>.</w:t>
            </w:r>
          </w:p>
          <w:p w:rsidR="002C7E03" w:rsidRPr="00137D0E" w:rsidRDefault="002C7E03" w:rsidP="00E636BC">
            <w:pPr>
              <w:pStyle w:val="ListParagraph"/>
              <w:ind w:left="0"/>
              <w:rPr>
                <w:rFonts w:cs="Arial"/>
                <w:color w:val="000000" w:themeColor="text1"/>
                <w:sz w:val="20"/>
              </w:rPr>
            </w:pPr>
          </w:p>
          <w:p w:rsidR="001F565C" w:rsidRPr="00727F20" w:rsidRDefault="001F565C" w:rsidP="00E636BC">
            <w:pPr>
              <w:pStyle w:val="ListParagraph"/>
              <w:ind w:left="0"/>
              <w:rPr>
                <w:rFonts w:cs="Arial"/>
                <w:b/>
                <w:szCs w:val="16"/>
              </w:rPr>
            </w:pPr>
          </w:p>
        </w:tc>
      </w:tr>
      <w:tr w:rsidR="005F0151" w:rsidRPr="00683A0C" w:rsidTr="00A50990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:rsidR="005F0151" w:rsidRPr="00076FF3" w:rsidRDefault="00C83168" w:rsidP="00A50990">
            <w:pPr>
              <w:jc w:val="center"/>
              <w:rPr>
                <w:rFonts w:cs="Arial"/>
                <w:b/>
                <w:color w:val="FFFFFF" w:themeColor="background1"/>
                <w:szCs w:val="16"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 xml:space="preserve">Section 5: </w:t>
            </w:r>
            <w:r w:rsidR="009F5FCD"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>P</w:t>
            </w:r>
            <w:r w:rsidR="005F0151"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>roject plan for delivery of the change</w:t>
            </w:r>
          </w:p>
        </w:tc>
      </w:tr>
      <w:tr w:rsidR="008E640D" w:rsidRPr="00683A0C" w:rsidTr="00CD007F">
        <w:tc>
          <w:tcPr>
            <w:tcW w:w="5000" w:type="pct"/>
            <w:gridSpan w:val="2"/>
            <w:shd w:val="clear" w:color="auto" w:fill="auto"/>
          </w:tcPr>
          <w:p w:rsidR="008E640D" w:rsidRPr="004B36CC" w:rsidRDefault="00137D0E" w:rsidP="00137D0E">
            <w:pPr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color w:val="000000" w:themeColor="text1"/>
                <w:sz w:val="20"/>
              </w:rPr>
              <w:t>The project plan</w:t>
            </w:r>
            <w:r w:rsidR="00C65B95">
              <w:rPr>
                <w:rFonts w:cs="Arial"/>
                <w:color w:val="000000" w:themeColor="text1"/>
                <w:sz w:val="20"/>
              </w:rPr>
              <w:t xml:space="preserve"> will be confirmed following a</w:t>
            </w:r>
            <w:r>
              <w:rPr>
                <w:rFonts w:cs="Arial"/>
                <w:color w:val="000000" w:themeColor="text1"/>
                <w:sz w:val="20"/>
              </w:rPr>
              <w:t xml:space="preserve"> Discovery</w:t>
            </w:r>
            <w:r w:rsidR="00C65B95">
              <w:rPr>
                <w:rFonts w:cs="Arial"/>
                <w:color w:val="000000" w:themeColor="text1"/>
                <w:sz w:val="20"/>
              </w:rPr>
              <w:t xml:space="preserve"> and Planning</w:t>
            </w:r>
            <w:r>
              <w:rPr>
                <w:rFonts w:cs="Arial"/>
                <w:color w:val="000000" w:themeColor="text1"/>
                <w:sz w:val="20"/>
              </w:rPr>
              <w:t xml:space="preserve"> phase. As per instructions from National Grid cutover will not take place prior to the </w:t>
            </w:r>
            <w:r w:rsidR="00C65B95">
              <w:rPr>
                <w:rFonts w:cs="Arial"/>
                <w:color w:val="000000" w:themeColor="text1"/>
                <w:sz w:val="20"/>
              </w:rPr>
              <w:t xml:space="preserve">implementation of the </w:t>
            </w:r>
            <w:r>
              <w:rPr>
                <w:rFonts w:cs="Arial"/>
                <w:color w:val="000000" w:themeColor="text1"/>
                <w:sz w:val="20"/>
              </w:rPr>
              <w:t>GB Charging project therefore cutover will not take place until 2020. Current estimate is cutover will take place in April 2020.</w:t>
            </w:r>
          </w:p>
        </w:tc>
      </w:tr>
      <w:tr w:rsidR="008E640D" w:rsidRPr="00683A0C" w:rsidTr="00A50990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:rsidR="008E640D" w:rsidRPr="008E640D" w:rsidRDefault="00C83168" w:rsidP="00A50990">
            <w:pPr>
              <w:jc w:val="center"/>
              <w:rPr>
                <w:rFonts w:cs="Arial"/>
                <w:b/>
                <w:color w:val="FF0000"/>
                <w:szCs w:val="16"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 xml:space="preserve">Section 6: </w:t>
            </w:r>
            <w:r w:rsidR="009F5FCD"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 xml:space="preserve">Additional </w:t>
            </w:r>
            <w:r w:rsidR="008E640D"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>information relevant to the proposed service change</w:t>
            </w:r>
          </w:p>
        </w:tc>
      </w:tr>
      <w:tr w:rsidR="008E640D" w:rsidRPr="00683A0C" w:rsidTr="00CD007F">
        <w:tc>
          <w:tcPr>
            <w:tcW w:w="5000" w:type="pct"/>
            <w:gridSpan w:val="2"/>
            <w:shd w:val="clear" w:color="auto" w:fill="auto"/>
          </w:tcPr>
          <w:p w:rsidR="00D81EAB" w:rsidRDefault="00D81EAB" w:rsidP="00C65B95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</w:rPr>
            </w:pPr>
            <w:r w:rsidRPr="00C65B95">
              <w:rPr>
                <w:rFonts w:cs="Arial"/>
                <w:color w:val="000000" w:themeColor="text1"/>
              </w:rPr>
              <w:t xml:space="preserve">This project will be delivered alongside </w:t>
            </w:r>
            <w:r w:rsidR="00C65B95" w:rsidRPr="00C65B95">
              <w:rPr>
                <w:rFonts w:cs="Arial"/>
                <w:color w:val="000000" w:themeColor="text1"/>
              </w:rPr>
              <w:t xml:space="preserve">a number of </w:t>
            </w:r>
            <w:r w:rsidRPr="00C65B95">
              <w:rPr>
                <w:rFonts w:cs="Arial"/>
                <w:color w:val="000000" w:themeColor="text1"/>
              </w:rPr>
              <w:t xml:space="preserve">other projects </w:t>
            </w:r>
            <w:r w:rsidR="00C65B95" w:rsidRPr="00C65B95">
              <w:rPr>
                <w:rFonts w:cs="Arial"/>
                <w:color w:val="000000" w:themeColor="text1"/>
              </w:rPr>
              <w:t xml:space="preserve">that will be </w:t>
            </w:r>
            <w:r w:rsidRPr="00C65B95">
              <w:rPr>
                <w:rFonts w:cs="Arial"/>
                <w:color w:val="000000" w:themeColor="text1"/>
              </w:rPr>
              <w:t>delivering changes to Gemini. Code merges have been factored into the project activities however there is a risk that this allowance will be insufficient.</w:t>
            </w:r>
          </w:p>
          <w:p w:rsidR="00C65B95" w:rsidRPr="00C65B95" w:rsidRDefault="00C65B95" w:rsidP="00C65B95">
            <w:pPr>
              <w:pStyle w:val="ListParagraph"/>
              <w:numPr>
                <w:ilvl w:val="0"/>
                <w:numId w:val="14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There is a risk that the volume of change being delivered in relation to Gemini will create key dependencies that result in constrained timescales for Gemini </w:t>
            </w:r>
            <w:proofErr w:type="spellStart"/>
            <w:r>
              <w:rPr>
                <w:rFonts w:cs="Arial"/>
                <w:color w:val="000000" w:themeColor="text1"/>
              </w:rPr>
              <w:t>Replatform</w:t>
            </w:r>
            <w:proofErr w:type="spellEnd"/>
            <w:r>
              <w:rPr>
                <w:rFonts w:cs="Arial"/>
                <w:color w:val="000000" w:themeColor="text1"/>
              </w:rPr>
              <w:t>.</w:t>
            </w:r>
          </w:p>
          <w:p w:rsidR="008E640D" w:rsidRDefault="008E640D" w:rsidP="00AA0387">
            <w:pPr>
              <w:rPr>
                <w:rFonts w:cs="Arial"/>
                <w:b/>
                <w:szCs w:val="16"/>
              </w:rPr>
            </w:pPr>
          </w:p>
        </w:tc>
      </w:tr>
    </w:tbl>
    <w:p w:rsidR="001A6BF4" w:rsidRDefault="001A6BF4" w:rsidP="004C7637">
      <w:pPr>
        <w:pStyle w:val="XoParagraph"/>
        <w:rPr>
          <w:rFonts w:cs="Arial"/>
          <w:b/>
          <w:sz w:val="22"/>
          <w:szCs w:val="22"/>
        </w:rPr>
      </w:pPr>
    </w:p>
    <w:p w:rsidR="001A6BF4" w:rsidRPr="001A6BF4" w:rsidRDefault="004C7637" w:rsidP="004C7637">
      <w:pPr>
        <w:pStyle w:val="XoParagraph"/>
        <w:rPr>
          <w:rFonts w:cs="Arial"/>
          <w:b/>
          <w:sz w:val="22"/>
          <w:szCs w:val="22"/>
        </w:rPr>
      </w:pPr>
      <w:r w:rsidRPr="00066121">
        <w:rPr>
          <w:rFonts w:cs="Arial"/>
          <w:b/>
          <w:sz w:val="22"/>
          <w:szCs w:val="22"/>
        </w:rPr>
        <w:t xml:space="preserve">Please send </w:t>
      </w:r>
      <w:r w:rsidR="00AA0387">
        <w:rPr>
          <w:rFonts w:cs="Arial"/>
          <w:b/>
          <w:sz w:val="22"/>
          <w:szCs w:val="22"/>
        </w:rPr>
        <w:t>completed form</w:t>
      </w:r>
      <w:r>
        <w:rPr>
          <w:rFonts w:cs="Arial"/>
          <w:b/>
          <w:sz w:val="22"/>
          <w:szCs w:val="22"/>
        </w:rPr>
        <w:t xml:space="preserve"> </w:t>
      </w:r>
      <w:r w:rsidRPr="00066121">
        <w:rPr>
          <w:rFonts w:cs="Arial"/>
          <w:b/>
          <w:sz w:val="22"/>
          <w:szCs w:val="22"/>
        </w:rPr>
        <w:t>to:</w:t>
      </w:r>
      <w:r>
        <w:rPr>
          <w:rFonts w:cs="Arial"/>
          <w:b/>
          <w:sz w:val="22"/>
          <w:szCs w:val="22"/>
        </w:rPr>
        <w:t xml:space="preserve"> </w:t>
      </w:r>
      <w:hyperlink r:id="rId14" w:history="1">
        <w:r w:rsidR="002C4795" w:rsidRPr="006A2A48">
          <w:rPr>
            <w:rStyle w:val="Hyperlink"/>
            <w:rFonts w:cs="Arial"/>
            <w:b/>
            <w:sz w:val="22"/>
            <w:szCs w:val="22"/>
          </w:rPr>
          <w:t>box.xoserve.portfoliooffice@xoserve.com</w:t>
        </w:r>
      </w:hyperlink>
    </w:p>
    <w:p w:rsidR="004C7637" w:rsidRPr="00CD007F" w:rsidRDefault="005F5F70" w:rsidP="004C7637">
      <w:pPr>
        <w:pStyle w:val="XoParagraph"/>
        <w:rPr>
          <w:b/>
        </w:rPr>
      </w:pPr>
      <w:r w:rsidRPr="00CD007F">
        <w:rPr>
          <w:b/>
        </w:rPr>
        <w:t>Document</w:t>
      </w:r>
      <w:r w:rsidR="006D11D3" w:rsidRPr="00CD007F">
        <w:rPr>
          <w:b/>
        </w:rPr>
        <w:t xml:space="preserve"> </w:t>
      </w:r>
      <w:r w:rsidR="004C7637" w:rsidRPr="00CD007F">
        <w:rPr>
          <w:b/>
        </w:rPr>
        <w:t>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4C7637" w:rsidRPr="00762849" w:rsidTr="00940D3C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C65B95" w:rsidRPr="007B4360" w:rsidTr="00940D3C">
        <w:tc>
          <w:tcPr>
            <w:tcW w:w="902" w:type="pct"/>
          </w:tcPr>
          <w:p w:rsidR="00C65B95" w:rsidRPr="00C65B95" w:rsidRDefault="00C65B95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B95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835" w:type="pct"/>
          </w:tcPr>
          <w:p w:rsidR="00C65B95" w:rsidRPr="00C65B95" w:rsidRDefault="00C65B95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B95">
              <w:rPr>
                <w:rFonts w:ascii="Arial" w:hAnsi="Arial" w:cs="Arial"/>
                <w:sz w:val="20"/>
                <w:szCs w:val="20"/>
              </w:rPr>
              <w:t>Draft</w:t>
            </w:r>
          </w:p>
        </w:tc>
        <w:tc>
          <w:tcPr>
            <w:tcW w:w="556" w:type="pct"/>
          </w:tcPr>
          <w:p w:rsidR="00C65B95" w:rsidRPr="00C65B95" w:rsidRDefault="00C65B95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31/10/18</w:t>
            </w:r>
          </w:p>
        </w:tc>
        <w:tc>
          <w:tcPr>
            <w:tcW w:w="763" w:type="pct"/>
          </w:tcPr>
          <w:p w:rsidR="00C65B95" w:rsidRPr="00C65B95" w:rsidRDefault="00C65B95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Hannah Reddy</w:t>
            </w:r>
          </w:p>
        </w:tc>
        <w:tc>
          <w:tcPr>
            <w:tcW w:w="1944" w:type="pct"/>
          </w:tcPr>
          <w:p w:rsidR="00C65B95" w:rsidRPr="00C65B95" w:rsidRDefault="00C65B95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B95" w:rsidRPr="007B4360" w:rsidTr="00940D3C">
        <w:tc>
          <w:tcPr>
            <w:tcW w:w="902" w:type="pct"/>
          </w:tcPr>
          <w:p w:rsidR="00C65B95" w:rsidRPr="00C65B95" w:rsidRDefault="00C65B95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B95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835" w:type="pct"/>
          </w:tcPr>
          <w:p w:rsidR="00C65B95" w:rsidRPr="00C65B95" w:rsidRDefault="00C65B95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B95">
              <w:rPr>
                <w:rFonts w:ascii="Arial" w:hAnsi="Arial" w:cs="Arial"/>
                <w:sz w:val="20"/>
                <w:szCs w:val="20"/>
              </w:rPr>
              <w:t>Draft</w:t>
            </w:r>
          </w:p>
        </w:tc>
        <w:tc>
          <w:tcPr>
            <w:tcW w:w="556" w:type="pct"/>
          </w:tcPr>
          <w:p w:rsidR="00C65B95" w:rsidRPr="00C65B95" w:rsidRDefault="00C65B95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08/11/18</w:t>
            </w:r>
          </w:p>
        </w:tc>
        <w:tc>
          <w:tcPr>
            <w:tcW w:w="763" w:type="pct"/>
          </w:tcPr>
          <w:p w:rsidR="00C65B95" w:rsidRPr="00C65B95" w:rsidRDefault="00C65B95" w:rsidP="00C65B95">
            <w:pPr>
              <w:rPr>
                <w:rFonts w:ascii="Arial" w:hAnsi="Arial" w:cs="Arial"/>
                <w:sz w:val="20"/>
                <w:szCs w:val="20"/>
              </w:rPr>
            </w:pPr>
            <w:r w:rsidRPr="00C65B95">
              <w:rPr>
                <w:rFonts w:ascii="Arial" w:hAnsi="Arial" w:cs="Arial"/>
                <w:sz w:val="20"/>
                <w:szCs w:val="20"/>
              </w:rPr>
              <w:t>Hannah Reddy</w:t>
            </w:r>
          </w:p>
        </w:tc>
        <w:tc>
          <w:tcPr>
            <w:tcW w:w="1944" w:type="pct"/>
          </w:tcPr>
          <w:p w:rsidR="00C65B95" w:rsidRPr="00C65B95" w:rsidRDefault="00C65B95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637" w:rsidRPr="007B4360" w:rsidTr="00940D3C">
        <w:tc>
          <w:tcPr>
            <w:tcW w:w="902" w:type="pct"/>
          </w:tcPr>
          <w:p w:rsidR="004C7637" w:rsidRPr="00C65B95" w:rsidRDefault="00C65B95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B95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835" w:type="pct"/>
          </w:tcPr>
          <w:p w:rsidR="004C7637" w:rsidRPr="00C65B95" w:rsidRDefault="00C65B95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B95">
              <w:rPr>
                <w:rFonts w:ascii="Arial" w:hAnsi="Arial" w:cs="Arial"/>
                <w:sz w:val="20"/>
                <w:szCs w:val="20"/>
              </w:rPr>
              <w:t>For Review</w:t>
            </w:r>
          </w:p>
        </w:tc>
        <w:tc>
          <w:tcPr>
            <w:tcW w:w="556" w:type="pct"/>
          </w:tcPr>
          <w:p w:rsidR="004C7637" w:rsidRPr="00C65B95" w:rsidRDefault="00C65B95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B95">
              <w:rPr>
                <w:rFonts w:ascii="Arial" w:hAnsi="Arial" w:cs="Arial"/>
                <w:sz w:val="20"/>
                <w:szCs w:val="20"/>
              </w:rPr>
              <w:t>12/11/18</w:t>
            </w:r>
          </w:p>
        </w:tc>
        <w:tc>
          <w:tcPr>
            <w:tcW w:w="763" w:type="pct"/>
          </w:tcPr>
          <w:p w:rsidR="004C7637" w:rsidRPr="00C65B95" w:rsidRDefault="00C65B95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B95">
              <w:rPr>
                <w:rFonts w:ascii="Arial" w:hAnsi="Arial" w:cs="Arial"/>
                <w:sz w:val="20"/>
                <w:szCs w:val="20"/>
              </w:rPr>
              <w:t>Hannah Reddy</w:t>
            </w:r>
          </w:p>
        </w:tc>
        <w:tc>
          <w:tcPr>
            <w:tcW w:w="1944" w:type="pct"/>
          </w:tcPr>
          <w:p w:rsidR="004C7637" w:rsidRPr="00C65B95" w:rsidRDefault="00C65B95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added</w:t>
            </w:r>
          </w:p>
        </w:tc>
      </w:tr>
      <w:tr w:rsidR="00D51E48" w:rsidRPr="007B4360" w:rsidTr="00940D3C">
        <w:tc>
          <w:tcPr>
            <w:tcW w:w="902" w:type="pct"/>
          </w:tcPr>
          <w:p w:rsidR="00D51E48" w:rsidRPr="00D51E48" w:rsidRDefault="00D51E48" w:rsidP="00940D3C">
            <w:pPr>
              <w:jc w:val="center"/>
              <w:rPr>
                <w:rFonts w:cs="Arial"/>
                <w:sz w:val="20"/>
                <w:szCs w:val="20"/>
              </w:rPr>
            </w:pPr>
            <w:r w:rsidRPr="00D51E48">
              <w:rPr>
                <w:rFonts w:cs="Arial"/>
                <w:sz w:val="20"/>
                <w:szCs w:val="20"/>
              </w:rPr>
              <w:t>0.4</w:t>
            </w:r>
          </w:p>
        </w:tc>
        <w:tc>
          <w:tcPr>
            <w:tcW w:w="835" w:type="pct"/>
          </w:tcPr>
          <w:p w:rsidR="00D51E48" w:rsidRPr="00D51E48" w:rsidRDefault="00D51E48" w:rsidP="00940D3C">
            <w:pPr>
              <w:jc w:val="center"/>
              <w:rPr>
                <w:rFonts w:cs="Arial"/>
                <w:sz w:val="20"/>
                <w:szCs w:val="20"/>
              </w:rPr>
            </w:pPr>
            <w:r w:rsidRPr="00D51E48">
              <w:rPr>
                <w:rFonts w:cs="Arial"/>
                <w:sz w:val="20"/>
                <w:szCs w:val="20"/>
              </w:rPr>
              <w:t>For Review</w:t>
            </w:r>
          </w:p>
        </w:tc>
        <w:tc>
          <w:tcPr>
            <w:tcW w:w="556" w:type="pct"/>
          </w:tcPr>
          <w:p w:rsidR="00D51E48" w:rsidRPr="00D51E48" w:rsidRDefault="00D51E48" w:rsidP="00940D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15/11/18</w:t>
            </w:r>
          </w:p>
        </w:tc>
        <w:tc>
          <w:tcPr>
            <w:tcW w:w="763" w:type="pct"/>
          </w:tcPr>
          <w:p w:rsidR="00D51E48" w:rsidRPr="00D51E48" w:rsidRDefault="00D51E48" w:rsidP="00940D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Hannah Reddy</w:t>
            </w:r>
          </w:p>
        </w:tc>
        <w:tc>
          <w:tcPr>
            <w:tcW w:w="1944" w:type="pct"/>
          </w:tcPr>
          <w:p w:rsidR="00D51E48" w:rsidRPr="00D51E48" w:rsidRDefault="00D51E48" w:rsidP="00940D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Updated following supplier discussions</w:t>
            </w:r>
          </w:p>
        </w:tc>
      </w:tr>
      <w:tr w:rsidR="00D51E48" w:rsidRPr="007B4360" w:rsidTr="00940D3C">
        <w:tc>
          <w:tcPr>
            <w:tcW w:w="902" w:type="pct"/>
          </w:tcPr>
          <w:p w:rsidR="00D51E48" w:rsidRPr="00CE6178" w:rsidRDefault="00D51E48" w:rsidP="00940D3C">
            <w:pPr>
              <w:jc w:val="center"/>
              <w:rPr>
                <w:rFonts w:cs="Arial"/>
                <w:sz w:val="20"/>
                <w:szCs w:val="20"/>
              </w:rPr>
            </w:pPr>
            <w:r w:rsidRPr="00CE6178"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835" w:type="pct"/>
          </w:tcPr>
          <w:p w:rsidR="00D51E48" w:rsidRPr="00CE6178" w:rsidRDefault="00D51E48" w:rsidP="00940D3C">
            <w:pPr>
              <w:jc w:val="center"/>
              <w:rPr>
                <w:rFonts w:cs="Arial"/>
                <w:sz w:val="20"/>
                <w:szCs w:val="20"/>
              </w:rPr>
            </w:pPr>
            <w:r w:rsidRPr="00CE6178">
              <w:rPr>
                <w:rFonts w:cs="Arial"/>
                <w:sz w:val="20"/>
                <w:szCs w:val="20"/>
              </w:rPr>
              <w:t>For Review</w:t>
            </w:r>
          </w:p>
        </w:tc>
        <w:tc>
          <w:tcPr>
            <w:tcW w:w="556" w:type="pct"/>
          </w:tcPr>
          <w:p w:rsidR="00D51E48" w:rsidRPr="00CE6178" w:rsidRDefault="00D51E48" w:rsidP="00940D3C">
            <w:pPr>
              <w:jc w:val="center"/>
              <w:rPr>
                <w:rFonts w:cs="Arial"/>
                <w:sz w:val="20"/>
                <w:szCs w:val="20"/>
              </w:rPr>
            </w:pPr>
            <w:r w:rsidRPr="00CE6178">
              <w:rPr>
                <w:rFonts w:cs="Arial"/>
                <w:sz w:val="20"/>
                <w:szCs w:val="20"/>
              </w:rPr>
              <w:t>21/11/18</w:t>
            </w:r>
          </w:p>
        </w:tc>
        <w:tc>
          <w:tcPr>
            <w:tcW w:w="763" w:type="pct"/>
          </w:tcPr>
          <w:p w:rsidR="00D51E48" w:rsidRPr="00CE6178" w:rsidRDefault="00D51E48" w:rsidP="00940D3C">
            <w:pPr>
              <w:jc w:val="center"/>
              <w:rPr>
                <w:rFonts w:cs="Arial"/>
                <w:sz w:val="20"/>
                <w:szCs w:val="20"/>
              </w:rPr>
            </w:pPr>
            <w:r w:rsidRPr="00CE6178">
              <w:rPr>
                <w:rFonts w:cs="Arial"/>
                <w:sz w:val="20"/>
                <w:szCs w:val="20"/>
              </w:rPr>
              <w:t>Hannah Reddy</w:t>
            </w:r>
          </w:p>
        </w:tc>
        <w:tc>
          <w:tcPr>
            <w:tcW w:w="1944" w:type="pct"/>
          </w:tcPr>
          <w:p w:rsidR="00D51E48" w:rsidRPr="00CE6178" w:rsidRDefault="00D51E48" w:rsidP="00940D3C">
            <w:pPr>
              <w:jc w:val="center"/>
              <w:rPr>
                <w:rFonts w:cs="Arial"/>
                <w:sz w:val="20"/>
                <w:szCs w:val="20"/>
              </w:rPr>
            </w:pPr>
            <w:r w:rsidRPr="00CE6178">
              <w:rPr>
                <w:rFonts w:cs="Arial"/>
                <w:sz w:val="20"/>
                <w:szCs w:val="20"/>
              </w:rPr>
              <w:t>Updated following internal review including Xoserve XEC</w:t>
            </w:r>
          </w:p>
        </w:tc>
      </w:tr>
      <w:tr w:rsidR="00CE6178" w:rsidRPr="007B4360" w:rsidTr="00940D3C">
        <w:tc>
          <w:tcPr>
            <w:tcW w:w="902" w:type="pct"/>
          </w:tcPr>
          <w:p w:rsidR="00CE6178" w:rsidRPr="00CE6178" w:rsidRDefault="00CE6178" w:rsidP="00940D3C">
            <w:pPr>
              <w:jc w:val="center"/>
              <w:rPr>
                <w:rFonts w:cs="Arial"/>
                <w:sz w:val="20"/>
                <w:szCs w:val="20"/>
              </w:rPr>
            </w:pPr>
            <w:r w:rsidRPr="00CE6178">
              <w:rPr>
                <w:rFonts w:cs="Arial"/>
                <w:sz w:val="20"/>
                <w:szCs w:val="20"/>
              </w:rPr>
              <w:t>0.6</w:t>
            </w:r>
          </w:p>
        </w:tc>
        <w:tc>
          <w:tcPr>
            <w:tcW w:w="835" w:type="pct"/>
          </w:tcPr>
          <w:p w:rsidR="00CE6178" w:rsidRPr="00CE6178" w:rsidRDefault="00CE6178" w:rsidP="00940D3C">
            <w:pPr>
              <w:jc w:val="center"/>
              <w:rPr>
                <w:rFonts w:cs="Arial"/>
                <w:sz w:val="20"/>
                <w:szCs w:val="20"/>
              </w:rPr>
            </w:pPr>
            <w:r w:rsidRPr="00CE6178">
              <w:rPr>
                <w:rFonts w:cs="Arial"/>
                <w:sz w:val="20"/>
                <w:szCs w:val="20"/>
              </w:rPr>
              <w:t>For Approval</w:t>
            </w:r>
          </w:p>
        </w:tc>
        <w:tc>
          <w:tcPr>
            <w:tcW w:w="556" w:type="pct"/>
          </w:tcPr>
          <w:p w:rsidR="00CE6178" w:rsidRPr="00CE6178" w:rsidRDefault="00CE6178" w:rsidP="00940D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04/12/18</w:t>
            </w:r>
          </w:p>
        </w:tc>
        <w:tc>
          <w:tcPr>
            <w:tcW w:w="763" w:type="pct"/>
          </w:tcPr>
          <w:p w:rsidR="00CE6178" w:rsidRPr="00CE6178" w:rsidRDefault="00CE6178" w:rsidP="00940D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Hannah Reddy</w:t>
            </w:r>
          </w:p>
        </w:tc>
        <w:tc>
          <w:tcPr>
            <w:tcW w:w="1944" w:type="pct"/>
          </w:tcPr>
          <w:p w:rsidR="00CE6178" w:rsidRPr="00CE6178" w:rsidRDefault="00CE6178" w:rsidP="00CE6178">
            <w:pPr>
              <w:jc w:val="center"/>
              <w:rPr>
                <w:rFonts w:cs="Arial"/>
                <w:sz w:val="20"/>
                <w:szCs w:val="20"/>
              </w:rPr>
            </w:pPr>
            <w:r w:rsidRPr="00CE6178">
              <w:rPr>
                <w:rFonts w:cs="Arial"/>
                <w:sz w:val="20"/>
                <w:szCs w:val="20"/>
              </w:rPr>
              <w:t xml:space="preserve">Updated following </w:t>
            </w:r>
            <w:r>
              <w:rPr>
                <w:rFonts w:cs="Arial"/>
                <w:sz w:val="20"/>
                <w:szCs w:val="20"/>
              </w:rPr>
              <w:t>review by</w:t>
            </w:r>
            <w:r w:rsidRPr="00CE6178">
              <w:rPr>
                <w:rFonts w:cs="Arial"/>
                <w:sz w:val="20"/>
                <w:szCs w:val="20"/>
              </w:rPr>
              <w:t xml:space="preserve"> Xoserve XEC</w:t>
            </w:r>
          </w:p>
        </w:tc>
      </w:tr>
    </w:tbl>
    <w:p w:rsidR="004C7637" w:rsidRPr="00883321" w:rsidRDefault="004C7637" w:rsidP="004C7637">
      <w:pPr>
        <w:pStyle w:val="XoParagraph"/>
      </w:pPr>
    </w:p>
    <w:p w:rsidR="004C7637" w:rsidRPr="00CD007F" w:rsidRDefault="004C7637" w:rsidP="004C7637">
      <w:pPr>
        <w:pStyle w:val="XoParagraph"/>
        <w:rPr>
          <w:b/>
        </w:rPr>
      </w:pPr>
      <w:r w:rsidRPr="00CD007F">
        <w:rPr>
          <w:b/>
        </w:rPr>
        <w:t>Template 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841"/>
        <w:gridCol w:w="1705"/>
        <w:gridCol w:w="1135"/>
        <w:gridCol w:w="1558"/>
        <w:gridCol w:w="3968"/>
      </w:tblGrid>
      <w:tr w:rsidR="004C7637" w:rsidRPr="00762849" w:rsidTr="001A2319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1A2319" w:rsidRPr="00762849" w:rsidTr="001A2319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:rsidR="001A2319" w:rsidRPr="00D82754" w:rsidRDefault="00401C51" w:rsidP="00940D3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:rsidR="001A2319" w:rsidRPr="00D82754" w:rsidRDefault="00401C51" w:rsidP="0025469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:rsidR="001A2319" w:rsidRPr="00D82754" w:rsidRDefault="00401C51" w:rsidP="00940D3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CD007F" w:rsidRPr="00D82754">
              <w:rPr>
                <w:rFonts w:cs="Arial"/>
                <w:sz w:val="20"/>
              </w:rPr>
              <w:t>5/06</w:t>
            </w:r>
            <w:r w:rsidR="001A2319" w:rsidRPr="00D82754">
              <w:rPr>
                <w:rFonts w:cs="Arial"/>
                <w:sz w:val="20"/>
              </w:rPr>
              <w:t>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:rsidR="001A2319" w:rsidRPr="00D82754" w:rsidRDefault="00CD007F" w:rsidP="00940D3C">
            <w:pPr>
              <w:jc w:val="center"/>
              <w:rPr>
                <w:rFonts w:cs="Arial"/>
                <w:sz w:val="20"/>
              </w:rPr>
            </w:pPr>
            <w:r w:rsidRPr="00D82754">
              <w:rPr>
                <w:rFonts w:cs="Arial"/>
                <w:sz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:rsidR="001A2319" w:rsidRPr="00D82754" w:rsidRDefault="00401C51" w:rsidP="00CD007F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t>Document approved at CHMC External Workgroup</w:t>
            </w:r>
          </w:p>
        </w:tc>
      </w:tr>
    </w:tbl>
    <w:p w:rsidR="005353CC" w:rsidRDefault="005353CC" w:rsidP="00562856">
      <w:pPr>
        <w:pStyle w:val="XoParagraph"/>
      </w:pPr>
    </w:p>
    <w:sectPr w:rsidR="005353CC" w:rsidSect="00883321">
      <w:headerReference w:type="even" r:id="rId15"/>
      <w:head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F8" w:rsidRDefault="00A302F8" w:rsidP="00913EF2">
      <w:pPr>
        <w:spacing w:after="0" w:line="240" w:lineRule="auto"/>
      </w:pPr>
      <w:r>
        <w:separator/>
      </w:r>
    </w:p>
  </w:endnote>
  <w:endnote w:type="continuationSeparator" w:id="0">
    <w:p w:rsidR="00A302F8" w:rsidRDefault="00A302F8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EB" w:rsidRDefault="00401C51">
    <w:pPr>
      <w:pStyle w:val="Footer"/>
    </w:pPr>
    <w:r>
      <w:t>Approvedv1.0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F8" w:rsidRDefault="00A302F8" w:rsidP="00913EF2">
      <w:pPr>
        <w:spacing w:after="0" w:line="240" w:lineRule="auto"/>
      </w:pPr>
      <w:r>
        <w:separator/>
      </w:r>
    </w:p>
  </w:footnote>
  <w:footnote w:type="continuationSeparator" w:id="0">
    <w:p w:rsidR="00A302F8" w:rsidRDefault="00A302F8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DC" w:rsidRDefault="0054194F">
    <w:pPr>
      <w:pStyle w:val="Header"/>
    </w:pPr>
    <w:r>
      <w:rPr>
        <w:noProof/>
        <w:lang w:eastAsia="en-GB"/>
      </w:rPr>
      <w:pict w14:anchorId="27BAF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0" o:spid="_x0000_s2051" type="#_x0000_t75" alt="wordtemplateb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DC" w:rsidRDefault="0054194F">
    <w:pPr>
      <w:pStyle w:val="Header"/>
    </w:pPr>
    <w:r>
      <w:rPr>
        <w:noProof/>
        <w:lang w:eastAsia="en-GB"/>
      </w:rPr>
      <w:pict w14:anchorId="247C2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1" o:spid="_x0000_s2050" type="#_x0000_t75" alt="wordtemplateb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DC" w:rsidRDefault="0054194F">
    <w:pPr>
      <w:pStyle w:val="Header"/>
    </w:pPr>
    <w:r>
      <w:rPr>
        <w:noProof/>
        <w:lang w:eastAsia="en-GB"/>
      </w:rPr>
      <w:pict w14:anchorId="493DEA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89" o:spid="_x0000_s2049" type="#_x0000_t75" alt="wordtemplatebg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7EF1"/>
    <w:multiLevelType w:val="hybridMultilevel"/>
    <w:tmpl w:val="7C84326A"/>
    <w:lvl w:ilvl="0" w:tplc="735C2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215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C48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66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AAE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2B5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475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E4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052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587BDC"/>
    <w:multiLevelType w:val="hybridMultilevel"/>
    <w:tmpl w:val="5B6CC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23AD3"/>
    <w:multiLevelType w:val="hybridMultilevel"/>
    <w:tmpl w:val="E1423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F05AB"/>
    <w:multiLevelType w:val="hybridMultilevel"/>
    <w:tmpl w:val="2024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63969"/>
    <w:multiLevelType w:val="hybridMultilevel"/>
    <w:tmpl w:val="DA78C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C72B9"/>
    <w:multiLevelType w:val="hybridMultilevel"/>
    <w:tmpl w:val="0A62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75D72"/>
    <w:multiLevelType w:val="hybridMultilevel"/>
    <w:tmpl w:val="59FC9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D42CD"/>
    <w:multiLevelType w:val="hybridMultilevel"/>
    <w:tmpl w:val="F5C41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4939"/>
    <w:multiLevelType w:val="hybridMultilevel"/>
    <w:tmpl w:val="1B7C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F071B"/>
    <w:multiLevelType w:val="hybridMultilevel"/>
    <w:tmpl w:val="A77A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7130E"/>
    <w:multiLevelType w:val="hybridMultilevel"/>
    <w:tmpl w:val="1B7C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86465"/>
    <w:multiLevelType w:val="hybridMultilevel"/>
    <w:tmpl w:val="845AE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A78B2"/>
    <w:multiLevelType w:val="hybridMultilevel"/>
    <w:tmpl w:val="0AE2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95901"/>
    <w:multiLevelType w:val="hybridMultilevel"/>
    <w:tmpl w:val="89D4F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3"/>
  </w:num>
  <w:num w:numId="8">
    <w:abstractNumId w:val="12"/>
  </w:num>
  <w:num w:numId="9">
    <w:abstractNumId w:val="13"/>
  </w:num>
  <w:num w:numId="10">
    <w:abstractNumId w:val="1"/>
  </w:num>
  <w:num w:numId="11">
    <w:abstractNumId w:val="5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2"/>
    <w:rsid w:val="000615F3"/>
    <w:rsid w:val="00066BCA"/>
    <w:rsid w:val="0007393C"/>
    <w:rsid w:val="00076FF3"/>
    <w:rsid w:val="00084757"/>
    <w:rsid w:val="00093D9D"/>
    <w:rsid w:val="000A2BDC"/>
    <w:rsid w:val="000C79EE"/>
    <w:rsid w:val="000D66D3"/>
    <w:rsid w:val="000E3D49"/>
    <w:rsid w:val="00103242"/>
    <w:rsid w:val="001232E4"/>
    <w:rsid w:val="00137D0E"/>
    <w:rsid w:val="001428A1"/>
    <w:rsid w:val="00146769"/>
    <w:rsid w:val="00160739"/>
    <w:rsid w:val="00163A82"/>
    <w:rsid w:val="0017365C"/>
    <w:rsid w:val="00177285"/>
    <w:rsid w:val="00181A24"/>
    <w:rsid w:val="00186FB8"/>
    <w:rsid w:val="00192B0D"/>
    <w:rsid w:val="001A2319"/>
    <w:rsid w:val="001A6BF4"/>
    <w:rsid w:val="001E5428"/>
    <w:rsid w:val="001F565C"/>
    <w:rsid w:val="00203626"/>
    <w:rsid w:val="00211E96"/>
    <w:rsid w:val="00214089"/>
    <w:rsid w:val="00220242"/>
    <w:rsid w:val="002260EF"/>
    <w:rsid w:val="002421A6"/>
    <w:rsid w:val="002427E0"/>
    <w:rsid w:val="00254699"/>
    <w:rsid w:val="00281122"/>
    <w:rsid w:val="00296068"/>
    <w:rsid w:val="002B5CD2"/>
    <w:rsid w:val="002C4795"/>
    <w:rsid w:val="002C7E03"/>
    <w:rsid w:val="002D23D5"/>
    <w:rsid w:val="002E2C40"/>
    <w:rsid w:val="003008B1"/>
    <w:rsid w:val="00301982"/>
    <w:rsid w:val="003160F7"/>
    <w:rsid w:val="003612A8"/>
    <w:rsid w:val="00365979"/>
    <w:rsid w:val="00371129"/>
    <w:rsid w:val="00375400"/>
    <w:rsid w:val="003754AC"/>
    <w:rsid w:val="003B40D3"/>
    <w:rsid w:val="003C2945"/>
    <w:rsid w:val="003C3FD8"/>
    <w:rsid w:val="003C52B2"/>
    <w:rsid w:val="003C63DC"/>
    <w:rsid w:val="003D0C73"/>
    <w:rsid w:val="003D4B81"/>
    <w:rsid w:val="003F3AC1"/>
    <w:rsid w:val="00401C51"/>
    <w:rsid w:val="00403557"/>
    <w:rsid w:val="00410E09"/>
    <w:rsid w:val="00427622"/>
    <w:rsid w:val="00456196"/>
    <w:rsid w:val="00487297"/>
    <w:rsid w:val="004935D2"/>
    <w:rsid w:val="004B2B81"/>
    <w:rsid w:val="004B36CC"/>
    <w:rsid w:val="004C7637"/>
    <w:rsid w:val="004E7EC9"/>
    <w:rsid w:val="004F2636"/>
    <w:rsid w:val="004F5B68"/>
    <w:rsid w:val="00501234"/>
    <w:rsid w:val="00523C15"/>
    <w:rsid w:val="00530351"/>
    <w:rsid w:val="005305EA"/>
    <w:rsid w:val="005353CC"/>
    <w:rsid w:val="005433F6"/>
    <w:rsid w:val="005448E9"/>
    <w:rsid w:val="00562856"/>
    <w:rsid w:val="00567794"/>
    <w:rsid w:val="00590A4B"/>
    <w:rsid w:val="00596ACB"/>
    <w:rsid w:val="005D3A53"/>
    <w:rsid w:val="005D6962"/>
    <w:rsid w:val="005E045C"/>
    <w:rsid w:val="005E2131"/>
    <w:rsid w:val="005F0151"/>
    <w:rsid w:val="005F0DDF"/>
    <w:rsid w:val="005F2C1E"/>
    <w:rsid w:val="005F5F70"/>
    <w:rsid w:val="00611C25"/>
    <w:rsid w:val="006523DE"/>
    <w:rsid w:val="006550CC"/>
    <w:rsid w:val="00660DF3"/>
    <w:rsid w:val="00671608"/>
    <w:rsid w:val="00694E1F"/>
    <w:rsid w:val="006A16CB"/>
    <w:rsid w:val="006A724E"/>
    <w:rsid w:val="006D11D3"/>
    <w:rsid w:val="006D61E0"/>
    <w:rsid w:val="006E4337"/>
    <w:rsid w:val="006F6DC7"/>
    <w:rsid w:val="00703D81"/>
    <w:rsid w:val="00703E45"/>
    <w:rsid w:val="00727F20"/>
    <w:rsid w:val="007540E3"/>
    <w:rsid w:val="00763AA0"/>
    <w:rsid w:val="007A6EEB"/>
    <w:rsid w:val="007B4360"/>
    <w:rsid w:val="007C10DD"/>
    <w:rsid w:val="007C5A34"/>
    <w:rsid w:val="007D7EAF"/>
    <w:rsid w:val="007F0246"/>
    <w:rsid w:val="007F2ACD"/>
    <w:rsid w:val="00810F55"/>
    <w:rsid w:val="0081575C"/>
    <w:rsid w:val="00816C17"/>
    <w:rsid w:val="00834C17"/>
    <w:rsid w:val="00883321"/>
    <w:rsid w:val="008A123A"/>
    <w:rsid w:val="008B1EF1"/>
    <w:rsid w:val="008D217D"/>
    <w:rsid w:val="008E3A3A"/>
    <w:rsid w:val="008E3FB0"/>
    <w:rsid w:val="008E640D"/>
    <w:rsid w:val="00913EF2"/>
    <w:rsid w:val="00972D36"/>
    <w:rsid w:val="00987281"/>
    <w:rsid w:val="009A5E31"/>
    <w:rsid w:val="009B0C30"/>
    <w:rsid w:val="009C272A"/>
    <w:rsid w:val="009C2FA4"/>
    <w:rsid w:val="009C481C"/>
    <w:rsid w:val="009D0DF1"/>
    <w:rsid w:val="009F5FCD"/>
    <w:rsid w:val="009F7B93"/>
    <w:rsid w:val="00A1080B"/>
    <w:rsid w:val="00A20C75"/>
    <w:rsid w:val="00A302F8"/>
    <w:rsid w:val="00A312B5"/>
    <w:rsid w:val="00A43C49"/>
    <w:rsid w:val="00A50990"/>
    <w:rsid w:val="00A51B90"/>
    <w:rsid w:val="00A74C4A"/>
    <w:rsid w:val="00A9117A"/>
    <w:rsid w:val="00A92E78"/>
    <w:rsid w:val="00AA0387"/>
    <w:rsid w:val="00AA7058"/>
    <w:rsid w:val="00AC1AA5"/>
    <w:rsid w:val="00AC2008"/>
    <w:rsid w:val="00AC2C33"/>
    <w:rsid w:val="00AC5A48"/>
    <w:rsid w:val="00AC6F36"/>
    <w:rsid w:val="00AD6B73"/>
    <w:rsid w:val="00AF2238"/>
    <w:rsid w:val="00AF37F5"/>
    <w:rsid w:val="00B00403"/>
    <w:rsid w:val="00B10D89"/>
    <w:rsid w:val="00B11A47"/>
    <w:rsid w:val="00B26519"/>
    <w:rsid w:val="00B55807"/>
    <w:rsid w:val="00B56B1A"/>
    <w:rsid w:val="00B72A9D"/>
    <w:rsid w:val="00BB5A00"/>
    <w:rsid w:val="00BC0814"/>
    <w:rsid w:val="00BC637F"/>
    <w:rsid w:val="00C07FCB"/>
    <w:rsid w:val="00C15E8B"/>
    <w:rsid w:val="00C263C7"/>
    <w:rsid w:val="00C27A17"/>
    <w:rsid w:val="00C34C4F"/>
    <w:rsid w:val="00C51D0F"/>
    <w:rsid w:val="00C65B95"/>
    <w:rsid w:val="00C722CF"/>
    <w:rsid w:val="00C83168"/>
    <w:rsid w:val="00C90516"/>
    <w:rsid w:val="00CA564E"/>
    <w:rsid w:val="00CD007F"/>
    <w:rsid w:val="00CD60CF"/>
    <w:rsid w:val="00CE55B4"/>
    <w:rsid w:val="00CE6178"/>
    <w:rsid w:val="00CE69A7"/>
    <w:rsid w:val="00D0145E"/>
    <w:rsid w:val="00D22D52"/>
    <w:rsid w:val="00D44409"/>
    <w:rsid w:val="00D50E9A"/>
    <w:rsid w:val="00D51E48"/>
    <w:rsid w:val="00D5333F"/>
    <w:rsid w:val="00D63ED6"/>
    <w:rsid w:val="00D81EAB"/>
    <w:rsid w:val="00D82754"/>
    <w:rsid w:val="00DC6912"/>
    <w:rsid w:val="00DD59C5"/>
    <w:rsid w:val="00E45364"/>
    <w:rsid w:val="00E469E0"/>
    <w:rsid w:val="00E50847"/>
    <w:rsid w:val="00E51D46"/>
    <w:rsid w:val="00E636BC"/>
    <w:rsid w:val="00E66DEA"/>
    <w:rsid w:val="00E71A4E"/>
    <w:rsid w:val="00EA3B18"/>
    <w:rsid w:val="00EB61AF"/>
    <w:rsid w:val="00ED63F4"/>
    <w:rsid w:val="00EE2647"/>
    <w:rsid w:val="00EF5FD7"/>
    <w:rsid w:val="00F105D9"/>
    <w:rsid w:val="00F13926"/>
    <w:rsid w:val="00F17027"/>
    <w:rsid w:val="00F42CA2"/>
    <w:rsid w:val="00F52A52"/>
    <w:rsid w:val="00F719B9"/>
    <w:rsid w:val="00FC3EB7"/>
    <w:rsid w:val="00FD0737"/>
    <w:rsid w:val="00FD5324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60F7"/>
    <w:pPr>
      <w:ind w:left="720"/>
      <w:contextualSpacing/>
    </w:pPr>
  </w:style>
  <w:style w:type="character" w:customStyle="1" w:styleId="ilfuvd">
    <w:name w:val="ilfuvd"/>
    <w:basedOn w:val="DefaultParagraphFont"/>
    <w:rsid w:val="007F2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60F7"/>
    <w:pPr>
      <w:ind w:left="720"/>
      <w:contextualSpacing/>
    </w:pPr>
  </w:style>
  <w:style w:type="character" w:customStyle="1" w:styleId="ilfuvd">
    <w:name w:val="ilfuvd"/>
    <w:basedOn w:val="DefaultParagraphFont"/>
    <w:rsid w:val="007F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3946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annah.Reddy@xoserv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ox.xoserve.portfoliooffice@xoser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Xoserve Colour Scheme">
      <a:dk1>
        <a:srgbClr val="000000"/>
      </a:dk1>
      <a:lt1>
        <a:srgbClr val="FFFFFF"/>
      </a:lt1>
      <a:dk2>
        <a:srgbClr val="1D3E61"/>
      </a:dk2>
      <a:lt2>
        <a:srgbClr val="DCDDDE"/>
      </a:lt2>
      <a:accent1>
        <a:srgbClr val="3E5AA8"/>
      </a:accent1>
      <a:accent2>
        <a:srgbClr val="84B8DA"/>
      </a:accent2>
      <a:accent3>
        <a:srgbClr val="56CF9E"/>
      </a:accent3>
      <a:accent4>
        <a:srgbClr val="F5835D"/>
      </a:accent4>
      <a:accent5>
        <a:srgbClr val="B1D6E8"/>
      </a:accent5>
      <a:accent6>
        <a:srgbClr val="2B80B1"/>
      </a:accent6>
      <a:hlink>
        <a:srgbClr val="D2232A"/>
      </a:hlink>
      <a:folHlink>
        <a:srgbClr val="9CCB3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7A3842200A4881B078E78C741B39" ma:contentTypeVersion="3" ma:contentTypeDescription="Create a new document." ma:contentTypeScope="" ma:versionID="6fb8bd99a2b914b1d1dd27695f53efc1">
  <xsd:schema xmlns:xsd="http://www.w3.org/2001/XMLSchema" xmlns:p="http://schemas.microsoft.com/office/2006/metadata/properties" xmlns:ns2="2a985eae-c12e-416e-9833-85f34b1ee04e" targetNamespace="http://schemas.microsoft.com/office/2006/metadata/properties" ma:root="true" ma:fieldsID="5b9596359f36dd66c11bae1f87653c13" ns2:_="">
    <xsd:import namespace="2a985eae-c12e-416e-9833-85f34b1ee04e"/>
    <xsd:element name="properties">
      <xsd:complexType>
        <xsd:sequence>
          <xsd:element name="documentManagement">
            <xsd:complexType>
              <xsd:all>
                <xsd:element ref="ns2:Department"/>
                <xsd:element ref="ns2:Tags"/>
                <xsd:element ref="ns2:Imag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985eae-c12e-416e-9833-85f34b1ee04e" elementFormDefault="qualified">
    <xsd:import namespace="http://schemas.microsoft.com/office/2006/documentManagement/types"/>
    <xsd:element name="Department" ma:index="8" ma:displayName="Department" ma:default="Other" ma:description="Please enter the department that this document is relevant to" ma:format="Dropdown" ma:internalName="Department">
      <xsd:simpleType>
        <xsd:restriction base="dms:Choice">
          <xsd:enumeration value="Archive"/>
          <xsd:enumeration value="BCM"/>
          <xsd:enumeration value="Communications"/>
          <xsd:enumeration value="CSR"/>
          <xsd:enumeration value="Operations"/>
          <xsd:enumeration value="Finance &amp; Business Services"/>
          <xsd:enumeration value="Finance (Reporting)"/>
          <xsd:enumeration value="Human Resources"/>
          <xsd:enumeration value="Legal &amp; Compliance"/>
          <xsd:enumeration value="Our Business"/>
          <xsd:enumeration value="Projects &amp; Change"/>
          <xsd:enumeration value="Strategy &amp; Development"/>
          <xsd:enumeration value="UNISON"/>
          <xsd:enumeration value="Other"/>
          <xsd:enumeration value="Images"/>
        </xsd:restriction>
      </xsd:simpleType>
    </xsd:element>
    <xsd:element name="Tags" ma:index="9" ma:displayName="Publishing Location" ma:description="Primary page to be published on" ma:format="Hyperlink" ma:internalName="Tags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Image_x0020_Group" ma:index="10" nillable="true" ma:displayName="Group" ma:default="Document" ma:format="Dropdown" ma:internalName="Image_x0020_Group">
      <xsd:simpleType>
        <xsd:restriction base="dms:Choice">
          <xsd:enumeration value="Document"/>
          <xsd:enumeration value="Form"/>
          <xsd:enumeration value="Newsletter"/>
          <xsd:enumeration value="Staff"/>
          <xsd:enumeration value="Clipart"/>
          <xsd:enumeration value="Logo"/>
          <xsd:enumeration value="Background"/>
          <xsd:enumeration value="Chari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gs xmlns="2a985eae-c12e-416e-9833-85f34b1ee04e">
      <Url>http://xonet</Url>
      <Description>Word Template</Description>
    </Tags>
    <Image_x0020_Group xmlns="2a985eae-c12e-416e-9833-85f34b1ee04e">Document</Image_x0020_Group>
    <Department xmlns="2a985eae-c12e-416e-9833-85f34b1ee04e">Communications</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3E9F-A141-444F-A884-C2FBFD24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909050E-F41D-4814-9D61-0D7E18A61E92}">
  <ds:schemaRefs>
    <ds:schemaRef ds:uri="http://purl.org/dc/elements/1.1/"/>
    <ds:schemaRef ds:uri="2a985eae-c12e-416e-9833-85f34b1ee04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A29CF2-BA1D-49D3-9518-EFB96801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Hannah Reddy</cp:lastModifiedBy>
  <cp:revision>3</cp:revision>
  <cp:lastPrinted>2018-05-09T12:24:00Z</cp:lastPrinted>
  <dcterms:created xsi:type="dcterms:W3CDTF">2018-12-04T17:17:00Z</dcterms:created>
  <dcterms:modified xsi:type="dcterms:W3CDTF">2018-12-04T17:26:00Z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0x010100EC027A3842200A4881B078E78C741B39</vt:lpwstr>
  </property>
  <property fmtid="{D5CDD505-2E9C-101B-9397-08002B2CF9AE}" pid="3" name="_AdHocReviewCycleID">
    <vt:i4>-1134326015</vt:i4>
  </property>
  <property fmtid="{D5CDD505-2E9C-101B-9397-08002B2CF9AE}" pid="4" name="_NewReviewCycle">
    <vt:lpwstr/>
  </property>
  <property fmtid="{D5CDD505-2E9C-101B-9397-08002B2CF9AE}" pid="5" name="_EmailSubject">
    <vt:lpwstr>CP4550 - BER for April ChMC</vt:lpwstr>
  </property>
  <property fmtid="{D5CDD505-2E9C-101B-9397-08002B2CF9AE}" pid="6" name="_AuthorEmail">
    <vt:lpwstr>hannah.reddy@xoserve.com</vt:lpwstr>
  </property>
  <property fmtid="{D5CDD505-2E9C-101B-9397-08002B2CF9AE}" pid="7" name="_AuthorEmailDisplayName">
    <vt:lpwstr>Reddy, Hannah</vt:lpwstr>
  </property>
  <property fmtid="{D5CDD505-2E9C-101B-9397-08002B2CF9AE}" pid="8" name="_PreviousAdHocReviewCycleID">
    <vt:i4>-1599232962</vt:i4>
  </property>
</Properties>
</file>