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rsidTr="007855B1">
        <w:trPr>
          <w:trHeight w:val="403"/>
        </w:trPr>
        <w:tc>
          <w:tcPr>
            <w:tcW w:w="1224"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6" w:type="pct"/>
            <w:gridSpan w:val="4"/>
            <w:vAlign w:val="center"/>
          </w:tcPr>
          <w:p w:rsidR="007855B1" w:rsidRPr="00BC3CAC" w:rsidRDefault="00A37D3B" w:rsidP="00FA3F4F">
            <w:pPr>
              <w:rPr>
                <w:rFonts w:cs="Arial"/>
              </w:rPr>
            </w:pPr>
            <w:r>
              <w:rPr>
                <w:rFonts w:cs="Arial"/>
              </w:rPr>
              <w:t xml:space="preserve">XRN </w:t>
            </w:r>
            <w:r w:rsidRPr="00A37D3B">
              <w:rPr>
                <w:rFonts w:cs="Arial"/>
              </w:rPr>
              <w:t>4860</w:t>
            </w:r>
          </w:p>
        </w:tc>
      </w:tr>
      <w:tr w:rsidR="00ED342B" w:rsidRPr="00BC3CAC" w:rsidTr="007855B1">
        <w:trPr>
          <w:trHeight w:val="403"/>
        </w:trPr>
        <w:tc>
          <w:tcPr>
            <w:tcW w:w="1224"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rsidR="00ED342B" w:rsidRPr="00BC3CAC" w:rsidRDefault="00230D14" w:rsidP="00030E95">
            <w:pPr>
              <w:rPr>
                <w:rFonts w:cs="Arial"/>
              </w:rPr>
            </w:pPr>
            <w:r>
              <w:rPr>
                <w:rFonts w:cs="Arial"/>
              </w:rPr>
              <w:t>National</w:t>
            </w:r>
            <w:r w:rsidR="008F42B5">
              <w:rPr>
                <w:rFonts w:cs="Arial"/>
              </w:rPr>
              <w:t xml:space="preserve"> ‘Temporary’</w:t>
            </w:r>
            <w:r>
              <w:rPr>
                <w:rFonts w:cs="Arial"/>
              </w:rPr>
              <w:t xml:space="preserve"> </w:t>
            </w:r>
            <w:r w:rsidR="00173F04">
              <w:rPr>
                <w:rFonts w:cs="Arial"/>
              </w:rPr>
              <w:t xml:space="preserve">UiG </w:t>
            </w:r>
            <w:r w:rsidR="00030E95">
              <w:rPr>
                <w:rFonts w:cs="Arial"/>
              </w:rPr>
              <w:t>Monitoring</w:t>
            </w:r>
          </w:p>
        </w:tc>
      </w:tr>
      <w:tr w:rsidR="00ED342B" w:rsidRPr="00BC3CAC" w:rsidTr="007855B1">
        <w:trPr>
          <w:trHeight w:val="403"/>
        </w:trPr>
        <w:tc>
          <w:tcPr>
            <w:tcW w:w="1224"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rsidR="00ED342B" w:rsidRPr="00BC3CAC" w:rsidRDefault="00FA3F4F" w:rsidP="00FA3F4F">
                <w:pPr>
                  <w:rPr>
                    <w:rFonts w:cs="Arial"/>
                  </w:rPr>
                </w:pPr>
                <w:r w:rsidRPr="0040334E">
                  <w:rPr>
                    <w:rStyle w:val="PlaceholderText"/>
                  </w:rPr>
                  <w:t>Click here to enter a date.</w:t>
                </w:r>
              </w:p>
            </w:sdtContent>
          </w:sdt>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6" w:type="pct"/>
            <w:gridSpan w:val="3"/>
            <w:vAlign w:val="center"/>
          </w:tcPr>
          <w:p w:rsidR="000E3E26" w:rsidRPr="00BC3CAC" w:rsidRDefault="00173F04" w:rsidP="000E3E26">
            <w:pPr>
              <w:rPr>
                <w:rFonts w:cs="Arial"/>
              </w:rPr>
            </w:pPr>
            <w:r>
              <w:rPr>
                <w:rFonts w:cs="Arial"/>
              </w:rPr>
              <w:t>Npower</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173F04" w:rsidP="000E3E26">
            <w:pPr>
              <w:rPr>
                <w:rFonts w:cs="Arial"/>
              </w:rPr>
            </w:pPr>
            <w:r>
              <w:rPr>
                <w:rFonts w:cs="Arial"/>
              </w:rPr>
              <w:t>James Rigby</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173F04" w:rsidP="000E3E26">
            <w:pPr>
              <w:rPr>
                <w:rFonts w:cs="Arial"/>
              </w:rPr>
            </w:pPr>
            <w:r>
              <w:rPr>
                <w:rFonts w:cs="Arial"/>
              </w:rPr>
              <w:t>james.rigby@npower.com</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173F04" w:rsidP="000E3E26">
            <w:pPr>
              <w:rPr>
                <w:rFonts w:cs="Arial"/>
              </w:rPr>
            </w:pPr>
            <w:r w:rsidRPr="00173F04">
              <w:rPr>
                <w:rFonts w:cs="Arial"/>
              </w:rPr>
              <w:t>07557 198020</w:t>
            </w: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7665CB"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7665C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7665C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7665CB"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7665C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7665C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7665C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7665CB"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7665C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7665CB"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7665CB"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835F66" w:rsidRPr="00835F66" w:rsidRDefault="00835F66" w:rsidP="00173F04">
            <w:pPr>
              <w:rPr>
                <w:rFonts w:cs="Arial"/>
                <w:b/>
                <w:u w:val="single"/>
              </w:rPr>
            </w:pPr>
            <w:r w:rsidRPr="00835F66">
              <w:rPr>
                <w:rFonts w:cs="Arial"/>
                <w:b/>
                <w:u w:val="single"/>
              </w:rPr>
              <w:t>Background</w:t>
            </w:r>
          </w:p>
          <w:p w:rsidR="00835F66" w:rsidRDefault="00835F66" w:rsidP="00173F04">
            <w:pPr>
              <w:rPr>
                <w:rFonts w:cs="Arial"/>
              </w:rPr>
            </w:pPr>
          </w:p>
          <w:p w:rsidR="00A12004" w:rsidRDefault="00173F04" w:rsidP="00173F04">
            <w:pPr>
              <w:rPr>
                <w:rFonts w:cs="Arial"/>
              </w:rPr>
            </w:pPr>
            <w:r>
              <w:rPr>
                <w:rFonts w:cs="Arial"/>
              </w:rPr>
              <w:t xml:space="preserve">Since Nexus implementation there has been a significant </w:t>
            </w:r>
            <w:r w:rsidR="002C1731">
              <w:rPr>
                <w:rFonts w:cs="Arial"/>
              </w:rPr>
              <w:t xml:space="preserve">cumulative </w:t>
            </w:r>
            <w:r>
              <w:rPr>
                <w:rFonts w:cs="Arial"/>
              </w:rPr>
              <w:t xml:space="preserve">delta between </w:t>
            </w:r>
            <w:r w:rsidR="002C1731">
              <w:rPr>
                <w:rFonts w:cs="Arial"/>
              </w:rPr>
              <w:t xml:space="preserve">energy that </w:t>
            </w:r>
            <w:r>
              <w:rPr>
                <w:rFonts w:cs="Arial"/>
              </w:rPr>
              <w:t xml:space="preserve">is </w:t>
            </w:r>
            <w:r w:rsidR="000C1B02">
              <w:rPr>
                <w:rFonts w:cs="Arial"/>
              </w:rPr>
              <w:t>referred to</w:t>
            </w:r>
            <w:r>
              <w:rPr>
                <w:rFonts w:cs="Arial"/>
              </w:rPr>
              <w:t xml:space="preserve"> as </w:t>
            </w:r>
            <w:r w:rsidR="008F7AE5">
              <w:rPr>
                <w:rFonts w:cs="Arial"/>
              </w:rPr>
              <w:t>‘</w:t>
            </w:r>
            <w:r>
              <w:rPr>
                <w:rFonts w:cs="Arial"/>
              </w:rPr>
              <w:t>permanent</w:t>
            </w:r>
            <w:r w:rsidR="008F7AE5">
              <w:rPr>
                <w:rFonts w:cs="Arial"/>
              </w:rPr>
              <w:t>’</w:t>
            </w:r>
            <w:r>
              <w:rPr>
                <w:rFonts w:cs="Arial"/>
              </w:rPr>
              <w:t xml:space="preserve"> UiG</w:t>
            </w:r>
            <w:r w:rsidR="008F7AE5">
              <w:rPr>
                <w:rFonts w:cs="Arial"/>
              </w:rPr>
              <w:t>,</w:t>
            </w:r>
            <w:r>
              <w:rPr>
                <w:rFonts w:cs="Arial"/>
              </w:rPr>
              <w:t xml:space="preserve"> and </w:t>
            </w:r>
            <w:r w:rsidR="002C1731">
              <w:rPr>
                <w:rFonts w:cs="Arial"/>
              </w:rPr>
              <w:t xml:space="preserve">the energy referred to as </w:t>
            </w:r>
            <w:r w:rsidR="008F7AE5">
              <w:rPr>
                <w:rFonts w:cs="Arial"/>
              </w:rPr>
              <w:t>‘</w:t>
            </w:r>
            <w:r>
              <w:rPr>
                <w:rFonts w:cs="Arial"/>
              </w:rPr>
              <w:t>temporary</w:t>
            </w:r>
            <w:r w:rsidR="008F7AE5">
              <w:rPr>
                <w:rFonts w:cs="Arial"/>
              </w:rPr>
              <w:t>’</w:t>
            </w:r>
            <w:r>
              <w:rPr>
                <w:rFonts w:cs="Arial"/>
              </w:rPr>
              <w:t xml:space="preserve"> UiG.  Temporary UiG</w:t>
            </w:r>
            <w:r w:rsidR="00A12004">
              <w:rPr>
                <w:rFonts w:cs="Arial"/>
              </w:rPr>
              <w:t xml:space="preserve"> (thought to be caused by a mixture of profiling and data inaccuracies / inefficient data performance issues</w:t>
            </w:r>
            <w:proofErr w:type="gramStart"/>
            <w:r w:rsidR="00A12004">
              <w:rPr>
                <w:rFonts w:cs="Arial"/>
              </w:rPr>
              <w:t xml:space="preserve">) </w:t>
            </w:r>
            <w:r>
              <w:rPr>
                <w:rFonts w:cs="Arial"/>
              </w:rPr>
              <w:t xml:space="preserve"> is</w:t>
            </w:r>
            <w:proofErr w:type="gramEnd"/>
            <w:r>
              <w:rPr>
                <w:rFonts w:cs="Arial"/>
              </w:rPr>
              <w:t xml:space="preserve"> energy that</w:t>
            </w:r>
            <w:r w:rsidR="00A12004">
              <w:rPr>
                <w:rFonts w:cs="Arial"/>
              </w:rPr>
              <w:t xml:space="preserve"> is originally allocated to shippers based on</w:t>
            </w:r>
            <w:r w:rsidR="00EF6834">
              <w:rPr>
                <w:rFonts w:cs="Arial"/>
              </w:rPr>
              <w:t xml:space="preserve"> their expected share of throughput in any given</w:t>
            </w:r>
            <w:r w:rsidR="00A12004">
              <w:rPr>
                <w:rFonts w:cs="Arial"/>
              </w:rPr>
              <w:t xml:space="preserve"> L</w:t>
            </w:r>
            <w:r w:rsidR="00EF6834">
              <w:rPr>
                <w:rFonts w:cs="Arial"/>
              </w:rPr>
              <w:t xml:space="preserve">ocal Distribution </w:t>
            </w:r>
            <w:r w:rsidR="00A12004">
              <w:rPr>
                <w:rFonts w:cs="Arial"/>
              </w:rPr>
              <w:t>Z</w:t>
            </w:r>
            <w:r w:rsidR="00EF6834">
              <w:rPr>
                <w:rFonts w:cs="Arial"/>
              </w:rPr>
              <w:t>one</w:t>
            </w:r>
            <w:r w:rsidR="00A12004">
              <w:rPr>
                <w:rFonts w:cs="Arial"/>
              </w:rPr>
              <w:t xml:space="preserve"> and </w:t>
            </w:r>
            <w:r w:rsidR="00EF6834">
              <w:rPr>
                <w:rFonts w:cs="Arial"/>
              </w:rPr>
              <w:t xml:space="preserve">their </w:t>
            </w:r>
            <w:r w:rsidR="00A12004">
              <w:rPr>
                <w:rFonts w:cs="Arial"/>
              </w:rPr>
              <w:t>customer portfolio mix</w:t>
            </w:r>
            <w:r w:rsidR="00EF6834">
              <w:rPr>
                <w:rFonts w:cs="Arial"/>
              </w:rPr>
              <w:t xml:space="preserve">, as </w:t>
            </w:r>
            <w:r w:rsidR="00EB62AF">
              <w:rPr>
                <w:rFonts w:cs="Arial"/>
              </w:rPr>
              <w:t xml:space="preserve">per annual weighting factors </w:t>
            </w:r>
            <w:r w:rsidR="00EF6834">
              <w:rPr>
                <w:rFonts w:cs="Arial"/>
              </w:rPr>
              <w:t>set by the Allocation Of</w:t>
            </w:r>
            <w:r w:rsidR="00EB62AF">
              <w:rPr>
                <w:rFonts w:cs="Arial"/>
              </w:rPr>
              <w:t xml:space="preserve"> Unidentified Gas Expert (AGUE)</w:t>
            </w:r>
            <w:r w:rsidR="00A12004">
              <w:rPr>
                <w:rFonts w:cs="Arial"/>
              </w:rPr>
              <w:t xml:space="preserve">.  </w:t>
            </w:r>
            <w:r w:rsidR="00EF6834">
              <w:rPr>
                <w:rFonts w:cs="Arial"/>
              </w:rPr>
              <w:t>Temporary UiG</w:t>
            </w:r>
            <w:r w:rsidR="00A12004">
              <w:rPr>
                <w:rFonts w:cs="Arial"/>
              </w:rPr>
              <w:t xml:space="preserve"> </w:t>
            </w:r>
            <w:r w:rsidR="00EF6834">
              <w:rPr>
                <w:rFonts w:cs="Arial"/>
              </w:rPr>
              <w:t>is</w:t>
            </w:r>
            <w:r>
              <w:rPr>
                <w:rFonts w:cs="Arial"/>
              </w:rPr>
              <w:t xml:space="preserve"> adjusted (down or up</w:t>
            </w:r>
            <w:r w:rsidR="002C1731">
              <w:rPr>
                <w:rFonts w:cs="Arial"/>
              </w:rPr>
              <w:t xml:space="preserve"> from initial allocation</w:t>
            </w:r>
            <w:r>
              <w:rPr>
                <w:rFonts w:cs="Arial"/>
              </w:rPr>
              <w:t xml:space="preserve">) </w:t>
            </w:r>
            <w:r w:rsidR="008F7AE5">
              <w:rPr>
                <w:rFonts w:cs="Arial"/>
              </w:rPr>
              <w:t>as a result of meter point reconciliation</w:t>
            </w:r>
            <w:r w:rsidR="00A12004">
              <w:rPr>
                <w:rFonts w:cs="Arial"/>
              </w:rPr>
              <w:t xml:space="preserve"> across the market</w:t>
            </w:r>
            <w:r w:rsidR="002C1731">
              <w:rPr>
                <w:rFonts w:cs="Arial"/>
              </w:rPr>
              <w:t xml:space="preserve">.  </w:t>
            </w:r>
          </w:p>
          <w:p w:rsidR="00A12004" w:rsidRDefault="00A12004" w:rsidP="00173F04">
            <w:pPr>
              <w:rPr>
                <w:rFonts w:cs="Arial"/>
              </w:rPr>
            </w:pPr>
          </w:p>
          <w:p w:rsidR="00173F04" w:rsidRDefault="002C1731" w:rsidP="00173F04">
            <w:pPr>
              <w:rPr>
                <w:rFonts w:cs="Arial"/>
              </w:rPr>
            </w:pPr>
            <w:r>
              <w:rPr>
                <w:rFonts w:cs="Arial"/>
              </w:rPr>
              <w:t xml:space="preserve">It is </w:t>
            </w:r>
            <w:r w:rsidR="00D82149">
              <w:rPr>
                <w:rFonts w:cs="Arial"/>
              </w:rPr>
              <w:t>understood</w:t>
            </w:r>
            <w:r>
              <w:rPr>
                <w:rFonts w:cs="Arial"/>
              </w:rPr>
              <w:t xml:space="preserve"> that temporary</w:t>
            </w:r>
            <w:r w:rsidR="00A12004">
              <w:rPr>
                <w:rFonts w:cs="Arial"/>
              </w:rPr>
              <w:t xml:space="preserve"> UiG</w:t>
            </w:r>
            <w:r>
              <w:rPr>
                <w:rFonts w:cs="Arial"/>
              </w:rPr>
              <w:t xml:space="preserve"> volume will</w:t>
            </w:r>
            <w:r w:rsidR="00EF6834">
              <w:rPr>
                <w:rFonts w:cs="Arial"/>
              </w:rPr>
              <w:t>, over time,</w:t>
            </w:r>
            <w:r w:rsidR="008F7AE5">
              <w:rPr>
                <w:rFonts w:cs="Arial"/>
              </w:rPr>
              <w:t xml:space="preserve"> </w:t>
            </w:r>
            <w:r w:rsidR="00EF6834">
              <w:rPr>
                <w:rFonts w:cs="Arial"/>
              </w:rPr>
              <w:t xml:space="preserve">crystallise </w:t>
            </w:r>
            <w:r w:rsidR="00EF6834">
              <w:rPr>
                <w:rFonts w:cs="Arial"/>
              </w:rPr>
              <w:lastRenderedPageBreak/>
              <w:t>into</w:t>
            </w:r>
            <w:r w:rsidR="00173F04">
              <w:rPr>
                <w:rFonts w:cs="Arial"/>
              </w:rPr>
              <w:t xml:space="preserve"> permanent UiG</w:t>
            </w:r>
            <w:r w:rsidR="008F7AE5">
              <w:rPr>
                <w:rFonts w:cs="Arial"/>
              </w:rPr>
              <w:t>,</w:t>
            </w:r>
            <w:r>
              <w:rPr>
                <w:rFonts w:cs="Arial"/>
              </w:rPr>
              <w:t xml:space="preserve"> </w:t>
            </w:r>
            <w:r w:rsidR="00A12004">
              <w:rPr>
                <w:rFonts w:cs="Arial"/>
              </w:rPr>
              <w:t>when any given consumption month moves beyond its respective reconciliation close-out (</w:t>
            </w:r>
            <w:r w:rsidR="001724CD">
              <w:rPr>
                <w:rFonts w:cs="Arial"/>
              </w:rPr>
              <w:t xml:space="preserve">D + 12 months in the case of UiG reconciliation and </w:t>
            </w:r>
            <w:r w:rsidR="00A12004">
              <w:rPr>
                <w:rFonts w:cs="Arial"/>
              </w:rPr>
              <w:t>Line In The Sand</w:t>
            </w:r>
            <w:r w:rsidR="001724CD">
              <w:rPr>
                <w:rFonts w:cs="Arial"/>
              </w:rPr>
              <w:t xml:space="preserve"> for MPRN reconciliation</w:t>
            </w:r>
            <w:r w:rsidR="00A12004">
              <w:rPr>
                <w:rFonts w:cs="Arial"/>
              </w:rPr>
              <w:t>).</w:t>
            </w:r>
          </w:p>
          <w:p w:rsidR="00A12004" w:rsidRDefault="00A12004" w:rsidP="00173F04">
            <w:pPr>
              <w:rPr>
                <w:rFonts w:cs="Arial"/>
              </w:rPr>
            </w:pPr>
          </w:p>
          <w:p w:rsidR="008B0398" w:rsidRPr="008B0398" w:rsidRDefault="008B0398" w:rsidP="008B0398">
            <w:pPr>
              <w:rPr>
                <w:rFonts w:cs="Arial"/>
                <w:b/>
                <w:u w:val="single"/>
              </w:rPr>
            </w:pPr>
            <w:r w:rsidRPr="008B0398">
              <w:rPr>
                <w:rFonts w:cs="Arial"/>
                <w:b/>
                <w:u w:val="single"/>
              </w:rPr>
              <w:t>Trends</w:t>
            </w:r>
          </w:p>
          <w:p w:rsidR="008B0398" w:rsidRDefault="008B0398" w:rsidP="00173F04">
            <w:pPr>
              <w:rPr>
                <w:rFonts w:cs="Arial"/>
              </w:rPr>
            </w:pPr>
          </w:p>
          <w:p w:rsidR="003A00C0" w:rsidRDefault="00173F04" w:rsidP="00173F04">
            <w:pPr>
              <w:rPr>
                <w:rFonts w:cs="Arial"/>
              </w:rPr>
            </w:pPr>
            <w:r>
              <w:rPr>
                <w:rFonts w:cs="Arial"/>
              </w:rPr>
              <w:t xml:space="preserve">Cumulative </w:t>
            </w:r>
            <w:r w:rsidR="003F38FC">
              <w:rPr>
                <w:rFonts w:cs="Arial"/>
              </w:rPr>
              <w:t xml:space="preserve">post-Nexus </w:t>
            </w:r>
            <w:r>
              <w:rPr>
                <w:rFonts w:cs="Arial"/>
              </w:rPr>
              <w:t xml:space="preserve">levels of temporary UiG have remained </w:t>
            </w:r>
            <w:r w:rsidR="00A12004">
              <w:rPr>
                <w:rFonts w:cs="Arial"/>
              </w:rPr>
              <w:t xml:space="preserve">higher than </w:t>
            </w:r>
            <w:r w:rsidR="00485192">
              <w:rPr>
                <w:rFonts w:cs="Arial"/>
              </w:rPr>
              <w:t xml:space="preserve">expected </w:t>
            </w:r>
            <w:r>
              <w:rPr>
                <w:rFonts w:cs="Arial"/>
              </w:rPr>
              <w:t xml:space="preserve">since </w:t>
            </w:r>
            <w:r w:rsidR="00DC7247">
              <w:rPr>
                <w:rFonts w:cs="Arial"/>
              </w:rPr>
              <w:t>Nexus go-live</w:t>
            </w:r>
            <w:r w:rsidR="00485192">
              <w:rPr>
                <w:rFonts w:cs="Arial"/>
              </w:rPr>
              <w:t xml:space="preserve">, despite 18 months of meter point reconciliation having </w:t>
            </w:r>
            <w:r w:rsidR="00EF6834">
              <w:rPr>
                <w:rFonts w:cs="Arial"/>
              </w:rPr>
              <w:t xml:space="preserve">now </w:t>
            </w:r>
            <w:r w:rsidR="007D23CC">
              <w:rPr>
                <w:rFonts w:cs="Arial"/>
              </w:rPr>
              <w:t>occurred</w:t>
            </w:r>
            <w:r>
              <w:rPr>
                <w:rFonts w:cs="Arial"/>
              </w:rPr>
              <w:t>.  Th</w:t>
            </w:r>
            <w:r w:rsidR="00DC7247">
              <w:rPr>
                <w:rFonts w:cs="Arial"/>
              </w:rPr>
              <w:t>e trend between June 2017</w:t>
            </w:r>
            <w:r>
              <w:rPr>
                <w:rFonts w:cs="Arial"/>
              </w:rPr>
              <w:t xml:space="preserve"> and the end of gas year 2017/18 </w:t>
            </w:r>
            <w:r w:rsidR="00FE42A2">
              <w:rPr>
                <w:rFonts w:cs="Arial"/>
              </w:rPr>
              <w:t>was</w:t>
            </w:r>
            <w:r w:rsidR="00AC20CD">
              <w:rPr>
                <w:rFonts w:cs="Arial"/>
              </w:rPr>
              <w:t xml:space="preserve"> </w:t>
            </w:r>
            <w:r>
              <w:rPr>
                <w:rFonts w:cs="Arial"/>
              </w:rPr>
              <w:t>that reco</w:t>
            </w:r>
            <w:r w:rsidR="008F7AE5">
              <w:rPr>
                <w:rFonts w:cs="Arial"/>
              </w:rPr>
              <w:t xml:space="preserve">nciliation reduced levels of UiG </w:t>
            </w:r>
            <w:r w:rsidR="00485192">
              <w:rPr>
                <w:rFonts w:cs="Arial"/>
              </w:rPr>
              <w:t>initially allocated to</w:t>
            </w:r>
            <w:r>
              <w:rPr>
                <w:rFonts w:cs="Arial"/>
              </w:rPr>
              <w:t xml:space="preserve"> shippers</w:t>
            </w:r>
            <w:r w:rsidR="000C1B02">
              <w:rPr>
                <w:rFonts w:cs="Arial"/>
              </w:rPr>
              <w:t xml:space="preserve"> based on their portfolio mix (Class / EUC).</w:t>
            </w:r>
            <w:r>
              <w:rPr>
                <w:rFonts w:cs="Arial"/>
              </w:rPr>
              <w:t xml:space="preserve"> </w:t>
            </w:r>
            <w:r w:rsidR="000C1B02">
              <w:rPr>
                <w:rFonts w:cs="Arial"/>
              </w:rPr>
              <w:t xml:space="preserve"> </w:t>
            </w:r>
            <w:r w:rsidR="00FE42A2">
              <w:rPr>
                <w:rFonts w:cs="Arial"/>
              </w:rPr>
              <w:t>However, t</w:t>
            </w:r>
            <w:r w:rsidR="003A00C0">
              <w:rPr>
                <w:rFonts w:cs="Arial"/>
              </w:rPr>
              <w:t xml:space="preserve">his reduction </w:t>
            </w:r>
            <w:r w:rsidR="00FE42A2">
              <w:rPr>
                <w:rFonts w:cs="Arial"/>
              </w:rPr>
              <w:t>was</w:t>
            </w:r>
            <w:r w:rsidR="003A00C0">
              <w:rPr>
                <w:rFonts w:cs="Arial"/>
              </w:rPr>
              <w:t xml:space="preserve"> not at a pace sufficient enough to reach any </w:t>
            </w:r>
            <w:r w:rsidR="00B964DF">
              <w:rPr>
                <w:rFonts w:cs="Arial"/>
              </w:rPr>
              <w:t>recognised</w:t>
            </w:r>
            <w:r w:rsidR="003A00C0">
              <w:rPr>
                <w:rFonts w:cs="Arial"/>
              </w:rPr>
              <w:t xml:space="preserve"> </w:t>
            </w:r>
            <w:r w:rsidR="003B19E6">
              <w:rPr>
                <w:rFonts w:cs="Arial"/>
              </w:rPr>
              <w:t xml:space="preserve">industry </w:t>
            </w:r>
            <w:r w:rsidR="003A00C0">
              <w:rPr>
                <w:rFonts w:cs="Arial"/>
              </w:rPr>
              <w:t xml:space="preserve">quantification of permanent UiG. </w:t>
            </w:r>
          </w:p>
          <w:p w:rsidR="003A00C0" w:rsidRDefault="003A00C0" w:rsidP="00173F04">
            <w:pPr>
              <w:rPr>
                <w:rFonts w:cs="Arial"/>
              </w:rPr>
            </w:pPr>
          </w:p>
          <w:p w:rsidR="00DC7247" w:rsidRDefault="00DC7247" w:rsidP="00173F04">
            <w:pPr>
              <w:rPr>
                <w:rFonts w:cs="Arial"/>
              </w:rPr>
            </w:pPr>
            <w:r>
              <w:rPr>
                <w:rFonts w:cs="Arial"/>
              </w:rPr>
              <w:t>Since the start of Gas Year 2018/19 when newly ‘uplifted’ Annual Load Profiles / Daily Adjustment Factors came into effect</w:t>
            </w:r>
            <w:r w:rsidR="003A00C0">
              <w:rPr>
                <w:rFonts w:cs="Arial"/>
              </w:rPr>
              <w:t xml:space="preserve"> for EUC 01B and 02B</w:t>
            </w:r>
            <w:r>
              <w:rPr>
                <w:rFonts w:cs="Arial"/>
              </w:rPr>
              <w:t xml:space="preserve">, </w:t>
            </w:r>
            <w:r w:rsidR="00F74206">
              <w:rPr>
                <w:rFonts w:cs="Arial"/>
              </w:rPr>
              <w:t>the</w:t>
            </w:r>
            <w:r>
              <w:rPr>
                <w:rFonts w:cs="Arial"/>
              </w:rPr>
              <w:t xml:space="preserve"> </w:t>
            </w:r>
            <w:r w:rsidR="00F74206">
              <w:rPr>
                <w:rFonts w:cs="Arial"/>
              </w:rPr>
              <w:t>pattern</w:t>
            </w:r>
            <w:r>
              <w:rPr>
                <w:rFonts w:cs="Arial"/>
              </w:rPr>
              <w:t xml:space="preserve"> has </w:t>
            </w:r>
            <w:r w:rsidR="000C1B02">
              <w:rPr>
                <w:rFonts w:cs="Arial"/>
              </w:rPr>
              <w:t>changed</w:t>
            </w:r>
            <w:r w:rsidR="00F74206">
              <w:rPr>
                <w:rFonts w:cs="Arial"/>
              </w:rPr>
              <w:t>, with allocated</w:t>
            </w:r>
            <w:r>
              <w:rPr>
                <w:rFonts w:cs="Arial"/>
              </w:rPr>
              <w:t xml:space="preserve"> UiG </w:t>
            </w:r>
            <w:r w:rsidR="00F74206">
              <w:rPr>
                <w:rFonts w:cs="Arial"/>
              </w:rPr>
              <w:t xml:space="preserve">being much more moderate and subsequent reconciliation increasing the initial UiG volume.  It is not yet clear to what extent this increase will accumulate. </w:t>
            </w:r>
          </w:p>
          <w:p w:rsidR="00DC7247" w:rsidRDefault="00DC7247" w:rsidP="00173F04">
            <w:pPr>
              <w:rPr>
                <w:rFonts w:cs="Arial"/>
              </w:rPr>
            </w:pPr>
          </w:p>
          <w:p w:rsidR="00835F66" w:rsidRDefault="00835F66" w:rsidP="00173F04">
            <w:pPr>
              <w:rPr>
                <w:rFonts w:cs="Arial"/>
                <w:b/>
                <w:u w:val="single"/>
              </w:rPr>
            </w:pPr>
            <w:r>
              <w:rPr>
                <w:rFonts w:cs="Arial"/>
                <w:b/>
                <w:u w:val="single"/>
              </w:rPr>
              <w:t>Suggested Approach</w:t>
            </w:r>
          </w:p>
          <w:p w:rsidR="00835F66" w:rsidRPr="00835F66" w:rsidRDefault="00835F66" w:rsidP="00173F04">
            <w:pPr>
              <w:rPr>
                <w:rFonts w:cs="Arial"/>
                <w:b/>
                <w:u w:val="single"/>
              </w:rPr>
            </w:pPr>
          </w:p>
          <w:p w:rsidR="000C1B02" w:rsidRDefault="008F7AE5" w:rsidP="00173F04">
            <w:pPr>
              <w:rPr>
                <w:rFonts w:cs="Arial"/>
              </w:rPr>
            </w:pPr>
            <w:r>
              <w:rPr>
                <w:rFonts w:cs="Arial"/>
              </w:rPr>
              <w:t>There is currently</w:t>
            </w:r>
            <w:r w:rsidR="00CE3B05">
              <w:rPr>
                <w:rFonts w:cs="Arial"/>
              </w:rPr>
              <w:t xml:space="preserve"> no independent view as to </w:t>
            </w:r>
            <w:r>
              <w:rPr>
                <w:rFonts w:cs="Arial"/>
              </w:rPr>
              <w:t xml:space="preserve">when levels of temporary UiG </w:t>
            </w:r>
            <w:r w:rsidR="000C1B02">
              <w:rPr>
                <w:rFonts w:cs="Arial"/>
              </w:rPr>
              <w:t>will reach permanency.</w:t>
            </w:r>
            <w:r>
              <w:rPr>
                <w:rFonts w:cs="Arial"/>
              </w:rPr>
              <w:t xml:space="preserve">  This change request seeks to procure a budget (ideally from existing / remaining UiG Task Force funds) </w:t>
            </w:r>
            <w:r w:rsidR="00C74255">
              <w:rPr>
                <w:rFonts w:cs="Arial"/>
              </w:rPr>
              <w:t>for</w:t>
            </w:r>
            <w:r>
              <w:rPr>
                <w:rFonts w:cs="Arial"/>
              </w:rPr>
              <w:t xml:space="preserve"> CDSP subject matt</w:t>
            </w:r>
            <w:r w:rsidR="00DC7247">
              <w:rPr>
                <w:rFonts w:cs="Arial"/>
              </w:rPr>
              <w:t>er experts</w:t>
            </w:r>
            <w:r w:rsidR="00DB41E8">
              <w:rPr>
                <w:rFonts w:cs="Arial"/>
              </w:rPr>
              <w:t xml:space="preserve"> to analyse the available</w:t>
            </w:r>
            <w:r w:rsidR="00C74255">
              <w:rPr>
                <w:rFonts w:cs="Arial"/>
              </w:rPr>
              <w:t xml:space="preserve"> </w:t>
            </w:r>
            <w:r>
              <w:rPr>
                <w:rFonts w:cs="Arial"/>
              </w:rPr>
              <w:t>industry data to</w:t>
            </w:r>
            <w:r w:rsidR="003A00C0">
              <w:rPr>
                <w:rFonts w:cs="Arial"/>
              </w:rPr>
              <w:t xml:space="preserve"> provide a central </w:t>
            </w:r>
            <w:r w:rsidR="00600F5D">
              <w:rPr>
                <w:rFonts w:cs="Arial"/>
              </w:rPr>
              <w:t xml:space="preserve">national </w:t>
            </w:r>
            <w:r w:rsidR="003A00C0">
              <w:rPr>
                <w:rFonts w:cs="Arial"/>
              </w:rPr>
              <w:t>‘forecast’ for UiG reconciliation.</w:t>
            </w:r>
          </w:p>
          <w:p w:rsidR="000C1B02" w:rsidRDefault="000C1B02" w:rsidP="00173F04">
            <w:pPr>
              <w:rPr>
                <w:rFonts w:cs="Arial"/>
              </w:rPr>
            </w:pPr>
          </w:p>
          <w:p w:rsidR="003D529B" w:rsidRDefault="00DC7247" w:rsidP="00173F04">
            <w:pPr>
              <w:rPr>
                <w:rFonts w:cs="Arial"/>
              </w:rPr>
            </w:pPr>
            <w:r>
              <w:rPr>
                <w:rFonts w:cs="Arial"/>
              </w:rPr>
              <w:t xml:space="preserve">This </w:t>
            </w:r>
            <w:r w:rsidR="004C3F5A">
              <w:rPr>
                <w:rFonts w:cs="Arial"/>
              </w:rPr>
              <w:t>should</w:t>
            </w:r>
            <w:r>
              <w:rPr>
                <w:rFonts w:cs="Arial"/>
              </w:rPr>
              <w:t xml:space="preserve"> initially focus on the trends (allocation / reconciliation) to date, to </w:t>
            </w:r>
            <w:r w:rsidR="003D529B">
              <w:rPr>
                <w:rFonts w:cs="Arial"/>
              </w:rPr>
              <w:t xml:space="preserve">report how </w:t>
            </w:r>
            <w:r w:rsidR="000C1B02">
              <w:rPr>
                <w:rFonts w:cs="Arial"/>
              </w:rPr>
              <w:t xml:space="preserve">the national cumulative level of </w:t>
            </w:r>
            <w:r w:rsidR="003D529B">
              <w:rPr>
                <w:rFonts w:cs="Arial"/>
              </w:rPr>
              <w:t>temporary</w:t>
            </w:r>
            <w:r w:rsidR="001F1CB9">
              <w:rPr>
                <w:rFonts w:cs="Arial"/>
              </w:rPr>
              <w:t xml:space="preserve"> UiG (for </w:t>
            </w:r>
            <w:r w:rsidR="000C1B02">
              <w:rPr>
                <w:rFonts w:cs="Arial"/>
              </w:rPr>
              <w:t>each consumption month</w:t>
            </w:r>
            <w:r w:rsidR="001F1CB9">
              <w:rPr>
                <w:rFonts w:cs="Arial"/>
              </w:rPr>
              <w:t xml:space="preserve"> / LDZ level) will </w:t>
            </w:r>
            <w:r w:rsidR="003D529B">
              <w:rPr>
                <w:rFonts w:cs="Arial"/>
              </w:rPr>
              <w:t xml:space="preserve">change over the coming </w:t>
            </w:r>
            <w:r w:rsidR="00CC3EEC">
              <w:rPr>
                <w:rFonts w:cs="Arial"/>
              </w:rPr>
              <w:t>[</w:t>
            </w:r>
            <w:r w:rsidR="003D529B">
              <w:rPr>
                <w:rFonts w:cs="Arial"/>
              </w:rPr>
              <w:t>18 months</w:t>
            </w:r>
            <w:r w:rsidR="00CC3EEC">
              <w:rPr>
                <w:rFonts w:cs="Arial"/>
              </w:rPr>
              <w:t>], with the output being</w:t>
            </w:r>
            <w:r w:rsidR="003D529B">
              <w:rPr>
                <w:rFonts w:cs="Arial"/>
              </w:rPr>
              <w:t xml:space="preserve"> reported both a</w:t>
            </w:r>
            <w:r w:rsidR="001F1CB9">
              <w:rPr>
                <w:rFonts w:cs="Arial"/>
              </w:rPr>
              <w:t>s a %</w:t>
            </w:r>
            <w:r w:rsidR="00CC3EEC">
              <w:rPr>
                <w:rFonts w:cs="Arial"/>
              </w:rPr>
              <w:t xml:space="preserve"> (of national throughput)</w:t>
            </w:r>
            <w:r w:rsidR="001F1CB9">
              <w:rPr>
                <w:rFonts w:cs="Arial"/>
              </w:rPr>
              <w:t xml:space="preserve"> and KWh value</w:t>
            </w:r>
            <w:r w:rsidR="003D529B">
              <w:rPr>
                <w:rFonts w:cs="Arial"/>
              </w:rPr>
              <w:t>.</w:t>
            </w:r>
          </w:p>
          <w:p w:rsidR="00CC3EEC" w:rsidRDefault="00CC3EEC" w:rsidP="00173F04">
            <w:pPr>
              <w:rPr>
                <w:rFonts w:cs="Arial"/>
              </w:rPr>
            </w:pPr>
          </w:p>
          <w:p w:rsidR="003D529B" w:rsidRDefault="003D529B" w:rsidP="00173F04">
            <w:pPr>
              <w:rPr>
                <w:rFonts w:cs="Arial"/>
              </w:rPr>
            </w:pPr>
            <w:r>
              <w:rPr>
                <w:rFonts w:cs="Arial"/>
              </w:rPr>
              <w:t xml:space="preserve">This initial analysis should work on the basis of as-is industry patterns, including shipper read performance and be </w:t>
            </w:r>
            <w:r w:rsidR="00CC3EEC">
              <w:rPr>
                <w:rFonts w:cs="Arial"/>
              </w:rPr>
              <w:t>‘</w:t>
            </w:r>
            <w:r>
              <w:rPr>
                <w:rFonts w:cs="Arial"/>
              </w:rPr>
              <w:t>updatable</w:t>
            </w:r>
            <w:r w:rsidR="00CC3EEC">
              <w:rPr>
                <w:rFonts w:cs="Arial"/>
              </w:rPr>
              <w:t>’ on a monthly basis</w:t>
            </w:r>
            <w:r>
              <w:rPr>
                <w:rFonts w:cs="Arial"/>
              </w:rPr>
              <w:t xml:space="preserve"> as these conditions change. </w:t>
            </w:r>
          </w:p>
          <w:p w:rsidR="003D529B" w:rsidRDefault="003D529B" w:rsidP="00173F04">
            <w:pPr>
              <w:rPr>
                <w:rFonts w:cs="Arial"/>
              </w:rPr>
            </w:pPr>
          </w:p>
          <w:p w:rsidR="00DC7247" w:rsidRDefault="00C74255" w:rsidP="00173F04">
            <w:pPr>
              <w:rPr>
                <w:rFonts w:cs="Arial"/>
              </w:rPr>
            </w:pPr>
            <w:r>
              <w:rPr>
                <w:rFonts w:cs="Arial"/>
              </w:rPr>
              <w:t>T</w:t>
            </w:r>
            <w:r w:rsidR="00DC7247">
              <w:rPr>
                <w:rFonts w:cs="Arial"/>
              </w:rPr>
              <w:t xml:space="preserve">he analysis might </w:t>
            </w:r>
            <w:r w:rsidR="003D529B">
              <w:rPr>
                <w:rFonts w:cs="Arial"/>
              </w:rPr>
              <w:t>also</w:t>
            </w:r>
            <w:r w:rsidR="00DC7247">
              <w:rPr>
                <w:rFonts w:cs="Arial"/>
              </w:rPr>
              <w:t xml:space="preserve"> include</w:t>
            </w:r>
            <w:r w:rsidR="003D529B">
              <w:rPr>
                <w:rFonts w:cs="Arial"/>
              </w:rPr>
              <w:t xml:space="preserve"> how</w:t>
            </w:r>
            <w:r w:rsidR="00DC7247">
              <w:rPr>
                <w:rFonts w:cs="Arial"/>
              </w:rPr>
              <w:t xml:space="preserve"> </w:t>
            </w:r>
            <w:r>
              <w:rPr>
                <w:rFonts w:cs="Arial"/>
              </w:rPr>
              <w:t>CDSP recommendations</w:t>
            </w:r>
            <w:r w:rsidR="00600F5D">
              <w:rPr>
                <w:rFonts w:cs="Arial"/>
              </w:rPr>
              <w:t xml:space="preserve"> (both existing and future)</w:t>
            </w:r>
            <w:r w:rsidR="003D529B">
              <w:rPr>
                <w:rFonts w:cs="Arial"/>
              </w:rPr>
              <w:t xml:space="preserve"> </w:t>
            </w:r>
            <w:r w:rsidR="00CC3EEC">
              <w:rPr>
                <w:rFonts w:cs="Arial"/>
              </w:rPr>
              <w:t>are expected to</w:t>
            </w:r>
            <w:r w:rsidR="003D529B">
              <w:rPr>
                <w:rFonts w:cs="Arial"/>
              </w:rPr>
              <w:t xml:space="preserve"> impact the veracity of </w:t>
            </w:r>
            <w:r w:rsidR="00CC3EEC">
              <w:rPr>
                <w:rFonts w:cs="Arial"/>
              </w:rPr>
              <w:t xml:space="preserve">amendment to allocated UiG levels. </w:t>
            </w:r>
          </w:p>
          <w:p w:rsidR="00CC3EEC" w:rsidRDefault="00CC3EEC" w:rsidP="00173F04">
            <w:pPr>
              <w:rPr>
                <w:rFonts w:cs="Arial"/>
              </w:rPr>
            </w:pPr>
          </w:p>
          <w:p w:rsidR="008F7AE5" w:rsidRDefault="00C74255" w:rsidP="00173F04">
            <w:pPr>
              <w:rPr>
                <w:rFonts w:cs="Arial"/>
              </w:rPr>
            </w:pPr>
            <w:r>
              <w:rPr>
                <w:rFonts w:cs="Arial"/>
              </w:rPr>
              <w:t xml:space="preserve">It is proposed that progress and </w:t>
            </w:r>
            <w:r w:rsidR="008F7AE5">
              <w:rPr>
                <w:rFonts w:cs="Arial"/>
              </w:rPr>
              <w:t xml:space="preserve">output </w:t>
            </w:r>
            <w:r>
              <w:rPr>
                <w:rFonts w:cs="Arial"/>
              </w:rPr>
              <w:t xml:space="preserve">from </w:t>
            </w:r>
            <w:r w:rsidR="008F7AE5">
              <w:rPr>
                <w:rFonts w:cs="Arial"/>
              </w:rPr>
              <w:t xml:space="preserve">this analysis should be </w:t>
            </w:r>
            <w:r>
              <w:rPr>
                <w:rFonts w:cs="Arial"/>
              </w:rPr>
              <w:t>communicated with</w:t>
            </w:r>
            <w:r w:rsidR="008F7AE5">
              <w:rPr>
                <w:rFonts w:cs="Arial"/>
              </w:rPr>
              <w:t xml:space="preserve"> </w:t>
            </w:r>
            <w:r w:rsidR="002675E6">
              <w:rPr>
                <w:rFonts w:cs="Arial"/>
              </w:rPr>
              <w:t>the appropriate</w:t>
            </w:r>
            <w:r w:rsidR="008F7AE5">
              <w:rPr>
                <w:rFonts w:cs="Arial"/>
              </w:rPr>
              <w:t xml:space="preserve"> UNC Committee</w:t>
            </w:r>
            <w:r w:rsidR="002675E6">
              <w:rPr>
                <w:rFonts w:cs="Arial"/>
              </w:rPr>
              <w:t>s</w:t>
            </w:r>
            <w:r w:rsidR="008F7AE5">
              <w:rPr>
                <w:rFonts w:cs="Arial"/>
              </w:rPr>
              <w:t xml:space="preserve"> (DESC/ PAC</w:t>
            </w:r>
            <w:r w:rsidR="00600F5D">
              <w:rPr>
                <w:rFonts w:cs="Arial"/>
              </w:rPr>
              <w:t>).</w:t>
            </w:r>
          </w:p>
          <w:p w:rsidR="00173F04" w:rsidRDefault="00173F04" w:rsidP="001F1CB9">
            <w:pPr>
              <w:rPr>
                <w:rFonts w:cs="Arial"/>
              </w:rPr>
            </w:pPr>
          </w:p>
          <w:p w:rsidR="00173F04" w:rsidRPr="001F1CB9" w:rsidRDefault="001F1CB9" w:rsidP="001F1CB9">
            <w:pPr>
              <w:rPr>
                <w:rFonts w:cs="Arial"/>
                <w:b/>
              </w:rPr>
            </w:pPr>
            <w:r w:rsidRPr="001F1CB9">
              <w:rPr>
                <w:rFonts w:cs="Arial"/>
                <w:b/>
                <w:sz w:val="16"/>
              </w:rPr>
              <w:t xml:space="preserve"> </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Release X: Feb/Jun/Nov XX or Adhoc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7665CB"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7665C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E2023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7665C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7665CB"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3F38FC" w:rsidRDefault="003F38FC" w:rsidP="003F38FC">
            <w:pPr>
              <w:rPr>
                <w:rFonts w:cs="Arial"/>
              </w:rPr>
            </w:pPr>
            <w:r>
              <w:rPr>
                <w:rFonts w:cs="Arial"/>
              </w:rPr>
              <w:t xml:space="preserve">A central / indicative forecast </w:t>
            </w:r>
            <w:r w:rsidR="00E20231">
              <w:rPr>
                <w:rFonts w:cs="Arial"/>
              </w:rPr>
              <w:t xml:space="preserve">of national temporary UiG will enable shippers to understand how their initial UiG allocation might evolve under the current market conditions of the day.  </w:t>
            </w:r>
          </w:p>
          <w:p w:rsidR="007855B1" w:rsidRPr="00BC3CAC" w:rsidRDefault="003F38FC" w:rsidP="003F38FC">
            <w:pPr>
              <w:rPr>
                <w:rFonts w:cs="Arial"/>
              </w:rPr>
            </w:pPr>
            <w:r>
              <w:rPr>
                <w:rFonts w:cs="Arial"/>
              </w:rPr>
              <w:t xml:space="preserve">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3F38FC" w:rsidP="003F38FC">
            <w:pPr>
              <w:rPr>
                <w:rFonts w:cs="Arial"/>
              </w:rPr>
            </w:pPr>
            <w:r>
              <w:rPr>
                <w:rFonts w:cs="Arial"/>
              </w:rPr>
              <w:t xml:space="preserve">Following analysis </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7665CB"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7665CB"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7665CB"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Release X: Feb/Jun/Nov XX or Adhoc DD/MM/YYYY</w:t>
            </w:r>
          </w:p>
        </w:tc>
      </w:tr>
    </w:tbl>
    <w:p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7665CB"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8B3B9B">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8B3B9B" w:rsidP="009C3AAE">
            <w:pPr>
              <w:rPr>
                <w:rFonts w:cs="Arial"/>
              </w:rPr>
            </w:pPr>
            <w:r>
              <w:rPr>
                <w:rFonts w:cs="Arial"/>
              </w:rPr>
              <w:t>100</w:t>
            </w:r>
            <w:r w:rsidR="00B11FE6">
              <w:rPr>
                <w:rFonts w:cs="Arial"/>
              </w:rPr>
              <w:t xml:space="preserve">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7665CB"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7665CB"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B11FE6"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7665CB"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7665C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8B3B9B" w:rsidP="009C3AAE">
            <w:pPr>
              <w:rPr>
                <w:rFonts w:cs="Arial"/>
              </w:rPr>
            </w:pPr>
            <w:r>
              <w:rPr>
                <w:rFonts w:cs="Arial"/>
              </w:rPr>
              <w:t>Service Area 3: Record, submit data in compliance with UNC</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rsidR="009C3AAE" w:rsidRDefault="009C3AAE" w:rsidP="009C3AAE">
            <w:pPr>
              <w:rPr>
                <w:rFonts w:cs="Arial"/>
              </w:rPr>
            </w:pPr>
            <w:bookmarkStart w:id="0" w:name="_GoBack"/>
            <w:bookmarkEnd w:id="0"/>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7665CB"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7665C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7665C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7665C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7665C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7665C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7665C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7665CB"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7665C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7665C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7665C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7665C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7665C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 X: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7665C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7665C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503425" w:rsidRDefault="006F3657" w:rsidP="00503425">
      <w:r w:rsidRPr="006F3657">
        <w:t xml:space="preserve">Please send the completed forms to: </w:t>
      </w:r>
      <w:hyperlink r:id="rId12" w:history="1">
        <w:r w:rsidRPr="0040334E">
          <w:rPr>
            <w:rStyle w:val="Hyperlink"/>
          </w:rPr>
          <w:t>box.xoserve.portfoliooffice@xoserve.com</w:t>
        </w:r>
      </w:hyperlink>
      <w:r>
        <w:t xml:space="preserve"> </w:t>
      </w:r>
    </w:p>
    <w:p w:rsidR="00FA41AC" w:rsidRPr="00503425" w:rsidRDefault="00FA41AC" w:rsidP="00FA41AC">
      <w:pPr>
        <w:pStyle w:val="NoSpacing"/>
      </w:pPr>
    </w:p>
    <w:p w:rsidR="00503425" w:rsidRDefault="00503425" w:rsidP="00503425">
      <w:pPr>
        <w:pStyle w:val="Title"/>
      </w:pPr>
      <w:r>
        <w:t>Version Control</w:t>
      </w:r>
    </w:p>
    <w:p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p>
        </w:tc>
        <w:tc>
          <w:tcPr>
            <w:tcW w:w="766" w:type="pct"/>
            <w:shd w:val="clear" w:color="auto" w:fill="auto"/>
            <w:vAlign w:val="center"/>
          </w:tcPr>
          <w:p w:rsidR="00503425" w:rsidRPr="00470388" w:rsidRDefault="00503425" w:rsidP="009E3E8F">
            <w:pPr>
              <w:rPr>
                <w:rFonts w:cs="Arial"/>
                <w:szCs w:val="20"/>
              </w:rPr>
            </w:pPr>
          </w:p>
        </w:tc>
        <w:tc>
          <w:tcPr>
            <w:tcW w:w="767" w:type="pct"/>
            <w:shd w:val="clear" w:color="auto" w:fill="auto"/>
            <w:vAlign w:val="center"/>
          </w:tcPr>
          <w:p w:rsidR="00503425" w:rsidRPr="00470388" w:rsidRDefault="00503425" w:rsidP="009E3E8F">
            <w:pPr>
              <w:rPr>
                <w:rFonts w:cs="Arial"/>
                <w:szCs w:val="20"/>
              </w:rPr>
            </w:pPr>
          </w:p>
        </w:tc>
        <w:tc>
          <w:tcPr>
            <w:tcW w:w="921" w:type="pct"/>
            <w:shd w:val="clear" w:color="auto" w:fill="auto"/>
            <w:vAlign w:val="center"/>
          </w:tcPr>
          <w:p w:rsidR="00503425" w:rsidRPr="00470388" w:rsidRDefault="00503425" w:rsidP="009E3E8F">
            <w:pPr>
              <w:rPr>
                <w:rFonts w:cs="Arial"/>
                <w:szCs w:val="20"/>
              </w:rPr>
            </w:pPr>
          </w:p>
        </w:tc>
        <w:tc>
          <w:tcPr>
            <w:tcW w:w="1950" w:type="pct"/>
            <w:shd w:val="clear" w:color="auto" w:fill="auto"/>
            <w:vAlign w:val="center"/>
          </w:tcPr>
          <w:p w:rsidR="00503425" w:rsidRPr="00470388" w:rsidRDefault="00503425" w:rsidP="009E3E8F">
            <w:pPr>
              <w:rPr>
                <w:rFonts w:cs="Arial"/>
                <w:szCs w:val="20"/>
              </w:rPr>
            </w:pPr>
          </w:p>
        </w:tc>
      </w:tr>
    </w:tbl>
    <w:p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rsidTr="009E3E8F">
        <w:trPr>
          <w:trHeight w:val="403"/>
        </w:trPr>
        <w:tc>
          <w:tcPr>
            <w:tcW w:w="596" w:type="pct"/>
            <w:shd w:val="clear" w:color="auto" w:fill="B2ECFB" w:themeFill="accent5" w:themeFillTint="66"/>
            <w:vAlign w:val="center"/>
          </w:tcPr>
          <w:p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rsidR="00503425" w:rsidRPr="006C66CA" w:rsidRDefault="00503425" w:rsidP="009E3E8F">
            <w:pPr>
              <w:rPr>
                <w:rFonts w:cs="Arial"/>
                <w:szCs w:val="20"/>
              </w:rPr>
            </w:pPr>
            <w:r>
              <w:t>Remarks</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3.0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4.0</w:t>
            </w:r>
          </w:p>
        </w:tc>
        <w:tc>
          <w:tcPr>
            <w:tcW w:w="766" w:type="pct"/>
            <w:shd w:val="clear" w:color="auto" w:fill="auto"/>
            <w:vAlign w:val="center"/>
          </w:tcPr>
          <w:p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rsidTr="009E3E8F">
        <w:trPr>
          <w:trHeight w:val="403"/>
        </w:trPr>
        <w:tc>
          <w:tcPr>
            <w:tcW w:w="596" w:type="pct"/>
            <w:shd w:val="clear" w:color="auto" w:fill="auto"/>
            <w:vAlign w:val="center"/>
          </w:tcPr>
          <w:p w:rsidR="00503425" w:rsidRPr="00470388" w:rsidRDefault="00503425" w:rsidP="009E3E8F">
            <w:pPr>
              <w:rPr>
                <w:rFonts w:cs="Arial"/>
                <w:szCs w:val="20"/>
              </w:rPr>
            </w:pPr>
            <w:r>
              <w:rPr>
                <w:rFonts w:cs="Arial"/>
                <w:szCs w:val="20"/>
              </w:rPr>
              <w:t>5.0</w:t>
            </w:r>
          </w:p>
        </w:tc>
        <w:tc>
          <w:tcPr>
            <w:tcW w:w="766" w:type="pct"/>
            <w:shd w:val="clear" w:color="auto" w:fill="auto"/>
            <w:vAlign w:val="center"/>
          </w:tcPr>
          <w:p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rsidTr="009E3E8F">
        <w:trPr>
          <w:trHeight w:val="403"/>
        </w:trPr>
        <w:tc>
          <w:tcPr>
            <w:tcW w:w="596" w:type="pct"/>
            <w:shd w:val="clear" w:color="auto" w:fill="auto"/>
            <w:vAlign w:val="center"/>
          </w:tcPr>
          <w:p w:rsidR="00FA41AC" w:rsidRDefault="00FA41AC" w:rsidP="009E3E8F">
            <w:pPr>
              <w:rPr>
                <w:rFonts w:cs="Arial"/>
                <w:szCs w:val="20"/>
              </w:rPr>
            </w:pPr>
            <w:r>
              <w:rPr>
                <w:rFonts w:cs="Arial"/>
                <w:szCs w:val="20"/>
              </w:rPr>
              <w:t>6.0</w:t>
            </w:r>
          </w:p>
        </w:tc>
        <w:tc>
          <w:tcPr>
            <w:tcW w:w="766" w:type="pct"/>
            <w:shd w:val="clear" w:color="auto" w:fill="auto"/>
            <w:vAlign w:val="center"/>
          </w:tcPr>
          <w:p w:rsidR="00FA41AC" w:rsidRDefault="00FA41AC" w:rsidP="009E3E8F">
            <w:pPr>
              <w:rPr>
                <w:rFonts w:cs="Arial"/>
                <w:szCs w:val="20"/>
              </w:rPr>
            </w:pPr>
            <w:r>
              <w:rPr>
                <w:rFonts w:cs="Arial"/>
                <w:szCs w:val="20"/>
              </w:rPr>
              <w:t>Approved</w:t>
            </w:r>
          </w:p>
        </w:tc>
        <w:tc>
          <w:tcPr>
            <w:tcW w:w="767" w:type="pct"/>
            <w:shd w:val="clear" w:color="auto" w:fill="auto"/>
            <w:vAlign w:val="center"/>
          </w:tcPr>
          <w:p w:rsidR="00FA41AC" w:rsidRDefault="00FA41AC" w:rsidP="009E3E8F">
            <w:pPr>
              <w:rPr>
                <w:rFonts w:cs="Arial"/>
                <w:szCs w:val="20"/>
              </w:rPr>
            </w:pPr>
            <w:r>
              <w:rPr>
                <w:rFonts w:cs="Arial"/>
                <w:szCs w:val="20"/>
              </w:rPr>
              <w:t>12/12/2018</w:t>
            </w:r>
          </w:p>
        </w:tc>
        <w:tc>
          <w:tcPr>
            <w:tcW w:w="921" w:type="pct"/>
            <w:shd w:val="clear" w:color="auto" w:fill="auto"/>
            <w:vAlign w:val="center"/>
          </w:tcPr>
          <w:p w:rsidR="00FA41AC" w:rsidRDefault="00FA41AC" w:rsidP="009E3E8F">
            <w:pPr>
              <w:rPr>
                <w:rFonts w:cs="Arial"/>
                <w:szCs w:val="20"/>
              </w:rPr>
            </w:pPr>
            <w:r>
              <w:rPr>
                <w:rFonts w:cs="Arial"/>
                <w:szCs w:val="20"/>
              </w:rPr>
              <w:t>Simon Harris</w:t>
            </w:r>
          </w:p>
        </w:tc>
        <w:tc>
          <w:tcPr>
            <w:tcW w:w="1950" w:type="pct"/>
            <w:shd w:val="clear" w:color="auto" w:fill="auto"/>
            <w:vAlign w:val="center"/>
          </w:tcPr>
          <w:p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w:t>
            </w:r>
            <w:r>
              <w:rPr>
                <w:rFonts w:cs="Arial"/>
                <w:szCs w:val="20"/>
              </w:rPr>
              <w:lastRenderedPageBreak/>
              <w:t>December 2018.</w:t>
            </w:r>
          </w:p>
        </w:tc>
      </w:tr>
    </w:tbl>
    <w:p w:rsidR="0051349C" w:rsidRPr="00FA41AC" w:rsidRDefault="0051349C" w:rsidP="00FA41AC"/>
    <w:sectPr w:rsidR="0051349C" w:rsidRPr="00FA41A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CB" w:rsidRDefault="007665CB" w:rsidP="00324744">
      <w:pPr>
        <w:spacing w:after="0" w:line="240" w:lineRule="auto"/>
      </w:pPr>
      <w:r>
        <w:separator/>
      </w:r>
    </w:p>
  </w:endnote>
  <w:endnote w:type="continuationSeparator" w:id="0">
    <w:p w:rsidR="007665CB" w:rsidRDefault="007665C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CB" w:rsidRDefault="007665CB" w:rsidP="00324744">
      <w:pPr>
        <w:spacing w:after="0" w:line="240" w:lineRule="auto"/>
      </w:pPr>
      <w:r>
        <w:separator/>
      </w:r>
    </w:p>
  </w:footnote>
  <w:footnote w:type="continuationSeparator" w:id="0">
    <w:p w:rsidR="007665CB" w:rsidRDefault="007665CB"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D60"/>
    <w:multiLevelType w:val="hybridMultilevel"/>
    <w:tmpl w:val="0102145E"/>
    <w:lvl w:ilvl="0" w:tplc="9836F17E">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A240D"/>
    <w:multiLevelType w:val="hybridMultilevel"/>
    <w:tmpl w:val="8E281BD2"/>
    <w:lvl w:ilvl="0" w:tplc="80B2C052">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A63EB"/>
    <w:multiLevelType w:val="hybridMultilevel"/>
    <w:tmpl w:val="0BF4EE68"/>
    <w:lvl w:ilvl="0" w:tplc="B4466E54">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0E95"/>
    <w:rsid w:val="00050A89"/>
    <w:rsid w:val="00093D75"/>
    <w:rsid w:val="000A1AD1"/>
    <w:rsid w:val="000C1B02"/>
    <w:rsid w:val="000E3E26"/>
    <w:rsid w:val="00122449"/>
    <w:rsid w:val="00125B61"/>
    <w:rsid w:val="00144E00"/>
    <w:rsid w:val="00147035"/>
    <w:rsid w:val="00156FD9"/>
    <w:rsid w:val="001724CD"/>
    <w:rsid w:val="00173F04"/>
    <w:rsid w:val="00176605"/>
    <w:rsid w:val="00195C86"/>
    <w:rsid w:val="001A626D"/>
    <w:rsid w:val="001F1CB9"/>
    <w:rsid w:val="002247C6"/>
    <w:rsid w:val="00226D34"/>
    <w:rsid w:val="00230D14"/>
    <w:rsid w:val="002337A2"/>
    <w:rsid w:val="002365D1"/>
    <w:rsid w:val="002675E6"/>
    <w:rsid w:val="0029036C"/>
    <w:rsid w:val="00291ABB"/>
    <w:rsid w:val="002A278D"/>
    <w:rsid w:val="002C1731"/>
    <w:rsid w:val="002F448E"/>
    <w:rsid w:val="00310A64"/>
    <w:rsid w:val="003201A4"/>
    <w:rsid w:val="00324744"/>
    <w:rsid w:val="003463C5"/>
    <w:rsid w:val="003A00C0"/>
    <w:rsid w:val="003A32EA"/>
    <w:rsid w:val="003B19E6"/>
    <w:rsid w:val="003B7E16"/>
    <w:rsid w:val="003D529B"/>
    <w:rsid w:val="003E5D29"/>
    <w:rsid w:val="003F38FC"/>
    <w:rsid w:val="00407C41"/>
    <w:rsid w:val="00426807"/>
    <w:rsid w:val="00470388"/>
    <w:rsid w:val="00485192"/>
    <w:rsid w:val="004B4891"/>
    <w:rsid w:val="004C3F5A"/>
    <w:rsid w:val="004F3362"/>
    <w:rsid w:val="00503425"/>
    <w:rsid w:val="0051349C"/>
    <w:rsid w:val="00516D8E"/>
    <w:rsid w:val="00517F6F"/>
    <w:rsid w:val="00546615"/>
    <w:rsid w:val="0055298E"/>
    <w:rsid w:val="005A1776"/>
    <w:rsid w:val="005A1A49"/>
    <w:rsid w:val="005A6B14"/>
    <w:rsid w:val="005C15DD"/>
    <w:rsid w:val="005D4EDB"/>
    <w:rsid w:val="00600F5D"/>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665CB"/>
    <w:rsid w:val="007715F3"/>
    <w:rsid w:val="00771B44"/>
    <w:rsid w:val="00777C88"/>
    <w:rsid w:val="007836E3"/>
    <w:rsid w:val="007855B1"/>
    <w:rsid w:val="007A56DB"/>
    <w:rsid w:val="007D23CC"/>
    <w:rsid w:val="007D4F26"/>
    <w:rsid w:val="007D796E"/>
    <w:rsid w:val="00803BD9"/>
    <w:rsid w:val="00807258"/>
    <w:rsid w:val="0082322E"/>
    <w:rsid w:val="00833E9C"/>
    <w:rsid w:val="00835F66"/>
    <w:rsid w:val="00843613"/>
    <w:rsid w:val="00853AEB"/>
    <w:rsid w:val="00864211"/>
    <w:rsid w:val="00874C46"/>
    <w:rsid w:val="00876BE6"/>
    <w:rsid w:val="00886E23"/>
    <w:rsid w:val="008932EE"/>
    <w:rsid w:val="00897E29"/>
    <w:rsid w:val="008B0398"/>
    <w:rsid w:val="008B3B9B"/>
    <w:rsid w:val="008C078A"/>
    <w:rsid w:val="008C5570"/>
    <w:rsid w:val="008F05D1"/>
    <w:rsid w:val="008F42B5"/>
    <w:rsid w:val="008F7AE5"/>
    <w:rsid w:val="00903F38"/>
    <w:rsid w:val="0095319A"/>
    <w:rsid w:val="00977AD7"/>
    <w:rsid w:val="00977B79"/>
    <w:rsid w:val="009C3AAE"/>
    <w:rsid w:val="009D38A3"/>
    <w:rsid w:val="009E485B"/>
    <w:rsid w:val="009E6FF9"/>
    <w:rsid w:val="009F7831"/>
    <w:rsid w:val="00A12004"/>
    <w:rsid w:val="00A30CDA"/>
    <w:rsid w:val="00A3623B"/>
    <w:rsid w:val="00A37D3B"/>
    <w:rsid w:val="00A82A57"/>
    <w:rsid w:val="00AB5B54"/>
    <w:rsid w:val="00AB63DE"/>
    <w:rsid w:val="00AC20CD"/>
    <w:rsid w:val="00AC7EC6"/>
    <w:rsid w:val="00B11FE6"/>
    <w:rsid w:val="00B35235"/>
    <w:rsid w:val="00B47489"/>
    <w:rsid w:val="00B542B2"/>
    <w:rsid w:val="00B964DF"/>
    <w:rsid w:val="00BC3CAC"/>
    <w:rsid w:val="00BC6C45"/>
    <w:rsid w:val="00BD0A45"/>
    <w:rsid w:val="00BD6281"/>
    <w:rsid w:val="00BF1157"/>
    <w:rsid w:val="00C01CAE"/>
    <w:rsid w:val="00C06409"/>
    <w:rsid w:val="00C30FB9"/>
    <w:rsid w:val="00C336A5"/>
    <w:rsid w:val="00C34211"/>
    <w:rsid w:val="00C408DE"/>
    <w:rsid w:val="00C44CF7"/>
    <w:rsid w:val="00C4790B"/>
    <w:rsid w:val="00C63FD2"/>
    <w:rsid w:val="00C70976"/>
    <w:rsid w:val="00C74255"/>
    <w:rsid w:val="00CC3EEC"/>
    <w:rsid w:val="00CD74AB"/>
    <w:rsid w:val="00CE3B05"/>
    <w:rsid w:val="00CF035F"/>
    <w:rsid w:val="00D15204"/>
    <w:rsid w:val="00D2202F"/>
    <w:rsid w:val="00D348F5"/>
    <w:rsid w:val="00D36766"/>
    <w:rsid w:val="00D66C7E"/>
    <w:rsid w:val="00D82149"/>
    <w:rsid w:val="00D877EF"/>
    <w:rsid w:val="00D93896"/>
    <w:rsid w:val="00DA6D80"/>
    <w:rsid w:val="00DB41E8"/>
    <w:rsid w:val="00DC05DA"/>
    <w:rsid w:val="00DC7247"/>
    <w:rsid w:val="00DE4CEA"/>
    <w:rsid w:val="00DF0523"/>
    <w:rsid w:val="00E20231"/>
    <w:rsid w:val="00E365C3"/>
    <w:rsid w:val="00E472C6"/>
    <w:rsid w:val="00E54328"/>
    <w:rsid w:val="00E603FE"/>
    <w:rsid w:val="00E960BE"/>
    <w:rsid w:val="00EB62AF"/>
    <w:rsid w:val="00ED342B"/>
    <w:rsid w:val="00EF2B03"/>
    <w:rsid w:val="00EF6834"/>
    <w:rsid w:val="00F146A4"/>
    <w:rsid w:val="00F478AE"/>
    <w:rsid w:val="00F72FAC"/>
    <w:rsid w:val="00F74206"/>
    <w:rsid w:val="00F83D67"/>
    <w:rsid w:val="00F9391E"/>
    <w:rsid w:val="00F95876"/>
    <w:rsid w:val="00FA3F4F"/>
    <w:rsid w:val="00FA41AC"/>
    <w:rsid w:val="00FB04DB"/>
    <w:rsid w:val="00FB1FA8"/>
    <w:rsid w:val="00FE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9770A"/>
    <w:rsid w:val="001A62E2"/>
    <w:rsid w:val="005D2B91"/>
    <w:rsid w:val="0060479E"/>
    <w:rsid w:val="00617916"/>
    <w:rsid w:val="006F468B"/>
    <w:rsid w:val="00824948"/>
    <w:rsid w:val="009E4EC9"/>
    <w:rsid w:val="00B570A7"/>
    <w:rsid w:val="00C72329"/>
    <w:rsid w:val="00CC3E0B"/>
    <w:rsid w:val="00EB5A8F"/>
    <w:rsid w:val="00F133A7"/>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C3A23A-0DEA-407B-8BC0-C242BA8E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2019-02-05T14:39:00Z</dcterms:created>
  <dcterms:modified xsi:type="dcterms:W3CDTF">2019-02-05T14:39:00Z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NewReviewCycle">
    <vt:lpwstr/>
  </property>
  <property fmtid="{D5CDD505-2E9C-101B-9397-08002B2CF9AE}" pid="4" name="_AdHocReviewCycleID">
    <vt:i4>-1406534605</vt:i4>
  </property>
  <property fmtid="{D5CDD505-2E9C-101B-9397-08002B2CF9AE}" pid="5" name="_EmailSubject">
    <vt:lpwstr>EXT || New XRN</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ReviewingToolsShownOnce">
    <vt:lpwstr/>
  </property>
</Properties>
</file>