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A194" w14:textId="77777777" w:rsidR="006A724E" w:rsidRDefault="009C2FA4" w:rsidP="006A724E"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C1FB628" wp14:editId="779C0A73">
            <wp:simplePos x="0" y="0"/>
            <wp:positionH relativeFrom="column">
              <wp:posOffset>1255395</wp:posOffset>
            </wp:positionH>
            <wp:positionV relativeFrom="paragraph">
              <wp:posOffset>635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9C2FA4" w:rsidRDefault="009C2FA4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14:paraId="3D54457C" w14:textId="77777777" w:rsidR="007B4360" w:rsidRPr="00A9117A" w:rsidRDefault="00BB5A00" w:rsidP="001A6BF4">
      <w:pPr>
        <w:spacing w:after="0" w:line="240" w:lineRule="auto"/>
        <w:jc w:val="center"/>
        <w:rPr>
          <w:rFonts w:cs="Arial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727F20">
        <w:rPr>
          <w:rFonts w:asciiTheme="majorHAnsi" w:hAnsiTheme="majorHAnsi" w:cstheme="majorHAnsi"/>
          <w:b/>
          <w:color w:val="3E5AA8"/>
          <w:sz w:val="60"/>
          <w:szCs w:val="60"/>
        </w:rPr>
        <w:t>Business Evaluation Report</w:t>
      </w:r>
      <w:r w:rsidR="00AF37F5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</w:t>
      </w:r>
      <w:r w:rsidR="00727F20">
        <w:rPr>
          <w:rFonts w:asciiTheme="majorHAnsi" w:hAnsiTheme="majorHAnsi" w:cstheme="majorHAnsi"/>
          <w:b/>
          <w:color w:val="3E5AA8"/>
          <w:sz w:val="60"/>
          <w:szCs w:val="60"/>
        </w:rPr>
        <w:t>BE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>R)</w:t>
      </w:r>
      <w:r w:rsidR="00192B0D" w:rsidRPr="00A9117A">
        <w:rPr>
          <w:rFonts w:cs="Arial"/>
        </w:rPr>
        <w:t xml:space="preserve"> </w:t>
      </w:r>
    </w:p>
    <w:tbl>
      <w:tblPr>
        <w:tblStyle w:val="TableGrid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3"/>
        <w:gridCol w:w="5211"/>
      </w:tblGrid>
      <w:tr w:rsidR="00A9117A" w:rsidRPr="00A9117A" w14:paraId="13699931" w14:textId="77777777" w:rsidTr="2C1C7796">
        <w:tc>
          <w:tcPr>
            <w:tcW w:w="2439" w:type="pct"/>
            <w:shd w:val="clear" w:color="auto" w:fill="FFFFFF" w:themeFill="background1"/>
            <w:vAlign w:val="center"/>
          </w:tcPr>
          <w:p w14:paraId="52E1188E" w14:textId="77777777" w:rsidR="006A724E" w:rsidRPr="005F5F70" w:rsidRDefault="00FF546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F5F70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0A37501D" w14:textId="525596CC" w:rsidR="006A724E" w:rsidRPr="00596ACB" w:rsidRDefault="2C1C7796" w:rsidP="2C1C7796">
            <w:pPr>
              <w:rPr>
                <w:rFonts w:ascii="Arial" w:hAnsi="Arial" w:cs="Arial"/>
                <w:sz w:val="20"/>
                <w:szCs w:val="20"/>
              </w:rPr>
            </w:pPr>
            <w:r w:rsidRPr="2C1C7796">
              <w:rPr>
                <w:rFonts w:ascii="Arial" w:hAnsi="Arial" w:cs="Arial"/>
                <w:sz w:val="20"/>
                <w:szCs w:val="20"/>
              </w:rPr>
              <w:t xml:space="preserve"> National Grid Test Support &amp; Consultancy </w:t>
            </w:r>
          </w:p>
        </w:tc>
      </w:tr>
      <w:tr w:rsidR="00A9117A" w:rsidRPr="00A9117A" w14:paraId="68EB4343" w14:textId="77777777" w:rsidTr="2C1C7796">
        <w:tc>
          <w:tcPr>
            <w:tcW w:w="2439" w:type="pct"/>
            <w:shd w:val="clear" w:color="auto" w:fill="FFFFFF" w:themeFill="background1"/>
            <w:vAlign w:val="center"/>
          </w:tcPr>
          <w:p w14:paraId="0EBDFA9A" w14:textId="77777777" w:rsidR="006A724E" w:rsidRPr="005F5F70" w:rsidRDefault="00CD007F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6"/>
              </w:rPr>
              <w:t>Xoserve</w:t>
            </w:r>
            <w:proofErr w:type="spellEnd"/>
            <w:r>
              <w:rPr>
                <w:rFonts w:ascii="Arial" w:hAnsi="Arial" w:cs="Arial"/>
                <w:b/>
                <w:sz w:val="20"/>
                <w:szCs w:val="16"/>
              </w:rPr>
              <w:t xml:space="preserve"> reference n</w:t>
            </w:r>
            <w:r w:rsidR="00C83168" w:rsidRPr="005F5F70">
              <w:rPr>
                <w:rFonts w:ascii="Arial" w:hAnsi="Arial" w:cs="Arial"/>
                <w:b/>
                <w:sz w:val="20"/>
                <w:szCs w:val="16"/>
              </w:rPr>
              <w:t>umber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(XRN)</w:t>
            </w:r>
          </w:p>
        </w:tc>
        <w:tc>
          <w:tcPr>
            <w:tcW w:w="2561" w:type="pct"/>
          </w:tcPr>
          <w:p w14:paraId="5DAB6C7B" w14:textId="1729B693" w:rsidR="006A724E" w:rsidRPr="00596ACB" w:rsidRDefault="2C1C7796" w:rsidP="2C1C7796">
            <w:pPr>
              <w:rPr>
                <w:rFonts w:ascii="Arial" w:hAnsi="Arial" w:cs="Arial"/>
                <w:sz w:val="20"/>
                <w:szCs w:val="20"/>
              </w:rPr>
            </w:pPr>
            <w:r w:rsidRPr="2C1C7796">
              <w:rPr>
                <w:rFonts w:ascii="Arial" w:hAnsi="Arial" w:cs="Arial"/>
                <w:sz w:val="20"/>
                <w:szCs w:val="20"/>
              </w:rPr>
              <w:t>XRN4706</w:t>
            </w:r>
          </w:p>
        </w:tc>
      </w:tr>
      <w:tr w:rsidR="00A9117A" w:rsidRPr="00A9117A" w14:paraId="03896286" w14:textId="77777777" w:rsidTr="2C1C7796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91149" w14:textId="77777777" w:rsidR="006A724E" w:rsidRPr="005F5F70" w:rsidRDefault="009C272A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5F5F70">
              <w:rPr>
                <w:rFonts w:ascii="Arial" w:hAnsi="Arial" w:cs="Arial"/>
                <w:b/>
                <w:sz w:val="20"/>
                <w:szCs w:val="16"/>
              </w:rPr>
              <w:t>Xoserve</w:t>
            </w:r>
            <w:proofErr w:type="spellEnd"/>
            <w:r w:rsidR="00FF5462" w:rsidRPr="005F5F70">
              <w:rPr>
                <w:rFonts w:ascii="Arial" w:hAnsi="Arial" w:cs="Arial"/>
                <w:b/>
                <w:sz w:val="20"/>
                <w:szCs w:val="16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02EB378F" w14:textId="51F03BDA" w:rsidR="006A724E" w:rsidRPr="00596ACB" w:rsidRDefault="2C1C7796" w:rsidP="2C1C7796">
            <w:pPr>
              <w:rPr>
                <w:rFonts w:ascii="Arial" w:hAnsi="Arial" w:cs="Arial"/>
                <w:sz w:val="20"/>
                <w:szCs w:val="20"/>
              </w:rPr>
            </w:pPr>
            <w:r w:rsidRPr="2C1C7796">
              <w:rPr>
                <w:rFonts w:ascii="Arial" w:hAnsi="Arial" w:cs="Arial"/>
                <w:sz w:val="20"/>
                <w:szCs w:val="20"/>
              </w:rPr>
              <w:t xml:space="preserve">Nicola Patmore </w:t>
            </w:r>
          </w:p>
        </w:tc>
      </w:tr>
      <w:tr w:rsidR="00A9117A" w:rsidRPr="00A9117A" w14:paraId="58C6109E" w14:textId="77777777" w:rsidTr="2C1C7796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1547B" w14:textId="77777777" w:rsidR="006A724E" w:rsidRPr="005F5F70" w:rsidRDefault="00FF546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F5F70">
              <w:rPr>
                <w:rFonts w:ascii="Arial" w:hAnsi="Arial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6A05A809" w14:textId="192108A0" w:rsidR="006A724E" w:rsidRPr="00596ACB" w:rsidRDefault="00EF0B9F" w:rsidP="2C1C7796">
            <w:pPr>
              <w:rPr>
                <w:rFonts w:ascii="Arial" w:hAnsi="Arial" w:cs="Arial"/>
                <w:sz w:val="20"/>
                <w:szCs w:val="20"/>
              </w:rPr>
            </w:pPr>
            <w:hyperlink r:id="rId13">
              <w:r w:rsidR="2C1C7796" w:rsidRPr="003D7B09">
                <w:t>Nicola.Patmore@xoserve.com</w:t>
              </w:r>
            </w:hyperlink>
            <w:r w:rsidR="2C1C7796" w:rsidRPr="2C1C7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117A" w:rsidRPr="00A9117A" w14:paraId="5092448C" w14:textId="77777777" w:rsidTr="2C1C7796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30C75" w14:textId="77777777" w:rsidR="00FF5462" w:rsidRPr="00D82754" w:rsidRDefault="00FF546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82754">
              <w:rPr>
                <w:rFonts w:ascii="Arial" w:hAnsi="Arial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A39BBE3" w14:textId="63372294" w:rsidR="00FF5462" w:rsidRPr="00596ACB" w:rsidRDefault="2C1C7796" w:rsidP="2C1C7796">
            <w:pPr>
              <w:rPr>
                <w:rFonts w:cs="Arial"/>
              </w:rPr>
            </w:pPr>
            <w:r w:rsidRPr="2C1C7796">
              <w:rPr>
                <w:rFonts w:cs="Arial"/>
              </w:rPr>
              <w:t>0121 623</w:t>
            </w:r>
            <w:r w:rsidR="003D7B09">
              <w:rPr>
                <w:rFonts w:cs="Arial"/>
              </w:rPr>
              <w:t xml:space="preserve"> </w:t>
            </w:r>
            <w:r w:rsidRPr="2C1C7796">
              <w:rPr>
                <w:rFonts w:cs="Arial"/>
              </w:rPr>
              <w:t>2636</w:t>
            </w:r>
          </w:p>
        </w:tc>
      </w:tr>
      <w:tr w:rsidR="001A2319" w:rsidRPr="00A9117A" w14:paraId="75FD1C2D" w14:textId="77777777" w:rsidTr="2C1C7796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1E144" w14:textId="77777777" w:rsidR="001A2319" w:rsidRPr="00D82754" w:rsidRDefault="00DC691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82754">
              <w:rPr>
                <w:rFonts w:ascii="Arial" w:hAnsi="Arial" w:cs="Arial"/>
                <w:b/>
                <w:sz w:val="20"/>
                <w:szCs w:val="16"/>
              </w:rPr>
              <w:t>Target Ch</w:t>
            </w:r>
            <w:r w:rsidR="00CD007F" w:rsidRPr="00D82754">
              <w:rPr>
                <w:rFonts w:ascii="Arial" w:hAnsi="Arial" w:cs="Arial"/>
                <w:b/>
                <w:sz w:val="20"/>
                <w:szCs w:val="16"/>
              </w:rPr>
              <w:t xml:space="preserve">ange </w:t>
            </w:r>
            <w:r w:rsidRPr="00D82754">
              <w:rPr>
                <w:rFonts w:ascii="Arial" w:hAnsi="Arial" w:cs="Arial"/>
                <w:b/>
                <w:sz w:val="20"/>
                <w:szCs w:val="16"/>
              </w:rPr>
              <w:t>M</w:t>
            </w:r>
            <w:r w:rsidR="00CD007F" w:rsidRPr="00D82754">
              <w:rPr>
                <w:rFonts w:ascii="Arial" w:hAnsi="Arial" w:cs="Arial"/>
                <w:b/>
                <w:sz w:val="20"/>
                <w:szCs w:val="16"/>
              </w:rPr>
              <w:t xml:space="preserve">anagement Committee </w:t>
            </w:r>
            <w:r w:rsidRPr="00D82754">
              <w:rPr>
                <w:rFonts w:ascii="Arial" w:hAnsi="Arial" w:cs="Arial"/>
                <w:b/>
                <w:sz w:val="20"/>
                <w:szCs w:val="16"/>
              </w:rPr>
              <w:t>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41C8F396" w14:textId="779BBDF9" w:rsidR="001A2319" w:rsidRPr="00596ACB" w:rsidRDefault="003D7B09" w:rsidP="00BB5A0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12/12/18 </w:t>
            </w:r>
          </w:p>
        </w:tc>
      </w:tr>
      <w:tr w:rsidR="008E3FB0" w:rsidRPr="00683A0C" w14:paraId="72AD9CD0" w14:textId="77777777" w:rsidTr="2C1C77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7B63992" w14:textId="77777777" w:rsidR="008E3FB0" w:rsidRPr="003C52B2" w:rsidRDefault="00C83168" w:rsidP="00076FF3">
            <w:pPr>
              <w:jc w:val="center"/>
              <w:rPr>
                <w:rFonts w:cs="Arial"/>
                <w:b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</w:rPr>
              <w:t xml:space="preserve">Section 1: 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</w:rPr>
              <w:t>In Scope</w:t>
            </w:r>
          </w:p>
        </w:tc>
      </w:tr>
      <w:tr w:rsidR="008E3FB0" w:rsidRPr="00683A0C" w14:paraId="1616BDF6" w14:textId="77777777" w:rsidTr="00B36F5D">
        <w:trPr>
          <w:trHeight w:val="8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860697" w14:textId="5A07BCF4" w:rsidR="00B36F5D" w:rsidRPr="00B36F5D" w:rsidRDefault="00B36F5D" w:rsidP="00AA0387">
            <w:pPr>
              <w:rPr>
                <w:rFonts w:ascii="Arial" w:hAnsi="Arial" w:cs="Arial"/>
                <w:sz w:val="20"/>
                <w:szCs w:val="20"/>
              </w:rPr>
            </w:pPr>
            <w:r w:rsidRPr="00B36F5D">
              <w:rPr>
                <w:rFonts w:ascii="Arial" w:hAnsi="Arial" w:cs="Arial"/>
                <w:sz w:val="20"/>
                <w:szCs w:val="20"/>
              </w:rPr>
              <w:t>To provide support to establish and test co</w:t>
            </w:r>
            <w:r w:rsidR="003D7B09">
              <w:rPr>
                <w:rFonts w:ascii="Arial" w:hAnsi="Arial" w:cs="Arial"/>
                <w:sz w:val="20"/>
                <w:szCs w:val="20"/>
              </w:rPr>
              <w:t xml:space="preserve">nnectivity between Gemini and </w:t>
            </w:r>
            <w:r w:rsidRPr="00B36F5D">
              <w:rPr>
                <w:rFonts w:ascii="Arial" w:hAnsi="Arial" w:cs="Arial"/>
                <w:sz w:val="20"/>
                <w:szCs w:val="20"/>
              </w:rPr>
              <w:t>GCS Fusion via EFT.</w:t>
            </w:r>
          </w:p>
          <w:p w14:paraId="40B7A2DA" w14:textId="3068EEBF" w:rsidR="00B36F5D" w:rsidRDefault="00B36F5D" w:rsidP="00AA0387">
            <w:pPr>
              <w:rPr>
                <w:rFonts w:cs="Arial"/>
                <w:i/>
                <w:color w:val="0070C0"/>
                <w:sz w:val="20"/>
              </w:rPr>
            </w:pPr>
            <w:r w:rsidRPr="00B36F5D">
              <w:rPr>
                <w:rFonts w:ascii="Arial" w:hAnsi="Arial" w:cs="Arial"/>
                <w:sz w:val="20"/>
                <w:szCs w:val="20"/>
              </w:rPr>
              <w:t>To provide support during IDR1, IDR2 and Implementation/Cutover to validate end to end flow of file</w:t>
            </w:r>
            <w:r w:rsidR="00172B00">
              <w:rPr>
                <w:rFonts w:ascii="Arial" w:hAnsi="Arial" w:cs="Arial"/>
                <w:sz w:val="20"/>
                <w:szCs w:val="20"/>
              </w:rPr>
              <w:t>s between Gemini and GCS Fusion.</w:t>
            </w:r>
          </w:p>
          <w:p w14:paraId="2A569475" w14:textId="42390847" w:rsidR="00727F20" w:rsidRPr="00727F20" w:rsidRDefault="00727F20" w:rsidP="00AA0387">
            <w:pPr>
              <w:rPr>
                <w:rFonts w:cs="Arial"/>
                <w:i/>
                <w:color w:val="0070C0"/>
              </w:rPr>
            </w:pPr>
          </w:p>
        </w:tc>
      </w:tr>
      <w:tr w:rsidR="003C2945" w:rsidRPr="00683A0C" w14:paraId="23AF60C8" w14:textId="77777777" w:rsidTr="2C1C7796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E9A7F22" w14:textId="77777777" w:rsidR="003C2945" w:rsidRPr="003C52B2" w:rsidRDefault="00C83168" w:rsidP="00076FF3">
            <w:pPr>
              <w:jc w:val="center"/>
              <w:rPr>
                <w:rFonts w:cs="Arial"/>
                <w:b/>
                <w:color w:val="FF0000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</w:rPr>
              <w:t xml:space="preserve">Section 2: 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</w:rPr>
              <w:t>Out of Scope</w:t>
            </w:r>
          </w:p>
        </w:tc>
      </w:tr>
      <w:tr w:rsidR="003C52B2" w:rsidRPr="00683A0C" w14:paraId="57AAD6BC" w14:textId="77777777" w:rsidTr="2C1C77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ADB87CB" w14:textId="77777777" w:rsidR="003D7B09" w:rsidRDefault="003D7B09" w:rsidP="00AA038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2F57081" w14:textId="77777777" w:rsidR="005F5F70" w:rsidRDefault="00B36F5D" w:rsidP="00AA0387">
            <w:pPr>
              <w:pStyle w:val="ListParagraph"/>
              <w:ind w:left="0"/>
              <w:rPr>
                <w:rFonts w:cs="Arial"/>
                <w:i/>
                <w:color w:val="FF0000"/>
                <w:sz w:val="20"/>
              </w:rPr>
            </w:pPr>
            <w:r w:rsidRPr="00B36F5D">
              <w:rPr>
                <w:rFonts w:ascii="Arial" w:hAnsi="Arial" w:cs="Arial"/>
                <w:sz w:val="20"/>
                <w:szCs w:val="20"/>
              </w:rPr>
              <w:t>Application, configuration and infrastructure changes</w:t>
            </w:r>
            <w:r>
              <w:rPr>
                <w:rFonts w:cs="Arial"/>
                <w:i/>
                <w:color w:val="FF0000"/>
                <w:sz w:val="20"/>
              </w:rPr>
              <w:t xml:space="preserve"> </w:t>
            </w:r>
          </w:p>
          <w:p w14:paraId="58A3893D" w14:textId="0D6CF725" w:rsidR="003D7B09" w:rsidRPr="009F7B93" w:rsidRDefault="003D7B09" w:rsidP="00AA0387">
            <w:pPr>
              <w:pStyle w:val="ListParagraph"/>
              <w:ind w:left="0"/>
              <w:rPr>
                <w:rFonts w:cs="Arial"/>
                <w:i/>
                <w:color w:val="FF0000"/>
                <w:sz w:val="20"/>
              </w:rPr>
            </w:pPr>
          </w:p>
        </w:tc>
      </w:tr>
      <w:tr w:rsidR="00727F20" w:rsidRPr="00683A0C" w14:paraId="195DA912" w14:textId="77777777" w:rsidTr="2C1C77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91058A7" w14:textId="77777777" w:rsidR="005F5F70" w:rsidRDefault="00C83168" w:rsidP="00CD007F">
            <w:pPr>
              <w:jc w:val="center"/>
              <w:rPr>
                <w:rFonts w:cs="Arial"/>
                <w:b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3: </w:t>
            </w:r>
            <w:r w:rsidR="00CD007F">
              <w:rPr>
                <w:rFonts w:cs="Arial"/>
                <w:b/>
                <w:color w:val="FFFFFF" w:themeColor="background1"/>
                <w:sz w:val="20"/>
                <w:szCs w:val="16"/>
              </w:rPr>
              <w:t>Funding required</w:t>
            </w:r>
            <w:r w:rsidR="005F0151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 to deliver the c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hange</w:t>
            </w:r>
          </w:p>
        </w:tc>
      </w:tr>
      <w:tr w:rsidR="00727F20" w:rsidRPr="00683A0C" w14:paraId="4DD914F0" w14:textId="77777777" w:rsidTr="2C1C7796"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6D61E0" w14:paraId="5CB8F8D1" w14:textId="77777777" w:rsidTr="2C1C7796">
              <w:tc>
                <w:tcPr>
                  <w:tcW w:w="3161" w:type="dxa"/>
                </w:tcPr>
                <w:p w14:paraId="4FC12FEF" w14:textId="77777777" w:rsidR="006D61E0" w:rsidRPr="001A2319" w:rsidRDefault="006D61E0" w:rsidP="00E66DEA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3672" w:type="dxa"/>
                </w:tcPr>
                <w:p w14:paraId="38AA56F4" w14:textId="77777777" w:rsidR="006D61E0" w:rsidRPr="001A2319" w:rsidRDefault="006D61E0" w:rsidP="00E66DEA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3260" w:type="dxa"/>
                </w:tcPr>
                <w:p w14:paraId="22648626" w14:textId="77777777" w:rsidR="006D61E0" w:rsidRPr="001A2319" w:rsidRDefault="006D61E0" w:rsidP="00E66DEA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6D61E0" w14:paraId="4DAAC7EC" w14:textId="77777777" w:rsidTr="2C1C7796">
              <w:tc>
                <w:tcPr>
                  <w:tcW w:w="3161" w:type="dxa"/>
                </w:tcPr>
                <w:p w14:paraId="485DBEB6" w14:textId="77777777"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3672" w:type="dxa"/>
                  <w:vAlign w:val="center"/>
                </w:tcPr>
                <w:p w14:paraId="72A3D3EC" w14:textId="77777777"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D0B940D" w14:textId="77777777"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</w:tr>
            <w:tr w:rsidR="006D61E0" w14:paraId="17EDA0CF" w14:textId="77777777" w:rsidTr="2C1C7796">
              <w:tc>
                <w:tcPr>
                  <w:tcW w:w="3161" w:type="dxa"/>
                </w:tcPr>
                <w:p w14:paraId="4C18CEE8" w14:textId="77777777"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proofErr w:type="spellStart"/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iGT</w:t>
                  </w:r>
                  <w:r w:rsidR="005F5F70" w:rsidRPr="001A2319">
                    <w:rPr>
                      <w:rFonts w:cs="Arial"/>
                      <w:b/>
                      <w:sz w:val="20"/>
                      <w:szCs w:val="16"/>
                    </w:rPr>
                    <w:t>’</w:t>
                  </w: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s</w:t>
                  </w:r>
                  <w:proofErr w:type="spellEnd"/>
                </w:p>
              </w:tc>
              <w:tc>
                <w:tcPr>
                  <w:tcW w:w="3672" w:type="dxa"/>
                  <w:vAlign w:val="center"/>
                </w:tcPr>
                <w:p w14:paraId="0E27B00A" w14:textId="77777777"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0061E4C" w14:textId="77777777"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</w:tr>
            <w:tr w:rsidR="006D61E0" w14:paraId="0A513B0E" w14:textId="77777777" w:rsidTr="2C1C7796">
              <w:tc>
                <w:tcPr>
                  <w:tcW w:w="3161" w:type="dxa"/>
                </w:tcPr>
                <w:p w14:paraId="76E92E10" w14:textId="77777777"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DNO</w:t>
                  </w:r>
                  <w:r w:rsidR="005F5F70" w:rsidRPr="001A2319">
                    <w:rPr>
                      <w:rFonts w:cs="Arial"/>
                      <w:b/>
                      <w:sz w:val="20"/>
                      <w:szCs w:val="16"/>
                    </w:rPr>
                    <w:t>’</w:t>
                  </w: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s</w:t>
                  </w:r>
                </w:p>
              </w:tc>
              <w:tc>
                <w:tcPr>
                  <w:tcW w:w="3672" w:type="dxa"/>
                  <w:vAlign w:val="center"/>
                </w:tcPr>
                <w:p w14:paraId="44EAFD9C" w14:textId="77777777"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B94D5A5" w14:textId="77777777"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</w:tr>
            <w:tr w:rsidR="006D61E0" w14:paraId="5FF70E74" w14:textId="77777777" w:rsidTr="2C1C7796">
              <w:tc>
                <w:tcPr>
                  <w:tcW w:w="3161" w:type="dxa"/>
                </w:tcPr>
                <w:p w14:paraId="327A2F55" w14:textId="77777777"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Transmission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3DEEC669" w14:textId="26E21816" w:rsidR="006D61E0" w:rsidRPr="00596ACB" w:rsidRDefault="2C1C7796" w:rsidP="2C1C7796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2C1C7796">
                    <w:rPr>
                      <w:rFonts w:cs="Arial"/>
                      <w:b/>
                      <w:bCs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3260" w:type="dxa"/>
                  <w:vAlign w:val="center"/>
                </w:tcPr>
                <w:p w14:paraId="3656B9AB" w14:textId="5C9DF131" w:rsidR="006D61E0" w:rsidRPr="00596ACB" w:rsidRDefault="2C1C7796" w:rsidP="00A6191F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2C1C7796">
                    <w:rPr>
                      <w:rFonts w:cs="Arial"/>
                      <w:b/>
                      <w:bCs/>
                      <w:sz w:val="20"/>
                      <w:szCs w:val="20"/>
                    </w:rPr>
                    <w:t>£8</w:t>
                  </w:r>
                  <w:r w:rsidR="00A6191F">
                    <w:rPr>
                      <w:rFonts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2C1C7796">
                    <w:rPr>
                      <w:rFonts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A6191F">
                    <w:rPr>
                      <w:rFonts w:cs="Arial"/>
                      <w:b/>
                      <w:bCs/>
                      <w:sz w:val="20"/>
                      <w:szCs w:val="20"/>
                    </w:rPr>
                    <w:t>720</w:t>
                  </w:r>
                  <w:r w:rsidRPr="2C1C7796">
                    <w:rPr>
                      <w:rFonts w:cs="Arial"/>
                      <w:b/>
                      <w:bCs/>
                      <w:sz w:val="20"/>
                      <w:szCs w:val="20"/>
                    </w:rPr>
                    <w:t>.00</w:t>
                  </w:r>
                </w:p>
              </w:tc>
            </w:tr>
            <w:tr w:rsidR="006D61E0" w14:paraId="153EC0CB" w14:textId="77777777" w:rsidTr="2C1C7796">
              <w:tc>
                <w:tcPr>
                  <w:tcW w:w="3161" w:type="dxa"/>
                </w:tcPr>
                <w:p w14:paraId="15D1B979" w14:textId="77777777"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DN</w:t>
                  </w:r>
                  <w:r w:rsidR="00296068" w:rsidRPr="001A2319">
                    <w:rPr>
                      <w:rFonts w:cs="Arial"/>
                      <w:b/>
                      <w:sz w:val="20"/>
                      <w:szCs w:val="16"/>
                    </w:rPr>
                    <w:t xml:space="preserve"> &amp; </w:t>
                  </w:r>
                  <w:proofErr w:type="spellStart"/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iGT</w:t>
                  </w:r>
                  <w:proofErr w:type="spellEnd"/>
                </w:p>
              </w:tc>
              <w:tc>
                <w:tcPr>
                  <w:tcW w:w="3672" w:type="dxa"/>
                  <w:vAlign w:val="center"/>
                </w:tcPr>
                <w:p w14:paraId="45FB0818" w14:textId="77777777"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49F31CB" w14:textId="77777777"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</w:tr>
            <w:tr w:rsidR="005F5F70" w14:paraId="45FCF0C0" w14:textId="77777777" w:rsidTr="2C1C7796">
              <w:tc>
                <w:tcPr>
                  <w:tcW w:w="3161" w:type="dxa"/>
                </w:tcPr>
                <w:p w14:paraId="5DAA2962" w14:textId="77777777" w:rsidR="005F5F70" w:rsidRPr="001A2319" w:rsidRDefault="00163A82" w:rsidP="00727F20">
                  <w:pPr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Total C</w:t>
                  </w:r>
                  <w:r w:rsidR="001A2319" w:rsidRPr="001A2319">
                    <w:rPr>
                      <w:rFonts w:cs="Arial"/>
                      <w:b/>
                      <w:sz w:val="20"/>
                      <w:szCs w:val="16"/>
                    </w:rPr>
                    <w:t>ost</w:t>
                  </w:r>
                </w:p>
              </w:tc>
              <w:tc>
                <w:tcPr>
                  <w:tcW w:w="3672" w:type="dxa"/>
                  <w:vAlign w:val="center"/>
                </w:tcPr>
                <w:p w14:paraId="53128261" w14:textId="77777777" w:rsidR="005F5F70" w:rsidRPr="00596ACB" w:rsidRDefault="005F5F7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2486C05" w14:textId="1051682F" w:rsidR="005F5F70" w:rsidRPr="00596ACB" w:rsidRDefault="2C1C7796" w:rsidP="00A6191F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2C1C7796">
                    <w:rPr>
                      <w:rFonts w:cs="Arial"/>
                      <w:b/>
                      <w:bCs/>
                      <w:sz w:val="20"/>
                      <w:szCs w:val="20"/>
                    </w:rPr>
                    <w:t>£8</w:t>
                  </w:r>
                  <w:r w:rsidR="00A6191F">
                    <w:rPr>
                      <w:rFonts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2C1C7796">
                    <w:rPr>
                      <w:rFonts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A6191F">
                    <w:rPr>
                      <w:rFonts w:cs="Arial"/>
                      <w:b/>
                      <w:bCs/>
                      <w:sz w:val="20"/>
                      <w:szCs w:val="20"/>
                    </w:rPr>
                    <w:t>720</w:t>
                  </w:r>
                  <w:r w:rsidRPr="2C1C7796">
                    <w:rPr>
                      <w:rFonts w:cs="Arial"/>
                      <w:b/>
                      <w:bCs/>
                      <w:sz w:val="20"/>
                      <w:szCs w:val="20"/>
                    </w:rPr>
                    <w:t>.00</w:t>
                  </w:r>
                </w:p>
              </w:tc>
            </w:tr>
          </w:tbl>
          <w:p w14:paraId="4101652C" w14:textId="77777777" w:rsidR="00727F20" w:rsidRDefault="00727F20" w:rsidP="00727F20">
            <w:pPr>
              <w:rPr>
                <w:rFonts w:cs="Arial"/>
                <w:b/>
                <w:szCs w:val="16"/>
              </w:rPr>
            </w:pPr>
          </w:p>
        </w:tc>
      </w:tr>
      <w:tr w:rsidR="00727F20" w:rsidRPr="00683A0C" w14:paraId="518A13F3" w14:textId="77777777" w:rsidTr="2C1C77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2A4075C" w14:textId="77777777" w:rsidR="00727F20" w:rsidRDefault="00C83168" w:rsidP="00A50990">
            <w:pPr>
              <w:jc w:val="center"/>
              <w:rPr>
                <w:rFonts w:cs="Arial"/>
                <w:b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4: </w:t>
            </w:r>
            <w:r w:rsidR="002421A6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E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stimated impact of the service change on service charges</w:t>
            </w:r>
          </w:p>
        </w:tc>
      </w:tr>
      <w:tr w:rsidR="00727F20" w:rsidRPr="00683A0C" w14:paraId="1D5FC0DD" w14:textId="77777777" w:rsidTr="2C1C7796">
        <w:tc>
          <w:tcPr>
            <w:tcW w:w="5000" w:type="pct"/>
            <w:gridSpan w:val="2"/>
            <w:shd w:val="clear" w:color="auto" w:fill="auto"/>
          </w:tcPr>
          <w:p w14:paraId="495432F5" w14:textId="77777777" w:rsidR="00E636BC" w:rsidRDefault="00E636BC" w:rsidP="00E636BC">
            <w:pPr>
              <w:pStyle w:val="ListParagraph"/>
              <w:ind w:left="0"/>
              <w:rPr>
                <w:rFonts w:cs="Arial"/>
                <w:i/>
                <w:color w:val="0070C0"/>
                <w:sz w:val="20"/>
              </w:rPr>
            </w:pPr>
            <w:r w:rsidRPr="00E636BC">
              <w:rPr>
                <w:rFonts w:cs="Arial"/>
                <w:i/>
                <w:color w:val="0070C0"/>
                <w:sz w:val="20"/>
              </w:rPr>
              <w:t xml:space="preserve">Please detail any projected increase or decrease in cost to any of </w:t>
            </w:r>
            <w:proofErr w:type="spellStart"/>
            <w:r w:rsidRPr="00E636BC">
              <w:rPr>
                <w:rFonts w:cs="Arial"/>
                <w:i/>
                <w:color w:val="0070C0"/>
                <w:sz w:val="20"/>
              </w:rPr>
              <w:t>Xoserve’s</w:t>
            </w:r>
            <w:proofErr w:type="spellEnd"/>
            <w:r w:rsidRPr="00E636BC">
              <w:rPr>
                <w:rFonts w:cs="Arial"/>
                <w:i/>
                <w:color w:val="0070C0"/>
                <w:sz w:val="20"/>
              </w:rPr>
              <w:t xml:space="preserve"> service areas, and within them any service lines, as a result of this change. </w:t>
            </w:r>
          </w:p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E636BC" w14:paraId="4F84AC8E" w14:textId="77777777" w:rsidTr="2C1C7796">
              <w:tc>
                <w:tcPr>
                  <w:tcW w:w="3161" w:type="dxa"/>
                </w:tcPr>
                <w:p w14:paraId="37F7A8D6" w14:textId="77777777" w:rsidR="00E636BC" w:rsidRPr="001A2319" w:rsidRDefault="00E636BC" w:rsidP="00A3414F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cs="Arial"/>
                      <w:b/>
                      <w:sz w:val="20"/>
                      <w:szCs w:val="16"/>
                    </w:rPr>
                    <w:t>Xoserve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16"/>
                    </w:rPr>
                    <w:t xml:space="preserve"> Service Area</w:t>
                  </w:r>
                </w:p>
              </w:tc>
              <w:tc>
                <w:tcPr>
                  <w:tcW w:w="3672" w:type="dxa"/>
                </w:tcPr>
                <w:p w14:paraId="3478FC37" w14:textId="77777777" w:rsidR="00E636BC" w:rsidRPr="001A2319" w:rsidRDefault="00E636BC" w:rsidP="00A3414F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cs="Arial"/>
                      <w:b/>
                      <w:sz w:val="20"/>
                      <w:szCs w:val="16"/>
                    </w:rPr>
                    <w:t>Xoserve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16"/>
                    </w:rPr>
                    <w:t xml:space="preserve"> Service Line</w:t>
                  </w:r>
                </w:p>
              </w:tc>
              <w:tc>
                <w:tcPr>
                  <w:tcW w:w="3260" w:type="dxa"/>
                </w:tcPr>
                <w:p w14:paraId="6161DAB2" w14:textId="77777777" w:rsidR="00E636BC" w:rsidRPr="001A2319" w:rsidRDefault="00E636BC" w:rsidP="00A3414F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 xml:space="preserve">(+/-) Projected Change in </w:t>
                  </w:r>
                  <w:r w:rsidR="00410E09">
                    <w:rPr>
                      <w:rFonts w:cs="Arial"/>
                      <w:b/>
                      <w:sz w:val="20"/>
                      <w:szCs w:val="16"/>
                    </w:rPr>
                    <w:t xml:space="preserve">Annual </w:t>
                  </w:r>
                  <w:r>
                    <w:rPr>
                      <w:rFonts w:cs="Arial"/>
                      <w:b/>
                      <w:sz w:val="20"/>
                      <w:szCs w:val="16"/>
                    </w:rPr>
                    <w:t>Cost</w:t>
                  </w:r>
                </w:p>
              </w:tc>
            </w:tr>
            <w:tr w:rsidR="00E636BC" w14:paraId="651DBEEF" w14:textId="77777777" w:rsidTr="2C1C7796">
              <w:tc>
                <w:tcPr>
                  <w:tcW w:w="3161" w:type="dxa"/>
                  <w:vAlign w:val="center"/>
                </w:tcPr>
                <w:p w14:paraId="6EAA13ED" w14:textId="1BD4C25A" w:rsidR="00E636BC" w:rsidRPr="00B36F5D" w:rsidRDefault="2C1C7796" w:rsidP="00B36F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F5D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672" w:type="dxa"/>
                  <w:vAlign w:val="center"/>
                </w:tcPr>
                <w:p w14:paraId="269CADE8" w14:textId="2E4E588B" w:rsidR="00E636BC" w:rsidRPr="00B36F5D" w:rsidRDefault="2C1C7796" w:rsidP="00B36F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F5D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260" w:type="dxa"/>
                  <w:vAlign w:val="center"/>
                </w:tcPr>
                <w:p w14:paraId="2FB6368B" w14:textId="3CB0471E" w:rsidR="00E636BC" w:rsidRPr="00B36F5D" w:rsidRDefault="2C1C7796" w:rsidP="00B36F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F5D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0F3DDEAF" w14:textId="77777777" w:rsidR="005F5F70" w:rsidRDefault="00E636BC" w:rsidP="00E636BC">
            <w:pPr>
              <w:pStyle w:val="ListParagraph"/>
              <w:ind w:left="0"/>
              <w:rPr>
                <w:rFonts w:cs="Arial"/>
                <w:i/>
                <w:color w:val="0070C0"/>
                <w:sz w:val="20"/>
              </w:rPr>
            </w:pPr>
            <w:r w:rsidRPr="00E636BC">
              <w:rPr>
                <w:rFonts w:cs="Arial"/>
                <w:i/>
                <w:color w:val="0070C0"/>
                <w:sz w:val="20"/>
              </w:rPr>
              <w:t xml:space="preserve">In addition, detail any change in functionality of the </w:t>
            </w:r>
            <w:proofErr w:type="spellStart"/>
            <w:r w:rsidRPr="00E636BC">
              <w:rPr>
                <w:rFonts w:cs="Arial"/>
                <w:i/>
                <w:color w:val="0070C0"/>
                <w:sz w:val="20"/>
              </w:rPr>
              <w:t>Xoserve</w:t>
            </w:r>
            <w:proofErr w:type="spellEnd"/>
            <w:r w:rsidRPr="00E636BC">
              <w:rPr>
                <w:rFonts w:cs="Arial"/>
                <w:i/>
                <w:color w:val="0070C0"/>
                <w:sz w:val="20"/>
              </w:rPr>
              <w:t xml:space="preserve"> service areas/service lines associated with this change.</w:t>
            </w:r>
            <w:r w:rsidR="001F565C">
              <w:rPr>
                <w:rFonts w:cs="Arial"/>
                <w:i/>
                <w:color w:val="0070C0"/>
                <w:sz w:val="20"/>
              </w:rPr>
              <w:t xml:space="preserve"> Use the following link as a reference to the </w:t>
            </w:r>
            <w:proofErr w:type="spellStart"/>
            <w:r w:rsidR="001F565C">
              <w:rPr>
                <w:rFonts w:cs="Arial"/>
                <w:i/>
                <w:color w:val="0070C0"/>
                <w:sz w:val="20"/>
              </w:rPr>
              <w:t>Xoserve</w:t>
            </w:r>
            <w:proofErr w:type="spellEnd"/>
            <w:r w:rsidR="001F565C">
              <w:rPr>
                <w:rFonts w:cs="Arial"/>
                <w:i/>
                <w:color w:val="0070C0"/>
                <w:sz w:val="20"/>
              </w:rPr>
              <w:t xml:space="preserve"> service areas:</w:t>
            </w:r>
          </w:p>
          <w:p w14:paraId="0BB42073" w14:textId="77777777" w:rsidR="001F565C" w:rsidRPr="00727F20" w:rsidRDefault="00EF0B9F" w:rsidP="00E636BC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  <w:hyperlink r:id="rId14" w:history="1">
              <w:r w:rsidR="001F565C" w:rsidRPr="00B4169F">
                <w:rPr>
                  <w:rStyle w:val="Hyperlink"/>
                  <w:rFonts w:cs="Arial"/>
                  <w:sz w:val="20"/>
                </w:rPr>
                <w:t>Service Description Table</w:t>
              </w:r>
            </w:hyperlink>
          </w:p>
        </w:tc>
      </w:tr>
      <w:tr w:rsidR="005F0151" w:rsidRPr="00683A0C" w14:paraId="19039232" w14:textId="77777777" w:rsidTr="2C1C77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87BF2ED" w14:textId="77777777" w:rsidR="005F0151" w:rsidRPr="00076FF3" w:rsidRDefault="00C83168" w:rsidP="00A50990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5: </w:t>
            </w:r>
            <w:r w:rsidR="009F5FCD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P</w:t>
            </w:r>
            <w:r w:rsidR="005F0151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roject plan for delivery of the change</w:t>
            </w:r>
          </w:p>
        </w:tc>
      </w:tr>
      <w:tr w:rsidR="008E640D" w:rsidRPr="00683A0C" w14:paraId="6C72A479" w14:textId="77777777" w:rsidTr="2C1C7796">
        <w:tc>
          <w:tcPr>
            <w:tcW w:w="5000" w:type="pct"/>
            <w:gridSpan w:val="2"/>
            <w:shd w:val="clear" w:color="auto" w:fill="auto"/>
          </w:tcPr>
          <w:p w14:paraId="4AC35198" w14:textId="179746E1" w:rsidR="008E640D" w:rsidRPr="004B36CC" w:rsidRDefault="008E640D" w:rsidP="2C1C7796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14:paraId="4EB3B49D" w14:textId="5F24D402" w:rsidR="00A6191F" w:rsidRDefault="00A6191F" w:rsidP="2C1C7796">
            <w:pPr>
              <w:rPr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eastAsiaTheme="minorHAnsi" w:hAnsi="Arial"/>
                <w:i/>
                <w:iCs/>
                <w:color w:val="0070C0"/>
                <w:sz w:val="20"/>
                <w:szCs w:val="20"/>
                <w:lang w:eastAsia="en-US"/>
              </w:rPr>
              <w:object w:dxaOrig="1551" w:dyaOrig="1004" w14:anchorId="2B85FF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49.95pt" o:ole="">
                  <v:imagedata r:id="rId15" o:title=""/>
                </v:shape>
                <o:OLEObject Type="Embed" ProgID="Excel.Sheet.12" ShapeID="_x0000_i1025" DrawAspect="Icon" ObjectID="_1605068345" r:id="rId16"/>
              </w:object>
            </w:r>
          </w:p>
          <w:p w14:paraId="22E63CED" w14:textId="77777777" w:rsidR="00A6191F" w:rsidRPr="00A6191F" w:rsidRDefault="00A6191F" w:rsidP="2C1C7796">
            <w:pPr>
              <w:rPr>
                <w:iCs/>
                <w:color w:val="0070C0"/>
                <w:sz w:val="20"/>
                <w:szCs w:val="20"/>
              </w:rPr>
            </w:pPr>
          </w:p>
          <w:p w14:paraId="18CBBE4E" w14:textId="7C776055" w:rsidR="008E640D" w:rsidRPr="00A6191F" w:rsidRDefault="00172B00" w:rsidP="2C1C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timeline illustrates the testing phases and is based on the dates provided by NGIS. </w:t>
            </w:r>
            <w:r w:rsidR="00A6191F" w:rsidRPr="00A61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D17512" w14:textId="3EF10AC2" w:rsidR="008E640D" w:rsidRPr="004B36CC" w:rsidRDefault="008E640D" w:rsidP="2C1C7796">
            <w:pPr>
              <w:rPr>
                <w:i/>
                <w:iCs/>
                <w:color w:val="0070C0"/>
                <w:sz w:val="20"/>
                <w:szCs w:val="20"/>
              </w:rPr>
            </w:pPr>
          </w:p>
        </w:tc>
      </w:tr>
      <w:tr w:rsidR="008E640D" w:rsidRPr="00683A0C" w14:paraId="352AD191" w14:textId="77777777" w:rsidTr="2C1C77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F584868" w14:textId="77777777" w:rsidR="008E640D" w:rsidRPr="008E640D" w:rsidRDefault="00C83168" w:rsidP="00A50990">
            <w:pPr>
              <w:jc w:val="center"/>
              <w:rPr>
                <w:rFonts w:cs="Arial"/>
                <w:b/>
                <w:color w:val="FF0000"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6: </w:t>
            </w:r>
            <w:r w:rsidR="009F5FCD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Additional </w:t>
            </w:r>
            <w:r w:rsidR="008E640D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information relevant to the proposed service change</w:t>
            </w:r>
          </w:p>
        </w:tc>
      </w:tr>
      <w:tr w:rsidR="008E640D" w:rsidRPr="00683A0C" w14:paraId="3F439DA6" w14:textId="77777777" w:rsidTr="2C1C7796">
        <w:tc>
          <w:tcPr>
            <w:tcW w:w="5000" w:type="pct"/>
            <w:gridSpan w:val="2"/>
            <w:shd w:val="clear" w:color="auto" w:fill="auto"/>
          </w:tcPr>
          <w:p w14:paraId="7BD3565D" w14:textId="77777777" w:rsidR="00B36F5D" w:rsidRDefault="00B36F5D" w:rsidP="00727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2D738" w14:textId="77777777" w:rsidR="00EB644F" w:rsidRPr="00B36F5D" w:rsidRDefault="00A50990" w:rsidP="00727F20">
            <w:pPr>
              <w:rPr>
                <w:rFonts w:ascii="Arial" w:hAnsi="Arial" w:cs="Arial"/>
                <w:sz w:val="20"/>
                <w:szCs w:val="20"/>
              </w:rPr>
            </w:pPr>
            <w:r w:rsidRPr="00B36F5D">
              <w:rPr>
                <w:rFonts w:ascii="Arial" w:hAnsi="Arial" w:cs="Arial"/>
                <w:sz w:val="20"/>
                <w:szCs w:val="20"/>
              </w:rPr>
              <w:t xml:space="preserve">Constraints </w:t>
            </w:r>
          </w:p>
          <w:p w14:paraId="4B99056E" w14:textId="7AD2DECC" w:rsidR="00AA0387" w:rsidRPr="00B36F5D" w:rsidRDefault="00B36F5D" w:rsidP="00727F20">
            <w:pPr>
              <w:rPr>
                <w:rFonts w:ascii="Arial" w:hAnsi="Arial" w:cs="Arial"/>
                <w:sz w:val="20"/>
                <w:szCs w:val="20"/>
              </w:rPr>
            </w:pPr>
            <w:r w:rsidRPr="00B36F5D">
              <w:rPr>
                <w:rFonts w:ascii="Arial" w:hAnsi="Arial" w:cs="Arial"/>
                <w:sz w:val="20"/>
                <w:szCs w:val="20"/>
              </w:rPr>
              <w:t>This project requires use of a full scale environment.  Due to other inflight projects it will be necessary to carry out testing in paral</w:t>
            </w:r>
            <w:r w:rsidR="003D7B09">
              <w:rPr>
                <w:rFonts w:ascii="Arial" w:hAnsi="Arial" w:cs="Arial"/>
                <w:sz w:val="20"/>
                <w:szCs w:val="20"/>
              </w:rPr>
              <w:t>lel to other projects.  The dat</w:t>
            </w:r>
            <w:r w:rsidRPr="00B36F5D">
              <w:rPr>
                <w:rFonts w:ascii="Arial" w:hAnsi="Arial" w:cs="Arial"/>
                <w:sz w:val="20"/>
                <w:szCs w:val="20"/>
              </w:rPr>
              <w:t xml:space="preserve">a required for generating files will need to be discussed and managed carefully in order to avoid any impact to </w:t>
            </w:r>
            <w:r w:rsidR="003D7B0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36F5D">
              <w:rPr>
                <w:rFonts w:ascii="Arial" w:hAnsi="Arial" w:cs="Arial"/>
                <w:sz w:val="20"/>
                <w:szCs w:val="20"/>
              </w:rPr>
              <w:t>testing activities of other projects.</w:t>
            </w:r>
          </w:p>
          <w:p w14:paraId="547FC24C" w14:textId="77777777" w:rsidR="00B36F5D" w:rsidRPr="00B36F5D" w:rsidRDefault="00B36F5D" w:rsidP="00727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10A00" w14:textId="77777777" w:rsidR="00B36F5D" w:rsidRDefault="00B36F5D" w:rsidP="00727F20">
            <w:pPr>
              <w:rPr>
                <w:rFonts w:cs="Arial"/>
                <w:i/>
                <w:color w:val="0070C0"/>
                <w:sz w:val="20"/>
              </w:rPr>
            </w:pPr>
          </w:p>
          <w:p w14:paraId="50B6417E" w14:textId="6B9FCDD6" w:rsidR="00EF0B9F" w:rsidRPr="00B36F5D" w:rsidRDefault="00EF0B9F" w:rsidP="00B36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Risks – None identified </w:t>
            </w:r>
            <w:bookmarkStart w:id="0" w:name="_GoBack"/>
            <w:bookmarkEnd w:id="0"/>
          </w:p>
          <w:p w14:paraId="1299C43A" w14:textId="77777777" w:rsidR="00AA0387" w:rsidRPr="00B36F5D" w:rsidRDefault="00AA0387" w:rsidP="00727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8C210" w14:textId="627CA484" w:rsidR="00D82754" w:rsidRPr="00B36F5D" w:rsidRDefault="002421A6" w:rsidP="00727F20">
            <w:pPr>
              <w:rPr>
                <w:rFonts w:ascii="Arial" w:hAnsi="Arial" w:cs="Arial"/>
                <w:sz w:val="20"/>
                <w:szCs w:val="20"/>
              </w:rPr>
            </w:pPr>
            <w:r w:rsidRPr="00B36F5D">
              <w:rPr>
                <w:rFonts w:ascii="Arial" w:hAnsi="Arial" w:cs="Arial"/>
                <w:sz w:val="20"/>
                <w:szCs w:val="20"/>
              </w:rPr>
              <w:t>Issues</w:t>
            </w:r>
            <w:r w:rsidR="00B00403" w:rsidRPr="00B36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44F" w:rsidRPr="00B36F5D">
              <w:rPr>
                <w:rFonts w:ascii="Arial" w:hAnsi="Arial" w:cs="Arial"/>
                <w:sz w:val="20"/>
                <w:szCs w:val="20"/>
              </w:rPr>
              <w:t xml:space="preserve">– None identified </w:t>
            </w:r>
          </w:p>
          <w:p w14:paraId="4DDBEF00" w14:textId="77777777" w:rsidR="00AA0387" w:rsidRPr="00B36F5D" w:rsidRDefault="00AA0387" w:rsidP="00727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681C2" w14:textId="77777777" w:rsidR="00A6191F" w:rsidRPr="00B36F5D" w:rsidRDefault="00C83168" w:rsidP="00727F20">
            <w:pPr>
              <w:rPr>
                <w:rFonts w:ascii="Arial" w:hAnsi="Arial" w:cs="Arial"/>
                <w:sz w:val="20"/>
                <w:szCs w:val="20"/>
              </w:rPr>
            </w:pPr>
            <w:r w:rsidRPr="00B36F5D">
              <w:rPr>
                <w:rFonts w:ascii="Arial" w:hAnsi="Arial" w:cs="Arial"/>
                <w:sz w:val="20"/>
                <w:szCs w:val="20"/>
              </w:rPr>
              <w:t>A</w:t>
            </w:r>
            <w:r w:rsidR="002421A6" w:rsidRPr="00B36F5D">
              <w:rPr>
                <w:rFonts w:ascii="Arial" w:hAnsi="Arial" w:cs="Arial"/>
                <w:sz w:val="20"/>
                <w:szCs w:val="20"/>
              </w:rPr>
              <w:t>ssumption</w:t>
            </w:r>
            <w:r w:rsidR="00D63ED6" w:rsidRPr="00B36F5D">
              <w:rPr>
                <w:rFonts w:ascii="Arial" w:hAnsi="Arial" w:cs="Arial"/>
                <w:sz w:val="20"/>
                <w:szCs w:val="20"/>
              </w:rPr>
              <w:t>s</w:t>
            </w:r>
            <w:r w:rsidR="00D82754" w:rsidRPr="00B36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189FDD" w14:textId="77777777" w:rsidR="00EB644F" w:rsidRPr="00B36F5D" w:rsidRDefault="00A6191F" w:rsidP="00727F20">
            <w:pPr>
              <w:rPr>
                <w:rFonts w:ascii="Arial" w:hAnsi="Arial" w:cs="Arial"/>
                <w:sz w:val="20"/>
                <w:szCs w:val="20"/>
              </w:rPr>
            </w:pPr>
            <w:r w:rsidRPr="00B36F5D">
              <w:rPr>
                <w:rFonts w:ascii="Arial" w:hAnsi="Arial" w:cs="Arial"/>
                <w:sz w:val="20"/>
                <w:szCs w:val="20"/>
              </w:rPr>
              <w:t>There are no functional, infrastructure or configuration changes required as part of this request.</w:t>
            </w:r>
          </w:p>
          <w:p w14:paraId="3461D779" w14:textId="77777777" w:rsidR="001A2319" w:rsidRDefault="001A2319" w:rsidP="00727F20">
            <w:pPr>
              <w:rPr>
                <w:rFonts w:cs="Arial"/>
                <w:b/>
                <w:sz w:val="20"/>
                <w:szCs w:val="20"/>
              </w:rPr>
            </w:pPr>
          </w:p>
          <w:p w14:paraId="44A866D1" w14:textId="62C03F15" w:rsidR="008E640D" w:rsidRDefault="008E640D" w:rsidP="00AA0387">
            <w:pPr>
              <w:rPr>
                <w:rFonts w:cs="Arial"/>
                <w:b/>
                <w:szCs w:val="16"/>
              </w:rPr>
            </w:pPr>
          </w:p>
        </w:tc>
      </w:tr>
    </w:tbl>
    <w:p w14:paraId="3CF2D8B6" w14:textId="77777777" w:rsidR="001A6BF4" w:rsidRDefault="001A6BF4" w:rsidP="004C7637">
      <w:pPr>
        <w:pStyle w:val="XoParagraph"/>
        <w:rPr>
          <w:rFonts w:cs="Arial"/>
          <w:b/>
          <w:sz w:val="22"/>
          <w:szCs w:val="22"/>
        </w:rPr>
      </w:pPr>
    </w:p>
    <w:p w14:paraId="5F91FA5D" w14:textId="77777777" w:rsidR="001A6BF4" w:rsidRPr="001A6BF4" w:rsidRDefault="004C7637" w:rsidP="004C7637">
      <w:pPr>
        <w:pStyle w:val="XoParagraph"/>
        <w:rPr>
          <w:rFonts w:cs="Arial"/>
          <w:b/>
          <w:sz w:val="22"/>
          <w:szCs w:val="22"/>
        </w:rPr>
      </w:pPr>
      <w:r w:rsidRPr="00066121">
        <w:rPr>
          <w:rFonts w:cs="Arial"/>
          <w:b/>
          <w:sz w:val="22"/>
          <w:szCs w:val="22"/>
        </w:rPr>
        <w:t xml:space="preserve">Please send </w:t>
      </w:r>
      <w:r w:rsidR="00AA0387">
        <w:rPr>
          <w:rFonts w:cs="Arial"/>
          <w:b/>
          <w:sz w:val="22"/>
          <w:szCs w:val="22"/>
        </w:rPr>
        <w:t>completed form</w:t>
      </w:r>
      <w:r>
        <w:rPr>
          <w:rFonts w:cs="Arial"/>
          <w:b/>
          <w:sz w:val="22"/>
          <w:szCs w:val="22"/>
        </w:rPr>
        <w:t xml:space="preserve">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7" w:history="1">
        <w:r w:rsidR="002C4795" w:rsidRPr="006A2A48">
          <w:rPr>
            <w:rStyle w:val="Hyperlink"/>
            <w:rFonts w:cs="Arial"/>
            <w:b/>
            <w:sz w:val="22"/>
            <w:szCs w:val="22"/>
          </w:rPr>
          <w:t>box.xoserve.portfoliooffice@xoserve.com</w:t>
        </w:r>
      </w:hyperlink>
    </w:p>
    <w:p w14:paraId="52EDA22D" w14:textId="77777777" w:rsidR="004C7637" w:rsidRPr="00CD007F" w:rsidRDefault="005F5F70" w:rsidP="004C7637">
      <w:pPr>
        <w:pStyle w:val="XoParagraph"/>
        <w:rPr>
          <w:b/>
        </w:rPr>
      </w:pPr>
      <w:r w:rsidRPr="00CD007F">
        <w:rPr>
          <w:b/>
        </w:rPr>
        <w:t>Document</w:t>
      </w:r>
      <w:r w:rsidR="006D11D3" w:rsidRPr="00CD007F">
        <w:rPr>
          <w:b/>
        </w:rPr>
        <w:t xml:space="preserve"> </w:t>
      </w:r>
      <w:r w:rsidR="004C7637" w:rsidRPr="00CD007F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4C7637" w:rsidRPr="00762849" w14:paraId="685074FA" w14:textId="77777777" w:rsidTr="00940D3C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6B814A1E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1B9FBFDD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91072FA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3822F2F2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7248CAA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4C7637" w:rsidRPr="007B4360" w14:paraId="0FB78278" w14:textId="77777777" w:rsidTr="00940D3C">
        <w:tc>
          <w:tcPr>
            <w:tcW w:w="902" w:type="pct"/>
          </w:tcPr>
          <w:p w14:paraId="1FC39945" w14:textId="0440EE63" w:rsidR="004C7637" w:rsidRPr="007B4360" w:rsidRDefault="00EB644F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0.1 </w:t>
            </w:r>
          </w:p>
        </w:tc>
        <w:tc>
          <w:tcPr>
            <w:tcW w:w="835" w:type="pct"/>
          </w:tcPr>
          <w:p w14:paraId="0562CB0E" w14:textId="4A05F2B4" w:rsidR="004C7637" w:rsidRPr="007B4360" w:rsidRDefault="00EB644F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</w:p>
        </w:tc>
        <w:tc>
          <w:tcPr>
            <w:tcW w:w="556" w:type="pct"/>
          </w:tcPr>
          <w:p w14:paraId="34CE0A41" w14:textId="613CB9B5" w:rsidR="004C7637" w:rsidRPr="007B4360" w:rsidRDefault="00EB644F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22/11/18 </w:t>
            </w:r>
          </w:p>
        </w:tc>
        <w:tc>
          <w:tcPr>
            <w:tcW w:w="763" w:type="pct"/>
          </w:tcPr>
          <w:p w14:paraId="62EBF3C5" w14:textId="71AD382E" w:rsidR="004C7637" w:rsidRPr="007B4360" w:rsidRDefault="00EB644F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 Patmore </w:t>
            </w:r>
          </w:p>
        </w:tc>
        <w:tc>
          <w:tcPr>
            <w:tcW w:w="1944" w:type="pct"/>
          </w:tcPr>
          <w:p w14:paraId="6D98A12B" w14:textId="5D8E8CE5" w:rsidR="004C7637" w:rsidRPr="007B4360" w:rsidRDefault="00B36F5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approval </w:t>
            </w:r>
          </w:p>
        </w:tc>
      </w:tr>
    </w:tbl>
    <w:p w14:paraId="2946DB82" w14:textId="77777777" w:rsidR="004C7637" w:rsidRPr="00883321" w:rsidRDefault="004C7637" w:rsidP="004C7637">
      <w:pPr>
        <w:pStyle w:val="XoParagraph"/>
      </w:pPr>
    </w:p>
    <w:p w14:paraId="70339B8E" w14:textId="77777777" w:rsidR="004C7637" w:rsidRPr="00CD007F" w:rsidRDefault="004C7637" w:rsidP="004C7637">
      <w:pPr>
        <w:pStyle w:val="XoParagraph"/>
        <w:rPr>
          <w:b/>
        </w:rPr>
      </w:pPr>
      <w:r w:rsidRPr="00CD007F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4C7637" w:rsidRPr="00762849" w14:paraId="75804C3E" w14:textId="77777777" w:rsidTr="001A2319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2AE331A5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2F77DC3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F3F821A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621E270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B89D639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1A2319" w:rsidRPr="00762849" w14:paraId="5A9B223C" w14:textId="77777777" w:rsidTr="001A2319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B3AA50C" w14:textId="77777777" w:rsidR="001A2319" w:rsidRPr="00D82754" w:rsidRDefault="00401C51" w:rsidP="00940D3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FEA2CF8" w14:textId="77777777" w:rsidR="001A2319" w:rsidRPr="00D82754" w:rsidRDefault="00401C51" w:rsidP="0025469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158BFC6" w14:textId="77777777" w:rsidR="001A2319" w:rsidRPr="00D82754" w:rsidRDefault="00401C51" w:rsidP="00940D3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CD007F" w:rsidRPr="00D82754">
              <w:rPr>
                <w:rFonts w:cs="Arial"/>
                <w:sz w:val="20"/>
              </w:rPr>
              <w:t>5/06</w:t>
            </w:r>
            <w:r w:rsidR="001A2319" w:rsidRPr="00D82754">
              <w:rPr>
                <w:rFonts w:cs="Arial"/>
                <w:sz w:val="20"/>
              </w:rPr>
              <w:t>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0C6B8915" w14:textId="77777777" w:rsidR="001A2319" w:rsidRPr="00D82754" w:rsidRDefault="00CD007F" w:rsidP="00940D3C">
            <w:pPr>
              <w:jc w:val="center"/>
              <w:rPr>
                <w:rFonts w:cs="Arial"/>
                <w:sz w:val="20"/>
              </w:rPr>
            </w:pPr>
            <w:r w:rsidRPr="00D82754">
              <w:rPr>
                <w:rFonts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77907F6" w14:textId="77777777" w:rsidR="001A2319" w:rsidRPr="00D82754" w:rsidRDefault="00401C51" w:rsidP="00CD007F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>Document approved at CHMC External Workgroup</w:t>
            </w:r>
          </w:p>
        </w:tc>
      </w:tr>
    </w:tbl>
    <w:p w14:paraId="5997CC1D" w14:textId="77777777" w:rsidR="005353CC" w:rsidRDefault="005353CC" w:rsidP="00562856">
      <w:pPr>
        <w:pStyle w:val="XoParagraph"/>
      </w:pPr>
    </w:p>
    <w:sectPr w:rsidR="005353CC" w:rsidSect="00883321">
      <w:headerReference w:type="even" r:id="rId18"/>
      <w:head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F268E" w14:textId="77777777" w:rsidR="00B57611" w:rsidRDefault="00B57611" w:rsidP="00913EF2">
      <w:pPr>
        <w:spacing w:after="0" w:line="240" w:lineRule="auto"/>
      </w:pPr>
      <w:r>
        <w:separator/>
      </w:r>
    </w:p>
  </w:endnote>
  <w:endnote w:type="continuationSeparator" w:id="0">
    <w:p w14:paraId="7C5C4D09" w14:textId="77777777" w:rsidR="00B57611" w:rsidRDefault="00B57611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73A96" w14:textId="77777777" w:rsidR="007A6EEB" w:rsidRDefault="00401C51">
    <w:pPr>
      <w:pStyle w:val="Footer"/>
    </w:pPr>
    <w:r>
      <w:t>Approvedv1.0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A2944" w14:textId="77777777" w:rsidR="00B57611" w:rsidRDefault="00B57611" w:rsidP="00913EF2">
      <w:pPr>
        <w:spacing w:after="0" w:line="240" w:lineRule="auto"/>
      </w:pPr>
      <w:r>
        <w:separator/>
      </w:r>
    </w:p>
  </w:footnote>
  <w:footnote w:type="continuationSeparator" w:id="0">
    <w:p w14:paraId="14A00A3E" w14:textId="77777777" w:rsidR="00B57611" w:rsidRDefault="00B57611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6F91" w14:textId="77777777" w:rsidR="003C63DC" w:rsidRDefault="00EF0B9F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9379" w14:textId="77777777" w:rsidR="003C63DC" w:rsidRDefault="00EF0B9F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FD37" w14:textId="77777777" w:rsidR="003C63DC" w:rsidRDefault="00EF0B9F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587BDC"/>
    <w:multiLevelType w:val="hybridMultilevel"/>
    <w:tmpl w:val="5B6C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05AB"/>
    <w:multiLevelType w:val="hybridMultilevel"/>
    <w:tmpl w:val="2024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86465"/>
    <w:multiLevelType w:val="hybridMultilevel"/>
    <w:tmpl w:val="845A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A78B2"/>
    <w:multiLevelType w:val="hybridMultilevel"/>
    <w:tmpl w:val="0AE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95901"/>
    <w:multiLevelType w:val="hybridMultilevel"/>
    <w:tmpl w:val="89D4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30F4"/>
    <w:rsid w:val="000615F3"/>
    <w:rsid w:val="00066BCA"/>
    <w:rsid w:val="0007393C"/>
    <w:rsid w:val="00076FF3"/>
    <w:rsid w:val="00084757"/>
    <w:rsid w:val="00093D9D"/>
    <w:rsid w:val="000A2BDC"/>
    <w:rsid w:val="000C79EE"/>
    <w:rsid w:val="000D66D3"/>
    <w:rsid w:val="000E3D49"/>
    <w:rsid w:val="00103242"/>
    <w:rsid w:val="001232E4"/>
    <w:rsid w:val="001428A1"/>
    <w:rsid w:val="00146769"/>
    <w:rsid w:val="00160739"/>
    <w:rsid w:val="00163A82"/>
    <w:rsid w:val="00172B00"/>
    <w:rsid w:val="0017365C"/>
    <w:rsid w:val="00177285"/>
    <w:rsid w:val="00186FB8"/>
    <w:rsid w:val="00192B0D"/>
    <w:rsid w:val="001A2319"/>
    <w:rsid w:val="001A6BF4"/>
    <w:rsid w:val="001F565C"/>
    <w:rsid w:val="00203626"/>
    <w:rsid w:val="00211E96"/>
    <w:rsid w:val="00214089"/>
    <w:rsid w:val="00220242"/>
    <w:rsid w:val="002260EF"/>
    <w:rsid w:val="002421A6"/>
    <w:rsid w:val="002427E0"/>
    <w:rsid w:val="00254699"/>
    <w:rsid w:val="00296068"/>
    <w:rsid w:val="002B5CD2"/>
    <w:rsid w:val="002C4795"/>
    <w:rsid w:val="002D23D5"/>
    <w:rsid w:val="002E2C40"/>
    <w:rsid w:val="003008B1"/>
    <w:rsid w:val="00301982"/>
    <w:rsid w:val="003160F7"/>
    <w:rsid w:val="003612A8"/>
    <w:rsid w:val="00371129"/>
    <w:rsid w:val="003754AC"/>
    <w:rsid w:val="003B40D3"/>
    <w:rsid w:val="003C2945"/>
    <w:rsid w:val="003C3FD8"/>
    <w:rsid w:val="003C52B2"/>
    <w:rsid w:val="003C63DC"/>
    <w:rsid w:val="003D0C73"/>
    <w:rsid w:val="003D4B81"/>
    <w:rsid w:val="003D7B09"/>
    <w:rsid w:val="003F3AC1"/>
    <w:rsid w:val="00401C51"/>
    <w:rsid w:val="00403557"/>
    <w:rsid w:val="00410E09"/>
    <w:rsid w:val="00427622"/>
    <w:rsid w:val="00456196"/>
    <w:rsid w:val="00487297"/>
    <w:rsid w:val="004935D2"/>
    <w:rsid w:val="004B2B81"/>
    <w:rsid w:val="004B36CC"/>
    <w:rsid w:val="004C7637"/>
    <w:rsid w:val="004E7EC9"/>
    <w:rsid w:val="004F2636"/>
    <w:rsid w:val="004F5B68"/>
    <w:rsid w:val="00501234"/>
    <w:rsid w:val="00523C15"/>
    <w:rsid w:val="00530351"/>
    <w:rsid w:val="005305EA"/>
    <w:rsid w:val="005353CC"/>
    <w:rsid w:val="005433F6"/>
    <w:rsid w:val="005448E9"/>
    <w:rsid w:val="00562856"/>
    <w:rsid w:val="00567794"/>
    <w:rsid w:val="00590A4B"/>
    <w:rsid w:val="00596ACB"/>
    <w:rsid w:val="005D3A53"/>
    <w:rsid w:val="005D6962"/>
    <w:rsid w:val="005E045C"/>
    <w:rsid w:val="005E2131"/>
    <w:rsid w:val="005F0151"/>
    <w:rsid w:val="005F0DDF"/>
    <w:rsid w:val="005F2C1E"/>
    <w:rsid w:val="005F5F70"/>
    <w:rsid w:val="00611C25"/>
    <w:rsid w:val="006523DE"/>
    <w:rsid w:val="006550CC"/>
    <w:rsid w:val="00660DF3"/>
    <w:rsid w:val="00671608"/>
    <w:rsid w:val="00694E1F"/>
    <w:rsid w:val="006A16CB"/>
    <w:rsid w:val="006A724E"/>
    <w:rsid w:val="006D11D3"/>
    <w:rsid w:val="006D61E0"/>
    <w:rsid w:val="006E4337"/>
    <w:rsid w:val="006F6DC7"/>
    <w:rsid w:val="00703D81"/>
    <w:rsid w:val="00703E45"/>
    <w:rsid w:val="00727F20"/>
    <w:rsid w:val="007540E3"/>
    <w:rsid w:val="00763AA0"/>
    <w:rsid w:val="007A6EEB"/>
    <w:rsid w:val="007B4360"/>
    <w:rsid w:val="007C5A34"/>
    <w:rsid w:val="007D7EAF"/>
    <w:rsid w:val="007F0246"/>
    <w:rsid w:val="007F2ACD"/>
    <w:rsid w:val="00810F55"/>
    <w:rsid w:val="0081575C"/>
    <w:rsid w:val="00816C17"/>
    <w:rsid w:val="00834C17"/>
    <w:rsid w:val="0087555D"/>
    <w:rsid w:val="00883321"/>
    <w:rsid w:val="008A123A"/>
    <w:rsid w:val="008D217D"/>
    <w:rsid w:val="008E3A3A"/>
    <w:rsid w:val="008E3FB0"/>
    <w:rsid w:val="008E640D"/>
    <w:rsid w:val="00913EF2"/>
    <w:rsid w:val="00987281"/>
    <w:rsid w:val="009A5E31"/>
    <w:rsid w:val="009B0C30"/>
    <w:rsid w:val="009C272A"/>
    <w:rsid w:val="009C2FA4"/>
    <w:rsid w:val="009D0DF1"/>
    <w:rsid w:val="009F5FCD"/>
    <w:rsid w:val="009F7B93"/>
    <w:rsid w:val="00A1080B"/>
    <w:rsid w:val="00A20C75"/>
    <w:rsid w:val="00A302F8"/>
    <w:rsid w:val="00A43C49"/>
    <w:rsid w:val="00A50990"/>
    <w:rsid w:val="00A6191F"/>
    <w:rsid w:val="00A74C4A"/>
    <w:rsid w:val="00A9117A"/>
    <w:rsid w:val="00A92E78"/>
    <w:rsid w:val="00AA0387"/>
    <w:rsid w:val="00AA7058"/>
    <w:rsid w:val="00AC1AA5"/>
    <w:rsid w:val="00AC2008"/>
    <w:rsid w:val="00AC5A48"/>
    <w:rsid w:val="00AC6F36"/>
    <w:rsid w:val="00AD6B73"/>
    <w:rsid w:val="00AF2238"/>
    <w:rsid w:val="00AF37F5"/>
    <w:rsid w:val="00B00403"/>
    <w:rsid w:val="00B10D89"/>
    <w:rsid w:val="00B11A47"/>
    <w:rsid w:val="00B26519"/>
    <w:rsid w:val="00B36F5D"/>
    <w:rsid w:val="00B55807"/>
    <w:rsid w:val="00B56B1A"/>
    <w:rsid w:val="00B57611"/>
    <w:rsid w:val="00B72A9D"/>
    <w:rsid w:val="00BB5A00"/>
    <w:rsid w:val="00BC0814"/>
    <w:rsid w:val="00BC637F"/>
    <w:rsid w:val="00C07FCB"/>
    <w:rsid w:val="00C15E8B"/>
    <w:rsid w:val="00C263C7"/>
    <w:rsid w:val="00C27A17"/>
    <w:rsid w:val="00C34C4F"/>
    <w:rsid w:val="00C51D0F"/>
    <w:rsid w:val="00C83168"/>
    <w:rsid w:val="00C90516"/>
    <w:rsid w:val="00CA564E"/>
    <w:rsid w:val="00CD007F"/>
    <w:rsid w:val="00CD60CF"/>
    <w:rsid w:val="00CE55B4"/>
    <w:rsid w:val="00CE69A7"/>
    <w:rsid w:val="00D0145E"/>
    <w:rsid w:val="00D22D52"/>
    <w:rsid w:val="00D44409"/>
    <w:rsid w:val="00D50E9A"/>
    <w:rsid w:val="00D5333F"/>
    <w:rsid w:val="00D63ED6"/>
    <w:rsid w:val="00D82754"/>
    <w:rsid w:val="00DA2247"/>
    <w:rsid w:val="00DC6912"/>
    <w:rsid w:val="00DD59C5"/>
    <w:rsid w:val="00E45364"/>
    <w:rsid w:val="00E469E0"/>
    <w:rsid w:val="00E50847"/>
    <w:rsid w:val="00E51D46"/>
    <w:rsid w:val="00E636BC"/>
    <w:rsid w:val="00E66DEA"/>
    <w:rsid w:val="00E71A4E"/>
    <w:rsid w:val="00EA3B18"/>
    <w:rsid w:val="00EB644F"/>
    <w:rsid w:val="00ED63F4"/>
    <w:rsid w:val="00EF0B9F"/>
    <w:rsid w:val="00EF5FD7"/>
    <w:rsid w:val="00F105D9"/>
    <w:rsid w:val="00F13926"/>
    <w:rsid w:val="00F17027"/>
    <w:rsid w:val="00F42CA2"/>
    <w:rsid w:val="00F52A52"/>
    <w:rsid w:val="00FC3EB7"/>
    <w:rsid w:val="00FD0737"/>
    <w:rsid w:val="00FD5324"/>
    <w:rsid w:val="00FF5462"/>
    <w:rsid w:val="2C1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44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customStyle="1" w:styleId="ilfuvd">
    <w:name w:val="ilfuvd"/>
    <w:basedOn w:val="DefaultParagraphFont"/>
    <w:rsid w:val="007F2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customStyle="1" w:styleId="ilfuvd">
    <w:name w:val="ilfuvd"/>
    <w:basedOn w:val="DefaultParagraphFont"/>
    <w:rsid w:val="007F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cola.Patmore@xoserve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asgovernance.co.uk/sites/default/files/ggf/page/2018-02/Service%20Description%20Table%20V4%20live%20clean%20for%20publication%2016%20Feb%202018.xls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ffe082852947cd7471173a77cf405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dd1256785d33b4fd979183a6ba181367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F752-DFEE-4B46-96AF-4744A0FBB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64e0fceb-84a8-442e-b1e6-39fc5bdeafdf"/>
    <ds:schemaRef ds:uri="http://purl.org/dc/dcmitype/"/>
    <ds:schemaRef ds:uri="http://schemas.openxmlformats.org/package/2006/metadata/core-properties"/>
    <ds:schemaRef ds:uri="a8d00b61-02e3-4ab5-b77b-0ca9e0a046b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9A4D9-DE12-469B-B5DD-879C4EFF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3</cp:revision>
  <cp:lastPrinted>2018-05-09T12:24:00Z</cp:lastPrinted>
  <dcterms:created xsi:type="dcterms:W3CDTF">2018-11-30T07:29:00Z</dcterms:created>
  <dcterms:modified xsi:type="dcterms:W3CDTF">2018-11-30T07:33:00Z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757112583</vt:i4>
  </property>
  <property fmtid="{D5CDD505-2E9C-101B-9397-08002B2CF9AE}" pid="4" name="_NewReviewCycle">
    <vt:lpwstr/>
  </property>
  <property fmtid="{D5CDD505-2E9C-101B-9397-08002B2CF9AE}" pid="5" name="_EmailSubject">
    <vt:lpwstr>Final Email Reminder for Change Management Committee Content</vt:lpwstr>
  </property>
  <property fmtid="{D5CDD505-2E9C-101B-9397-08002B2CF9AE}" pid="6" name="_AuthorEmail">
    <vt:lpwstr>nicola.patmore@xoserve.com</vt:lpwstr>
  </property>
  <property fmtid="{D5CDD505-2E9C-101B-9397-08002B2CF9AE}" pid="7" name="_AuthorEmailDisplayName">
    <vt:lpwstr>Patmore, Nicola</vt:lpwstr>
  </property>
  <property fmtid="{D5CDD505-2E9C-101B-9397-08002B2CF9AE}" pid="9" name="_PreviousAdHocReviewCycleID">
    <vt:i4>-1136516929</vt:i4>
  </property>
</Properties>
</file>