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DD7F9" w14:textId="77777777" w:rsidR="006A724E" w:rsidRDefault="001239C2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069DD87A" wp14:editId="069DD87B">
            <wp:simplePos x="0" y="0"/>
            <wp:positionH relativeFrom="column">
              <wp:posOffset>1203325</wp:posOffset>
            </wp:positionH>
            <wp:positionV relativeFrom="paragraph">
              <wp:posOffset>-80645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DD7FA" w14:textId="77777777" w:rsidR="001239C2" w:rsidRDefault="001239C2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069DD7FB" w14:textId="77777777" w:rsidR="007B4360" w:rsidRPr="00192B0D" w:rsidRDefault="00BB5A00" w:rsidP="00CD7096">
      <w:pPr>
        <w:spacing w:after="0" w:line="240" w:lineRule="auto"/>
        <w:jc w:val="center"/>
        <w:rPr>
          <w:rFonts w:cs="Arial"/>
          <w:color w:val="3E5AA8" w:themeColor="accent1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Change Completion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5E045C">
        <w:rPr>
          <w:rFonts w:asciiTheme="majorHAnsi" w:hAnsiTheme="majorHAnsi" w:cstheme="majorHAnsi"/>
          <w:b/>
          <w:color w:val="3E5AA8"/>
          <w:sz w:val="60"/>
          <w:szCs w:val="60"/>
        </w:rPr>
        <w:t>CC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192B0D">
        <w:rPr>
          <w:rFonts w:cs="Arial"/>
          <w:color w:val="3E5AA8" w:themeColor="accent1"/>
        </w:rPr>
        <w:t xml:space="preserve"> </w:t>
      </w:r>
    </w:p>
    <w:tbl>
      <w:tblPr>
        <w:tblStyle w:val="TableGrid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6A724E" w:rsidRPr="00683A0C" w14:paraId="069DD7FE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69DD7FC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69DD7FD" w14:textId="684541FD" w:rsidR="006A724E" w:rsidRPr="00795816" w:rsidRDefault="008D7134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CSEPs Hierarchy Report </w:t>
            </w:r>
          </w:p>
        </w:tc>
      </w:tr>
      <w:tr w:rsidR="006A724E" w:rsidRPr="00683A0C" w14:paraId="069DD801" w14:textId="77777777" w:rsidTr="00532D52">
        <w:tc>
          <w:tcPr>
            <w:tcW w:w="2318" w:type="pct"/>
            <w:shd w:val="clear" w:color="auto" w:fill="FFFFFF" w:themeFill="background1"/>
            <w:vAlign w:val="center"/>
          </w:tcPr>
          <w:p w14:paraId="069DD7FF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9DD800" w14:textId="584C2B89" w:rsidR="006A724E" w:rsidRPr="00795816" w:rsidRDefault="008D7134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4354</w:t>
            </w:r>
          </w:p>
        </w:tc>
      </w:tr>
      <w:tr w:rsidR="006A724E" w:rsidRPr="00683A0C" w14:paraId="069DD804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D802" w14:textId="77777777" w:rsidR="006A724E" w:rsidRPr="00CD7096" w:rsidRDefault="009C272A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Xoserve</w:t>
            </w:r>
            <w:r w:rsidR="00FF5462" w:rsidRPr="00CD7096">
              <w:rPr>
                <w:rFonts w:cs="Arial"/>
                <w:b/>
                <w:sz w:val="20"/>
                <w:szCs w:val="16"/>
              </w:rPr>
              <w:t xml:space="preserve"> Project Manager</w:t>
            </w:r>
            <w:r w:rsidR="006A724E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  <w:r w:rsidR="008E3FB0" w:rsidRPr="00CD7096">
              <w:rPr>
                <w:rFonts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69DD803" w14:textId="4589DFA0" w:rsidR="006A724E" w:rsidRPr="00795816" w:rsidRDefault="00292206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 Duncan</w:t>
            </w:r>
          </w:p>
        </w:tc>
      </w:tr>
      <w:tr w:rsidR="006A724E" w:rsidRPr="00683A0C" w14:paraId="069DD807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D805" w14:textId="77777777" w:rsidR="006A724E" w:rsidRPr="00CD7096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CD7096">
              <w:rPr>
                <w:rFonts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69DD806" w14:textId="36444484" w:rsidR="006A724E" w:rsidRPr="00795816" w:rsidRDefault="00982E3A" w:rsidP="00BB5A00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292206" w:rsidRPr="00DA4C99">
                <w:rPr>
                  <w:rStyle w:val="Hyperlink"/>
                  <w:rFonts w:cstheme="minorHAnsi"/>
                </w:rPr>
                <w:t>Joanne.duncan@xoserve.com</w:t>
              </w:r>
            </w:hyperlink>
          </w:p>
        </w:tc>
      </w:tr>
      <w:tr w:rsidR="00FF5462" w:rsidRPr="00683A0C" w14:paraId="069DD80A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D808" w14:textId="77777777" w:rsidR="00FF5462" w:rsidRPr="00007514" w:rsidRDefault="00FF5462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69DD809" w14:textId="07CDEB8E" w:rsidR="00FF5462" w:rsidRPr="00795816" w:rsidRDefault="00292206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0121 623 2653</w:t>
            </w:r>
          </w:p>
        </w:tc>
      </w:tr>
      <w:tr w:rsidR="00752472" w:rsidRPr="00683A0C" w14:paraId="069DD80D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D80B" w14:textId="77777777" w:rsidR="00752472" w:rsidRPr="00752472" w:rsidRDefault="00775FAA" w:rsidP="00532D52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>Target Ch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ange </w:t>
            </w:r>
            <w:r>
              <w:rPr>
                <w:rFonts w:cs="Arial"/>
                <w:b/>
                <w:sz w:val="20"/>
                <w:szCs w:val="16"/>
              </w:rPr>
              <w:t>M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anagement </w:t>
            </w:r>
            <w:r>
              <w:rPr>
                <w:rFonts w:cs="Arial"/>
                <w:b/>
                <w:sz w:val="20"/>
                <w:szCs w:val="16"/>
              </w:rPr>
              <w:t>C</w:t>
            </w:r>
            <w:r w:rsidR="008349C5">
              <w:rPr>
                <w:rFonts w:cs="Arial"/>
                <w:b/>
                <w:sz w:val="20"/>
                <w:szCs w:val="16"/>
              </w:rPr>
              <w:t xml:space="preserve">ommittee </w:t>
            </w:r>
            <w:r>
              <w:rPr>
                <w:rFonts w:cs="Arial"/>
                <w:b/>
                <w:sz w:val="20"/>
                <w:szCs w:val="16"/>
              </w:rPr>
              <w:t>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69DD80C" w14:textId="7C4BD8F1" w:rsidR="00752472" w:rsidRPr="00795816" w:rsidRDefault="006C30AD" w:rsidP="006C30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November </w:t>
            </w:r>
            <w:bookmarkStart w:id="0" w:name="_GoBack"/>
            <w:bookmarkEnd w:id="0"/>
            <w:r w:rsidR="00292206">
              <w:rPr>
                <w:rFonts w:cstheme="minorHAnsi"/>
                <w:sz w:val="20"/>
                <w:szCs w:val="20"/>
              </w:rPr>
              <w:t>2018</w:t>
            </w:r>
          </w:p>
        </w:tc>
      </w:tr>
      <w:tr w:rsidR="00BB2E0E" w:rsidRPr="00683A0C" w14:paraId="069DD810" w14:textId="77777777" w:rsidTr="00532D52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DD80E" w14:textId="77777777" w:rsidR="00BB2E0E" w:rsidRPr="00007514" w:rsidRDefault="00BB2E0E" w:rsidP="00532D52">
            <w:pPr>
              <w:rPr>
                <w:rFonts w:cs="Arial"/>
                <w:b/>
                <w:sz w:val="20"/>
                <w:szCs w:val="16"/>
              </w:rPr>
            </w:pPr>
            <w:r w:rsidRPr="00007514">
              <w:rPr>
                <w:rFonts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069DD80F" w14:textId="2C8B1AF6" w:rsidR="00BB2E0E" w:rsidRPr="00795816" w:rsidRDefault="00A25C54" w:rsidP="00BB5A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10/08/18</w:t>
            </w:r>
          </w:p>
        </w:tc>
      </w:tr>
      <w:tr w:rsidR="008E3FB0" w:rsidRPr="00683A0C" w14:paraId="069DD812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69DD811" w14:textId="77777777" w:rsidR="008E3FB0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1: </w:t>
            </w:r>
            <w:r w:rsidR="005E045C" w:rsidRPr="00532D52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Overview of Change Delivery</w:t>
            </w:r>
          </w:p>
        </w:tc>
      </w:tr>
      <w:tr w:rsidR="008E3FB0" w:rsidRPr="00683A0C" w14:paraId="069DD821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796C97" w14:textId="63A1CEF9" w:rsidR="00764267" w:rsidRDefault="00764267" w:rsidP="00764267">
            <w:pPr>
              <w:rPr>
                <w:rFonts w:cs="Arial"/>
                <w:i/>
                <w:color w:val="0070C0"/>
              </w:rPr>
            </w:pPr>
          </w:p>
          <w:p w14:paraId="6F96260F" w14:textId="7E7CE760" w:rsidR="008D7134" w:rsidRDefault="008D7134" w:rsidP="00C710C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XRN4354 was raised to create a monthly report to DNOs capturing the nested hierarchy of CSEPs allowing DNOs to correctly model the demand for individual iGT fed Meter Points.</w:t>
            </w:r>
          </w:p>
          <w:p w14:paraId="18C54982" w14:textId="77777777" w:rsidR="008D7134" w:rsidRDefault="008D7134" w:rsidP="00C710C7">
            <w:pPr>
              <w:rPr>
                <w:rFonts w:cs="Arial"/>
                <w:color w:val="0070C0"/>
              </w:rPr>
            </w:pPr>
          </w:p>
          <w:p w14:paraId="30E7F25D" w14:textId="203480F2" w:rsidR="001366DB" w:rsidRDefault="001366DB" w:rsidP="00C710C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There has been no change to the scope or requirements of this report during the development and there have been no changes to the core systems.  </w:t>
            </w:r>
          </w:p>
          <w:p w14:paraId="1F435563" w14:textId="77777777" w:rsidR="001366DB" w:rsidRDefault="001366DB" w:rsidP="00C710C7">
            <w:pPr>
              <w:rPr>
                <w:rFonts w:cs="Arial"/>
                <w:color w:val="0070C0"/>
              </w:rPr>
            </w:pPr>
          </w:p>
          <w:p w14:paraId="6465541A" w14:textId="16211279" w:rsidR="00C710C7" w:rsidRDefault="00C710C7" w:rsidP="00C710C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Due to the Change congestion currently experienced within the delivery team the original forecasted </w:t>
            </w:r>
            <w:r w:rsidR="00B223A5">
              <w:rPr>
                <w:rFonts w:cs="Arial"/>
                <w:color w:val="0070C0"/>
              </w:rPr>
              <w:t>commencement</w:t>
            </w:r>
            <w:r>
              <w:rPr>
                <w:rFonts w:cs="Arial"/>
                <w:color w:val="0070C0"/>
              </w:rPr>
              <w:t xml:space="preserve"> date of May was not met and was instead </w:t>
            </w:r>
            <w:r w:rsidR="001366DB">
              <w:rPr>
                <w:rFonts w:cs="Arial"/>
                <w:color w:val="0070C0"/>
              </w:rPr>
              <w:t xml:space="preserve">delivered </w:t>
            </w:r>
            <w:r w:rsidR="00B223A5">
              <w:rPr>
                <w:rFonts w:cs="Arial"/>
                <w:color w:val="0070C0"/>
              </w:rPr>
              <w:t>into production in July, it was issued in Augu</w:t>
            </w:r>
            <w:r w:rsidR="007A7877">
              <w:rPr>
                <w:rFonts w:cs="Arial"/>
                <w:color w:val="0070C0"/>
              </w:rPr>
              <w:t>st to the confirmed distribution list.</w:t>
            </w:r>
          </w:p>
          <w:p w14:paraId="6D28DE79" w14:textId="53EBBE1E" w:rsidR="00764267" w:rsidRDefault="00764267" w:rsidP="00764267">
            <w:pPr>
              <w:rPr>
                <w:rFonts w:cs="Arial"/>
                <w:i/>
                <w:color w:val="0070C0"/>
              </w:rPr>
            </w:pPr>
          </w:p>
          <w:p w14:paraId="5F435316" w14:textId="42966590" w:rsidR="001366DB" w:rsidRPr="007A7877" w:rsidRDefault="007A7877" w:rsidP="00764267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There have been no impacts to RTB costs.</w:t>
            </w:r>
          </w:p>
          <w:p w14:paraId="248D9FBA" w14:textId="77777777" w:rsidR="00AF2238" w:rsidRPr="007A7877" w:rsidRDefault="00AF2238" w:rsidP="007A7877">
            <w:pPr>
              <w:rPr>
                <w:rFonts w:cs="Arial"/>
                <w:i/>
                <w:color w:val="0070C0"/>
              </w:rPr>
            </w:pPr>
          </w:p>
          <w:p w14:paraId="68355E5C" w14:textId="77777777" w:rsidR="001366DB" w:rsidRDefault="001366DB" w:rsidP="001366DB">
            <w:pPr>
              <w:pStyle w:val="ListParagraph"/>
              <w:rPr>
                <w:rFonts w:cs="Arial"/>
                <w:i/>
                <w:color w:val="0070C0"/>
              </w:rPr>
            </w:pPr>
          </w:p>
          <w:p w14:paraId="069DD820" w14:textId="5B858FB2" w:rsidR="001366DB" w:rsidRPr="001366DB" w:rsidRDefault="001366DB" w:rsidP="001366DB">
            <w:pPr>
              <w:rPr>
                <w:rFonts w:cs="Arial"/>
                <w:color w:val="0070C0"/>
              </w:rPr>
            </w:pPr>
          </w:p>
        </w:tc>
      </w:tr>
      <w:tr w:rsidR="003C2945" w:rsidRPr="00683A0C" w14:paraId="069DD823" w14:textId="77777777" w:rsidTr="00532D5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69DD822" w14:textId="77777777" w:rsidR="003C2945" w:rsidRPr="00532D52" w:rsidRDefault="00BB2E0E" w:rsidP="00532D52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2: </w:t>
            </w:r>
            <w:r w:rsidR="005E045C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Confirmed Funding Arrangements</w:t>
            </w:r>
          </w:p>
        </w:tc>
      </w:tr>
      <w:tr w:rsidR="003C2945" w:rsidRPr="00683A0C" w14:paraId="069DD84A" w14:textId="77777777" w:rsidTr="008E3FB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A970AB" w:rsidRPr="00007514" w14:paraId="069DD829" w14:textId="77777777" w:rsidTr="00B670E3">
              <w:tc>
                <w:tcPr>
                  <w:tcW w:w="2547" w:type="dxa"/>
                </w:tcPr>
                <w:p w14:paraId="069DD824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069DD825" w14:textId="77777777" w:rsidR="00A970AB" w:rsidRPr="00007514" w:rsidRDefault="00A970AB" w:rsidP="00A970AB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069DD826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069DD827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069DD828" w14:textId="77777777" w:rsidR="00A970AB" w:rsidRPr="00007514" w:rsidRDefault="00A970AB" w:rsidP="008900E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A970AB" w:rsidRPr="00007514" w14:paraId="069DD82F" w14:textId="77777777" w:rsidTr="00795816">
              <w:tc>
                <w:tcPr>
                  <w:tcW w:w="2547" w:type="dxa"/>
                </w:tcPr>
                <w:p w14:paraId="069DD82A" w14:textId="77777777" w:rsidR="00A970AB" w:rsidRPr="00007514" w:rsidRDefault="00A970AB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D82B" w14:textId="6311F7E9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69DD82C" w14:textId="42A22FD6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69DD82D" w14:textId="4E8E42B6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69DD82E" w14:textId="36F50EB6" w:rsidR="00A970AB" w:rsidRPr="00795816" w:rsidRDefault="00A970AB" w:rsidP="0049780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970AB" w:rsidRPr="00007514" w14:paraId="069DD835" w14:textId="77777777" w:rsidTr="00795816">
              <w:tc>
                <w:tcPr>
                  <w:tcW w:w="2547" w:type="dxa"/>
                </w:tcPr>
                <w:p w14:paraId="069DD830" w14:textId="77777777" w:rsidR="00A970AB" w:rsidRPr="00007514" w:rsidRDefault="001238B5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  <w:r w:rsidR="00A970AB" w:rsidRPr="00007514">
                    <w:rPr>
                      <w:rFonts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D831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69DD832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69DD833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69DD834" w14:textId="77777777" w:rsidR="00A970AB" w:rsidRPr="00795816" w:rsidRDefault="00A970AB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497808" w:rsidRPr="00007514" w14:paraId="069DD83B" w14:textId="77777777" w:rsidTr="00795816">
              <w:tc>
                <w:tcPr>
                  <w:tcW w:w="2547" w:type="dxa"/>
                </w:tcPr>
                <w:p w14:paraId="069DD836" w14:textId="77777777" w:rsidR="00497808" w:rsidRPr="00007514" w:rsidRDefault="00497808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D837" w14:textId="4700A5C2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069DD838" w14:textId="7EE3E2EF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069DD839" w14:textId="0D989311" w:rsidR="00497808" w:rsidRPr="00795816" w:rsidRDefault="00497808" w:rsidP="0049780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£7,100</w:t>
                  </w:r>
                </w:p>
              </w:tc>
              <w:tc>
                <w:tcPr>
                  <w:tcW w:w="2264" w:type="dxa"/>
                  <w:vAlign w:val="center"/>
                </w:tcPr>
                <w:p w14:paraId="069DD83A" w14:textId="34322459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£6,992</w:t>
                  </w:r>
                </w:p>
              </w:tc>
            </w:tr>
            <w:tr w:rsidR="00497808" w:rsidRPr="00007514" w14:paraId="069DD841" w14:textId="77777777" w:rsidTr="00795816">
              <w:tc>
                <w:tcPr>
                  <w:tcW w:w="2547" w:type="dxa"/>
                </w:tcPr>
                <w:p w14:paraId="069DD83C" w14:textId="77777777" w:rsidR="00497808" w:rsidRPr="00007514" w:rsidRDefault="00497808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D83D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69DD83E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69DD83F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69DD840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497808" w:rsidRPr="00007514" w14:paraId="069DD847" w14:textId="77777777" w:rsidTr="00795816">
              <w:trPr>
                <w:trHeight w:val="53"/>
              </w:trPr>
              <w:tc>
                <w:tcPr>
                  <w:tcW w:w="2547" w:type="dxa"/>
                </w:tcPr>
                <w:p w14:paraId="069DD842" w14:textId="77777777" w:rsidR="00497808" w:rsidRPr="00007514" w:rsidRDefault="00497808" w:rsidP="008900EA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7514">
                    <w:rPr>
                      <w:rFonts w:cs="Arial"/>
                      <w:b/>
                      <w:sz w:val="20"/>
                      <w:szCs w:val="20"/>
                    </w:rPr>
                    <w:t xml:space="preserve">DN’s &amp; 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9DD843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vAlign w:val="center"/>
                </w:tcPr>
                <w:p w14:paraId="069DD844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69DD845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14:paraId="069DD846" w14:textId="77777777" w:rsidR="00497808" w:rsidRPr="00795816" w:rsidRDefault="00497808" w:rsidP="00795816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069DD848" w14:textId="77777777" w:rsidR="003C2945" w:rsidRPr="00007514" w:rsidRDefault="002022FB" w:rsidP="002022FB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007514">
              <w:rPr>
                <w:rFonts w:cs="Arial"/>
                <w:i/>
                <w:color w:val="0070C0"/>
                <w:sz w:val="20"/>
                <w:szCs w:val="20"/>
              </w:rPr>
              <w:t>Please include any reasons f</w:t>
            </w:r>
            <w:r w:rsidR="00A10304" w:rsidRPr="00007514">
              <w:rPr>
                <w:rFonts w:cs="Arial"/>
                <w:i/>
                <w:color w:val="0070C0"/>
                <w:sz w:val="20"/>
                <w:szCs w:val="20"/>
              </w:rPr>
              <w:t xml:space="preserve">or variation from </w:t>
            </w:r>
            <w:r w:rsidR="00B008E8">
              <w:rPr>
                <w:rFonts w:cs="Arial"/>
                <w:i/>
                <w:color w:val="0070C0"/>
                <w:sz w:val="20"/>
                <w:szCs w:val="20"/>
              </w:rPr>
              <w:t>B</w:t>
            </w:r>
            <w:r w:rsidR="008349C5">
              <w:rPr>
                <w:rFonts w:cs="Arial"/>
                <w:i/>
                <w:color w:val="0070C0"/>
                <w:sz w:val="20"/>
                <w:szCs w:val="20"/>
              </w:rPr>
              <w:t xml:space="preserve">usiness </w:t>
            </w:r>
            <w:r w:rsidR="00B008E8">
              <w:rPr>
                <w:rFonts w:cs="Arial"/>
                <w:i/>
                <w:color w:val="0070C0"/>
                <w:sz w:val="20"/>
                <w:szCs w:val="20"/>
              </w:rPr>
              <w:t>E</w:t>
            </w:r>
            <w:r w:rsidR="008349C5">
              <w:rPr>
                <w:rFonts w:cs="Arial"/>
                <w:i/>
                <w:color w:val="0070C0"/>
                <w:sz w:val="20"/>
                <w:szCs w:val="20"/>
              </w:rPr>
              <w:t xml:space="preserve">valuation </w:t>
            </w:r>
            <w:r w:rsidR="00B008E8">
              <w:rPr>
                <w:rFonts w:cs="Arial"/>
                <w:i/>
                <w:color w:val="0070C0"/>
                <w:sz w:val="20"/>
                <w:szCs w:val="20"/>
              </w:rPr>
              <w:t>R</w:t>
            </w:r>
            <w:r w:rsidR="008349C5">
              <w:rPr>
                <w:rFonts w:cs="Arial"/>
                <w:i/>
                <w:color w:val="0070C0"/>
                <w:sz w:val="20"/>
                <w:szCs w:val="20"/>
              </w:rPr>
              <w:t>eport</w:t>
            </w:r>
            <w:r w:rsidR="00A10304" w:rsidRPr="00007514">
              <w:rPr>
                <w:rFonts w:cs="Arial"/>
                <w:i/>
                <w:color w:val="0070C0"/>
                <w:sz w:val="20"/>
                <w:szCs w:val="20"/>
              </w:rPr>
              <w:t xml:space="preserve"> share</w:t>
            </w:r>
            <w:r w:rsidR="00B008E8">
              <w:rPr>
                <w:rFonts w:cs="Arial"/>
                <w:i/>
                <w:color w:val="0070C0"/>
                <w:sz w:val="20"/>
                <w:szCs w:val="20"/>
              </w:rPr>
              <w:t xml:space="preserve"> of cost</w:t>
            </w:r>
            <w:r w:rsidRPr="00007514">
              <w:rPr>
                <w:rFonts w:cs="Arial"/>
                <w:i/>
                <w:color w:val="0070C0"/>
                <w:sz w:val="20"/>
                <w:szCs w:val="20"/>
              </w:rPr>
              <w:t>:</w:t>
            </w:r>
          </w:p>
          <w:p w14:paraId="30E62FBA" w14:textId="77777777" w:rsidR="001366DB" w:rsidRDefault="001366DB" w:rsidP="005E045C">
            <w:pPr>
              <w:pStyle w:val="ListParagraph"/>
              <w:ind w:left="0"/>
              <w:rPr>
                <w:rFonts w:cs="Arial"/>
                <w:color w:val="0070C0"/>
              </w:rPr>
            </w:pPr>
          </w:p>
          <w:p w14:paraId="069DD849" w14:textId="2C41E6A8" w:rsidR="002022FB" w:rsidRPr="001366DB" w:rsidRDefault="001366DB" w:rsidP="00C9116A">
            <w:pPr>
              <w:pStyle w:val="ListParagraph"/>
              <w:ind w:left="0"/>
              <w:rPr>
                <w:rFonts w:cs="Arial"/>
                <w:color w:val="0070C0"/>
              </w:rPr>
            </w:pPr>
            <w:r w:rsidRPr="001366DB">
              <w:rPr>
                <w:rFonts w:cs="Arial"/>
                <w:color w:val="0070C0"/>
              </w:rPr>
              <w:t>The</w:t>
            </w:r>
            <w:r w:rsidR="00C9116A">
              <w:rPr>
                <w:rFonts w:cs="Arial"/>
                <w:color w:val="0070C0"/>
              </w:rPr>
              <w:t xml:space="preserve"> change took less time than originally estimated to deliver </w:t>
            </w:r>
            <w:r w:rsidR="007A7877">
              <w:rPr>
                <w:rFonts w:cs="Arial"/>
                <w:color w:val="0070C0"/>
              </w:rPr>
              <w:t>and this has been reflected in the total cost.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3C52B2" w:rsidRPr="00683A0C" w14:paraId="069DD84C" w14:textId="77777777" w:rsidTr="00CD709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069DD84B" w14:textId="55A38BAF" w:rsidR="003C52B2" w:rsidRPr="003C52B2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3</w:t>
            </w:r>
            <w:r w:rsidR="00BB2E0E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a summary of any</w:t>
            </w:r>
            <w:r w:rsidR="00DD499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agreed scope changes</w:t>
            </w:r>
          </w:p>
        </w:tc>
      </w:tr>
      <w:tr w:rsidR="003C52B2" w:rsidRPr="00683A0C" w14:paraId="069DD84E" w14:textId="77777777" w:rsidTr="00F710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0B5B0" w14:textId="2C26DF6E" w:rsidR="00A25C54" w:rsidRDefault="00A25C54" w:rsidP="00C179C9">
            <w:pPr>
              <w:pStyle w:val="ListParagraph"/>
              <w:ind w:left="0"/>
              <w:rPr>
                <w:rFonts w:cs="Arial"/>
                <w:color w:val="0070C0"/>
                <w:sz w:val="20"/>
              </w:rPr>
            </w:pPr>
            <w:r>
              <w:rPr>
                <w:rFonts w:cs="Arial"/>
                <w:color w:val="0070C0"/>
                <w:sz w:val="20"/>
              </w:rPr>
              <w:t>N/A</w:t>
            </w:r>
          </w:p>
          <w:p w14:paraId="069DD84D" w14:textId="43D3CCB3" w:rsidR="003C52B2" w:rsidRPr="00A25C54" w:rsidRDefault="00C179C9" w:rsidP="00C179C9">
            <w:pPr>
              <w:pStyle w:val="ListParagraph"/>
              <w:ind w:left="0"/>
              <w:rPr>
                <w:rFonts w:cs="Arial"/>
                <w:sz w:val="20"/>
              </w:rPr>
            </w:pPr>
            <w:r w:rsidRPr="00A25C54">
              <w:rPr>
                <w:rFonts w:cs="Arial"/>
                <w:sz w:val="20"/>
              </w:rPr>
              <w:t xml:space="preserve"> </w:t>
            </w:r>
          </w:p>
        </w:tc>
      </w:tr>
      <w:tr w:rsidR="003C52B2" w:rsidRPr="00683A0C" w14:paraId="069DD850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69DD84F" w14:textId="77777777" w:rsidR="003C52B2" w:rsidRPr="00532D52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Section </w:t>
            </w:r>
            <w:r w:rsidR="00532D52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4</w:t>
            </w:r>
            <w:r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CD7096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Detail any changes to the Xoserve Service Description</w:t>
            </w:r>
          </w:p>
        </w:tc>
      </w:tr>
      <w:tr w:rsidR="00B56B1A" w:rsidRPr="00497808" w14:paraId="069DD853" w14:textId="77777777" w:rsidTr="00AF2238">
        <w:tc>
          <w:tcPr>
            <w:tcW w:w="5000" w:type="pct"/>
            <w:gridSpan w:val="2"/>
            <w:shd w:val="clear" w:color="auto" w:fill="auto"/>
          </w:tcPr>
          <w:p w14:paraId="7F5B6B98" w14:textId="713BAE36" w:rsidR="00497808" w:rsidRPr="00497808" w:rsidRDefault="00497808" w:rsidP="003C52B2">
            <w:pPr>
              <w:rPr>
                <w:rFonts w:cs="Arial"/>
                <w:color w:val="0070C0"/>
                <w:sz w:val="20"/>
              </w:rPr>
            </w:pPr>
            <w:r w:rsidRPr="00497808">
              <w:rPr>
                <w:rFonts w:cs="Arial"/>
                <w:color w:val="0070C0"/>
                <w:sz w:val="20"/>
              </w:rPr>
              <w:t xml:space="preserve">N/A </w:t>
            </w:r>
          </w:p>
          <w:p w14:paraId="7DBF89CD" w14:textId="77777777" w:rsidR="00497808" w:rsidRPr="00497808" w:rsidRDefault="00497808" w:rsidP="00B4169F"/>
          <w:p w14:paraId="6A56452B" w14:textId="77777777" w:rsidR="00B008E8" w:rsidRPr="00497808" w:rsidRDefault="00982E3A" w:rsidP="00B4169F">
            <w:pPr>
              <w:rPr>
                <w:rStyle w:val="Hyperlink"/>
                <w:rFonts w:cs="Arial"/>
              </w:rPr>
            </w:pPr>
            <w:hyperlink r:id="rId15" w:history="1">
              <w:r w:rsidR="00B4169F" w:rsidRPr="00497808">
                <w:rPr>
                  <w:rStyle w:val="Hyperlink"/>
                  <w:rFonts w:cs="Arial"/>
                  <w:sz w:val="20"/>
                </w:rPr>
                <w:t>Service Description Table</w:t>
              </w:r>
            </w:hyperlink>
          </w:p>
          <w:p w14:paraId="069DD852" w14:textId="03EE928F" w:rsidR="00A25C54" w:rsidRPr="00497808" w:rsidRDefault="00A25C54" w:rsidP="00B4169F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3C52B2" w:rsidRPr="00497808" w14:paraId="069DD855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69DD854" w14:textId="77777777" w:rsidR="003C52B2" w:rsidRPr="00497808" w:rsidRDefault="00BB2E0E" w:rsidP="00CD7096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</w:t>
            </w:r>
            <w:r w:rsidR="00532D52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5</w:t>
            </w:r>
            <w:r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Provide details of</w:t>
            </w:r>
            <w:r w:rsidR="00B56B1A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any revisions to</w:t>
            </w:r>
            <w:r w:rsidR="0014750D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 the text of the UK Link Manual</w:t>
            </w:r>
          </w:p>
        </w:tc>
      </w:tr>
      <w:tr w:rsidR="003C52B2" w:rsidRPr="00497808" w14:paraId="069DD857" w14:textId="77777777" w:rsidTr="00AF2238">
        <w:tc>
          <w:tcPr>
            <w:tcW w:w="5000" w:type="pct"/>
            <w:gridSpan w:val="2"/>
            <w:shd w:val="clear" w:color="auto" w:fill="auto"/>
          </w:tcPr>
          <w:p w14:paraId="069DD856" w14:textId="7E14A315" w:rsidR="00A25C54" w:rsidRPr="00497808" w:rsidRDefault="00A25C54" w:rsidP="00497808">
            <w:pPr>
              <w:pStyle w:val="ListParagraph"/>
              <w:ind w:left="0"/>
              <w:rPr>
                <w:rFonts w:cs="Arial"/>
                <w:b/>
                <w:i/>
                <w:color w:val="FF0000"/>
                <w:szCs w:val="16"/>
              </w:rPr>
            </w:pPr>
            <w:r w:rsidRPr="00497808">
              <w:rPr>
                <w:rFonts w:cs="Arial"/>
                <w:color w:val="0070C0"/>
              </w:rPr>
              <w:t>N/A no changes</w:t>
            </w:r>
          </w:p>
        </w:tc>
      </w:tr>
      <w:tr w:rsidR="003C52B2" w:rsidRPr="00497808" w14:paraId="069DD859" w14:textId="77777777" w:rsidTr="00CD709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69DD858" w14:textId="77777777" w:rsidR="003C52B2" w:rsidRPr="00497808" w:rsidRDefault="00532D52" w:rsidP="00CD7096">
            <w:pPr>
              <w:jc w:val="center"/>
              <w:rPr>
                <w:rFonts w:cs="Arial"/>
                <w:b/>
                <w:color w:val="0070C0"/>
              </w:rPr>
            </w:pPr>
            <w:r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Section 6</w:t>
            </w:r>
            <w:r w:rsidR="00BB2E0E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 xml:space="preserve">: </w:t>
            </w:r>
            <w:r w:rsidR="0014750D" w:rsidRPr="00497808">
              <w:rPr>
                <w:rFonts w:asciiTheme="majorHAnsi" w:eastAsiaTheme="minorHAnsi" w:hAnsiTheme="majorHAnsi" w:cstheme="majorHAnsi"/>
                <w:b/>
                <w:color w:val="FFFFFF" w:themeColor="background1"/>
                <w:sz w:val="20"/>
                <w:lang w:eastAsia="en-US"/>
              </w:rPr>
              <w:t>Lessons Learnt</w:t>
            </w:r>
          </w:p>
        </w:tc>
      </w:tr>
      <w:tr w:rsidR="003C52B2" w:rsidRPr="00497808" w14:paraId="069DD85B" w14:textId="77777777" w:rsidTr="0014750D">
        <w:tc>
          <w:tcPr>
            <w:tcW w:w="5000" w:type="pct"/>
            <w:gridSpan w:val="2"/>
            <w:shd w:val="clear" w:color="auto" w:fill="auto"/>
          </w:tcPr>
          <w:p w14:paraId="3BB06CBD" w14:textId="597ED84B" w:rsidR="00A25C54" w:rsidRPr="00497808" w:rsidRDefault="00A25C54" w:rsidP="00A25C54">
            <w:pPr>
              <w:rPr>
                <w:rFonts w:cs="Arial"/>
                <w:color w:val="0070C0"/>
              </w:rPr>
            </w:pPr>
          </w:p>
          <w:p w14:paraId="531B3C72" w14:textId="77777777" w:rsidR="00A25C54" w:rsidRPr="00497808" w:rsidRDefault="00A25C54" w:rsidP="00A25C54">
            <w:pPr>
              <w:pStyle w:val="ListParagraph"/>
              <w:ind w:left="0"/>
              <w:rPr>
                <w:rFonts w:cs="Arial"/>
                <w:color w:val="0070C0"/>
              </w:rPr>
            </w:pPr>
          </w:p>
          <w:p w14:paraId="1545CA08" w14:textId="77777777" w:rsidR="003C52B2" w:rsidRPr="00497808" w:rsidRDefault="00665347" w:rsidP="00A25C54">
            <w:pPr>
              <w:pStyle w:val="ListParagraph"/>
              <w:ind w:left="0"/>
              <w:rPr>
                <w:rFonts w:cs="Arial"/>
                <w:color w:val="0070C0"/>
              </w:rPr>
            </w:pPr>
            <w:r w:rsidRPr="00497808">
              <w:rPr>
                <w:rFonts w:cs="Arial"/>
                <w:color w:val="0070C0"/>
              </w:rPr>
              <w:t xml:space="preserve">Lessons learned or lessons learnt are experiences distilled from a project that should be actively taken into account in future projects. </w:t>
            </w:r>
            <w:r w:rsidR="00270392" w:rsidRPr="00497808">
              <w:rPr>
                <w:rFonts w:cs="Arial"/>
                <w:color w:val="0070C0"/>
              </w:rPr>
              <w:t>Please insert the top 3 key learnings from the delivery of this change.</w:t>
            </w:r>
          </w:p>
          <w:p w14:paraId="3164574B" w14:textId="77777777" w:rsidR="00A25C54" w:rsidRPr="00497808" w:rsidRDefault="00A25C54" w:rsidP="00A25C54">
            <w:pPr>
              <w:pStyle w:val="ListParagraph"/>
              <w:ind w:left="0"/>
              <w:rPr>
                <w:rFonts w:cs="Arial"/>
                <w:color w:val="0070C0"/>
              </w:rPr>
            </w:pPr>
          </w:p>
          <w:p w14:paraId="7175AF89" w14:textId="5304A482" w:rsidR="00A25C54" w:rsidRPr="00497808" w:rsidRDefault="00497808" w:rsidP="00A25C54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Obtaining Delivery distribution list is best suited at least 3 weeks prior to delivery to accommodate any delays experienced due to annual leave</w:t>
            </w:r>
          </w:p>
          <w:p w14:paraId="609A3F22" w14:textId="77777777" w:rsidR="00A25C54" w:rsidRPr="00497808" w:rsidRDefault="00A25C54" w:rsidP="00A25C54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70C0"/>
              </w:rPr>
            </w:pPr>
            <w:r w:rsidRPr="00497808">
              <w:rPr>
                <w:rFonts w:cs="Arial"/>
                <w:color w:val="0070C0"/>
              </w:rPr>
              <w:t>Engagement of delivery teams is required early on to prevent delays of approving documentation</w:t>
            </w:r>
          </w:p>
          <w:p w14:paraId="1874F244" w14:textId="723C9AEC" w:rsidR="00A25C54" w:rsidRPr="00497808" w:rsidRDefault="00A25C54" w:rsidP="00A25C54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70C0"/>
              </w:rPr>
            </w:pPr>
            <w:r w:rsidRPr="00497808">
              <w:rPr>
                <w:rFonts w:cs="Arial"/>
                <w:color w:val="0070C0"/>
              </w:rPr>
              <w:t>Open and honest communication channels were very effective within Xoserve</w:t>
            </w:r>
          </w:p>
          <w:p w14:paraId="069DD85A" w14:textId="77777777" w:rsidR="00A25C54" w:rsidRPr="00497808" w:rsidRDefault="00A25C54" w:rsidP="00A25C54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069DD85C" w14:textId="77777777" w:rsidR="006A724E" w:rsidRPr="00497808" w:rsidRDefault="006A724E" w:rsidP="006A724E">
      <w:pPr>
        <w:pStyle w:val="XoParagraph"/>
      </w:pPr>
    </w:p>
    <w:p w14:paraId="069DD85D" w14:textId="77777777" w:rsidR="00C00F71" w:rsidRDefault="00B670E3" w:rsidP="00F06469">
      <w:pPr>
        <w:pStyle w:val="XoParagraph"/>
        <w:rPr>
          <w:rFonts w:cs="Arial"/>
          <w:b/>
          <w:sz w:val="22"/>
          <w:szCs w:val="22"/>
        </w:rPr>
      </w:pPr>
      <w:r w:rsidRPr="00497808">
        <w:rPr>
          <w:rFonts w:cs="Arial"/>
          <w:b/>
          <w:sz w:val="22"/>
          <w:szCs w:val="22"/>
        </w:rPr>
        <w:t>Please</w:t>
      </w:r>
      <w:r>
        <w:rPr>
          <w:rFonts w:cs="Arial"/>
          <w:b/>
          <w:sz w:val="22"/>
          <w:szCs w:val="22"/>
        </w:rPr>
        <w:t xml:space="preserve"> s</w:t>
      </w:r>
      <w:r w:rsidR="00F06469" w:rsidRPr="00066121">
        <w:rPr>
          <w:rFonts w:cs="Arial"/>
          <w:b/>
          <w:sz w:val="22"/>
          <w:szCs w:val="22"/>
        </w:rPr>
        <w:t xml:space="preserve">end </w:t>
      </w:r>
      <w:r>
        <w:rPr>
          <w:rFonts w:cs="Arial"/>
          <w:b/>
          <w:sz w:val="22"/>
          <w:szCs w:val="22"/>
        </w:rPr>
        <w:t>completed form</w:t>
      </w:r>
      <w:r w:rsidR="00F06469">
        <w:rPr>
          <w:rFonts w:cs="Arial"/>
          <w:b/>
          <w:sz w:val="22"/>
          <w:szCs w:val="22"/>
        </w:rPr>
        <w:t xml:space="preserve"> </w:t>
      </w:r>
      <w:r w:rsidR="00F06469" w:rsidRPr="00066121">
        <w:rPr>
          <w:rFonts w:cs="Arial"/>
          <w:b/>
          <w:sz w:val="22"/>
          <w:szCs w:val="22"/>
        </w:rPr>
        <w:t>to:</w:t>
      </w:r>
      <w:r w:rsidR="00F06469">
        <w:rPr>
          <w:rFonts w:cs="Arial"/>
          <w:b/>
          <w:sz w:val="22"/>
          <w:szCs w:val="22"/>
        </w:rPr>
        <w:t xml:space="preserve"> </w:t>
      </w:r>
      <w:hyperlink r:id="rId16" w:history="1">
        <w:r w:rsidR="00007514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069DD85E" w14:textId="77777777" w:rsidR="00F06469" w:rsidRPr="006A2AB2" w:rsidRDefault="00A970AB" w:rsidP="00F06469">
      <w:pPr>
        <w:pStyle w:val="XoParagraph"/>
        <w:rPr>
          <w:b/>
        </w:rPr>
      </w:pPr>
      <w:r w:rsidRPr="006A2AB2">
        <w:rPr>
          <w:b/>
        </w:rPr>
        <w:t xml:space="preserve">Document </w:t>
      </w:r>
      <w:r w:rsidR="00F06469" w:rsidRPr="006A2AB2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F06469" w:rsidRPr="00762849" w14:paraId="069DD864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9DD85F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069DD860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069DD861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069DD862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69DD863" w14:textId="77777777" w:rsidR="00F06469" w:rsidRPr="007B4360" w:rsidRDefault="00F06469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F06469" w:rsidRPr="007B4360" w14:paraId="069DD86A" w14:textId="77777777" w:rsidTr="00940D3C">
        <w:tc>
          <w:tcPr>
            <w:tcW w:w="902" w:type="pct"/>
          </w:tcPr>
          <w:p w14:paraId="069DD865" w14:textId="6160B711" w:rsidR="00F06469" w:rsidRPr="007B4360" w:rsidRDefault="00A25C54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69DD866" w14:textId="565BE61C" w:rsidR="00F06469" w:rsidRPr="007B4360" w:rsidRDefault="00A25C54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069DD867" w14:textId="1E979F55" w:rsidR="00F06469" w:rsidRPr="007B4360" w:rsidRDefault="00A25C54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30/08/18</w:t>
            </w:r>
          </w:p>
        </w:tc>
        <w:tc>
          <w:tcPr>
            <w:tcW w:w="763" w:type="pct"/>
          </w:tcPr>
          <w:p w14:paraId="069DD868" w14:textId="39C84D95" w:rsidR="00F06469" w:rsidRPr="007B4360" w:rsidRDefault="00A25C54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Duncan</w:t>
            </w:r>
          </w:p>
        </w:tc>
        <w:tc>
          <w:tcPr>
            <w:tcW w:w="1944" w:type="pct"/>
          </w:tcPr>
          <w:p w14:paraId="069DD869" w14:textId="54550E77" w:rsidR="00F06469" w:rsidRPr="007B4360" w:rsidRDefault="00A25C54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Draft</w:t>
            </w:r>
          </w:p>
        </w:tc>
      </w:tr>
      <w:tr w:rsidR="00C9116A" w:rsidRPr="007B4360" w14:paraId="4832230A" w14:textId="77777777" w:rsidTr="00940D3C">
        <w:tc>
          <w:tcPr>
            <w:tcW w:w="902" w:type="pct"/>
          </w:tcPr>
          <w:p w14:paraId="4B769CC8" w14:textId="5F3FFF70" w:rsidR="00C9116A" w:rsidRDefault="00C9116A" w:rsidP="00940D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35" w:type="pct"/>
          </w:tcPr>
          <w:p w14:paraId="20697AFA" w14:textId="353749CC" w:rsidR="00C9116A" w:rsidRDefault="00C9116A" w:rsidP="00940D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Approved</w:t>
            </w:r>
          </w:p>
        </w:tc>
        <w:tc>
          <w:tcPr>
            <w:tcW w:w="556" w:type="pct"/>
          </w:tcPr>
          <w:p w14:paraId="099F85E4" w14:textId="2516F658" w:rsidR="00C9116A" w:rsidRDefault="00C9116A" w:rsidP="00940D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03/09/18</w:t>
            </w:r>
          </w:p>
        </w:tc>
        <w:tc>
          <w:tcPr>
            <w:tcW w:w="763" w:type="pct"/>
          </w:tcPr>
          <w:p w14:paraId="47E030BA" w14:textId="7CF562A2" w:rsidR="00C9116A" w:rsidRDefault="00C9116A" w:rsidP="00940D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Jo Duncan</w:t>
            </w:r>
          </w:p>
        </w:tc>
        <w:tc>
          <w:tcPr>
            <w:tcW w:w="1944" w:type="pct"/>
          </w:tcPr>
          <w:p w14:paraId="7EBA328C" w14:textId="6CD5EACB" w:rsidR="00C9116A" w:rsidRDefault="00C9116A" w:rsidP="00940D3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Internally approved</w:t>
            </w:r>
          </w:p>
        </w:tc>
      </w:tr>
    </w:tbl>
    <w:p w14:paraId="069DD86B" w14:textId="77777777" w:rsidR="006A2AB2" w:rsidRDefault="006A2AB2" w:rsidP="00BA3F97">
      <w:pPr>
        <w:pStyle w:val="XoParagraph"/>
      </w:pPr>
    </w:p>
    <w:p w14:paraId="069DD86C" w14:textId="77777777" w:rsidR="00BA3F97" w:rsidRPr="006A2AB2" w:rsidRDefault="00BA3F97" w:rsidP="00BA3F97">
      <w:pPr>
        <w:pStyle w:val="XoParagraph"/>
        <w:rPr>
          <w:b/>
        </w:rPr>
      </w:pPr>
      <w:r w:rsidRPr="006A2AB2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BA3F97" w:rsidRPr="00762849" w14:paraId="069DD872" w14:textId="77777777" w:rsidTr="00206135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69DD86D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69DD86E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69DD86F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69DD870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69DD871" w14:textId="77777777" w:rsidR="00BA3F97" w:rsidRPr="007B4360" w:rsidRDefault="00BA3F97" w:rsidP="00206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BA3F97" w:rsidRPr="00762849" w14:paraId="069DD878" w14:textId="77777777" w:rsidTr="001238B5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69DD873" w14:textId="77777777" w:rsidR="00BA3F97" w:rsidRPr="00F710DC" w:rsidRDefault="00DE449E" w:rsidP="0020613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69DD874" w14:textId="77777777" w:rsidR="00BA3F97" w:rsidRPr="00F710DC" w:rsidRDefault="00DE449E" w:rsidP="001238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69DD875" w14:textId="77777777" w:rsidR="00BA3F97" w:rsidRPr="00F710DC" w:rsidRDefault="00DE449E" w:rsidP="00DE449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069DD876" w14:textId="77777777" w:rsidR="00BA3F97" w:rsidRPr="00F710DC" w:rsidRDefault="00B91D4A" w:rsidP="00206135">
            <w:pPr>
              <w:jc w:val="center"/>
              <w:rPr>
                <w:rFonts w:cs="Arial"/>
                <w:sz w:val="20"/>
              </w:rPr>
            </w:pPr>
            <w:r w:rsidRPr="00F710DC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069DD877" w14:textId="77777777" w:rsidR="00BA3F97" w:rsidRPr="00F710DC" w:rsidRDefault="00DE449E" w:rsidP="00B91D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Template approved at ChMC on 11</w:t>
            </w:r>
            <w:r w:rsidRPr="00DE449E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July</w:t>
            </w:r>
          </w:p>
        </w:tc>
      </w:tr>
    </w:tbl>
    <w:p w14:paraId="069DD879" w14:textId="77777777" w:rsidR="00EA3B18" w:rsidRDefault="00EA3B18" w:rsidP="003909AF">
      <w:pPr>
        <w:pStyle w:val="XoParagraph"/>
      </w:pPr>
    </w:p>
    <w:sectPr w:rsidR="00EA3B18" w:rsidSect="00883321">
      <w:headerReference w:type="even" r:id="rId17"/>
      <w:head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88F6" w14:textId="77777777" w:rsidR="00982E3A" w:rsidRDefault="00982E3A" w:rsidP="00913EF2">
      <w:pPr>
        <w:spacing w:after="0" w:line="240" w:lineRule="auto"/>
      </w:pPr>
      <w:r>
        <w:separator/>
      </w:r>
    </w:p>
  </w:endnote>
  <w:endnote w:type="continuationSeparator" w:id="0">
    <w:p w14:paraId="7D5FEE2F" w14:textId="77777777" w:rsidR="00982E3A" w:rsidRDefault="00982E3A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D883" w14:textId="77777777" w:rsidR="003909AF" w:rsidRDefault="00DE449E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5782" w14:textId="77777777" w:rsidR="00982E3A" w:rsidRDefault="00982E3A" w:rsidP="00913EF2">
      <w:pPr>
        <w:spacing w:after="0" w:line="240" w:lineRule="auto"/>
      </w:pPr>
      <w:r>
        <w:separator/>
      </w:r>
    </w:p>
  </w:footnote>
  <w:footnote w:type="continuationSeparator" w:id="0">
    <w:p w14:paraId="5D343F0C" w14:textId="77777777" w:rsidR="00982E3A" w:rsidRDefault="00982E3A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D880" w14:textId="77777777" w:rsidR="003C63DC" w:rsidRDefault="00982E3A">
    <w:pPr>
      <w:pStyle w:val="Header"/>
    </w:pPr>
    <w:r>
      <w:rPr>
        <w:noProof/>
        <w:lang w:eastAsia="en-GB"/>
      </w:rPr>
      <w:pict w14:anchorId="069DD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D881" w14:textId="77777777" w:rsidR="003C63DC" w:rsidRDefault="00982E3A">
    <w:pPr>
      <w:pStyle w:val="Header"/>
    </w:pPr>
    <w:r>
      <w:rPr>
        <w:noProof/>
        <w:lang w:eastAsia="en-GB"/>
      </w:rPr>
      <w:pict w14:anchorId="069DD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D882" w14:textId="77777777" w:rsidR="003C63DC" w:rsidRDefault="00982E3A">
    <w:pPr>
      <w:pStyle w:val="Header"/>
    </w:pPr>
    <w:r>
      <w:rPr>
        <w:noProof/>
        <w:lang w:eastAsia="en-GB"/>
      </w:rPr>
      <w:pict w14:anchorId="069D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2E6"/>
    <w:multiLevelType w:val="hybridMultilevel"/>
    <w:tmpl w:val="B82624D2"/>
    <w:lvl w:ilvl="0" w:tplc="4E32603E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7550"/>
    <w:multiLevelType w:val="hybridMultilevel"/>
    <w:tmpl w:val="7410FBC0"/>
    <w:lvl w:ilvl="0" w:tplc="AE6AC8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86465"/>
    <w:multiLevelType w:val="hybridMultilevel"/>
    <w:tmpl w:val="E9B2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031D1"/>
    <w:rsid w:val="00007514"/>
    <w:rsid w:val="000615F3"/>
    <w:rsid w:val="00066BCA"/>
    <w:rsid w:val="00084757"/>
    <w:rsid w:val="00093D9D"/>
    <w:rsid w:val="000A2BDC"/>
    <w:rsid w:val="000C79EE"/>
    <w:rsid w:val="000D66D3"/>
    <w:rsid w:val="000E3D49"/>
    <w:rsid w:val="000E72A0"/>
    <w:rsid w:val="00102AAA"/>
    <w:rsid w:val="001232E4"/>
    <w:rsid w:val="001238B5"/>
    <w:rsid w:val="001239C2"/>
    <w:rsid w:val="001300EA"/>
    <w:rsid w:val="001366DB"/>
    <w:rsid w:val="001428A1"/>
    <w:rsid w:val="00146769"/>
    <w:rsid w:val="0014750D"/>
    <w:rsid w:val="00160739"/>
    <w:rsid w:val="00173D39"/>
    <w:rsid w:val="00177285"/>
    <w:rsid w:val="00186FB8"/>
    <w:rsid w:val="00192B0D"/>
    <w:rsid w:val="001E6E54"/>
    <w:rsid w:val="002022FB"/>
    <w:rsid w:val="00203626"/>
    <w:rsid w:val="00214089"/>
    <w:rsid w:val="00220242"/>
    <w:rsid w:val="002260EF"/>
    <w:rsid w:val="002427E0"/>
    <w:rsid w:val="002568E0"/>
    <w:rsid w:val="00270392"/>
    <w:rsid w:val="00292206"/>
    <w:rsid w:val="002B5CD2"/>
    <w:rsid w:val="002E2C40"/>
    <w:rsid w:val="003160F7"/>
    <w:rsid w:val="003612A8"/>
    <w:rsid w:val="003754AC"/>
    <w:rsid w:val="0037590B"/>
    <w:rsid w:val="003909AF"/>
    <w:rsid w:val="003B40D3"/>
    <w:rsid w:val="003C2945"/>
    <w:rsid w:val="003C3FD8"/>
    <w:rsid w:val="003C52B2"/>
    <w:rsid w:val="003C63DC"/>
    <w:rsid w:val="003D0C73"/>
    <w:rsid w:val="003D4B81"/>
    <w:rsid w:val="00403557"/>
    <w:rsid w:val="00422FAA"/>
    <w:rsid w:val="00427622"/>
    <w:rsid w:val="00456196"/>
    <w:rsid w:val="0047743A"/>
    <w:rsid w:val="00487297"/>
    <w:rsid w:val="004935D2"/>
    <w:rsid w:val="00497808"/>
    <w:rsid w:val="004B2B81"/>
    <w:rsid w:val="004D68D0"/>
    <w:rsid w:val="004E7EC9"/>
    <w:rsid w:val="004F2636"/>
    <w:rsid w:val="004F5B68"/>
    <w:rsid w:val="00523C15"/>
    <w:rsid w:val="00530351"/>
    <w:rsid w:val="00532D52"/>
    <w:rsid w:val="005433F6"/>
    <w:rsid w:val="005448E9"/>
    <w:rsid w:val="00562856"/>
    <w:rsid w:val="00567794"/>
    <w:rsid w:val="00590A4B"/>
    <w:rsid w:val="005C515F"/>
    <w:rsid w:val="005D3A53"/>
    <w:rsid w:val="005D6962"/>
    <w:rsid w:val="005E045C"/>
    <w:rsid w:val="005F0DDF"/>
    <w:rsid w:val="005F2C1E"/>
    <w:rsid w:val="00611C25"/>
    <w:rsid w:val="006523DE"/>
    <w:rsid w:val="006546E8"/>
    <w:rsid w:val="006550CC"/>
    <w:rsid w:val="0065708E"/>
    <w:rsid w:val="00665347"/>
    <w:rsid w:val="00667FFD"/>
    <w:rsid w:val="00671608"/>
    <w:rsid w:val="00694E1F"/>
    <w:rsid w:val="006A16CB"/>
    <w:rsid w:val="006A2AB2"/>
    <w:rsid w:val="006A724E"/>
    <w:rsid w:val="006C30AD"/>
    <w:rsid w:val="006E4337"/>
    <w:rsid w:val="006F6DC7"/>
    <w:rsid w:val="00703D81"/>
    <w:rsid w:val="00703E45"/>
    <w:rsid w:val="0073463B"/>
    <w:rsid w:val="00752472"/>
    <w:rsid w:val="007540E3"/>
    <w:rsid w:val="00763AA0"/>
    <w:rsid w:val="00764267"/>
    <w:rsid w:val="00775FAA"/>
    <w:rsid w:val="00795816"/>
    <w:rsid w:val="007A7877"/>
    <w:rsid w:val="007B4360"/>
    <w:rsid w:val="007C5A34"/>
    <w:rsid w:val="007D7EAF"/>
    <w:rsid w:val="007F0246"/>
    <w:rsid w:val="0081575C"/>
    <w:rsid w:val="00816C17"/>
    <w:rsid w:val="008349C5"/>
    <w:rsid w:val="00834C17"/>
    <w:rsid w:val="00883321"/>
    <w:rsid w:val="00890399"/>
    <w:rsid w:val="008A123A"/>
    <w:rsid w:val="008D217D"/>
    <w:rsid w:val="008D7134"/>
    <w:rsid w:val="008E3A3A"/>
    <w:rsid w:val="008E3FB0"/>
    <w:rsid w:val="00913EF2"/>
    <w:rsid w:val="00982E3A"/>
    <w:rsid w:val="00985773"/>
    <w:rsid w:val="00987281"/>
    <w:rsid w:val="009A5E31"/>
    <w:rsid w:val="009B0917"/>
    <w:rsid w:val="009B0C30"/>
    <w:rsid w:val="009C272A"/>
    <w:rsid w:val="009D0DF1"/>
    <w:rsid w:val="009E1CE9"/>
    <w:rsid w:val="00A07A83"/>
    <w:rsid w:val="00A10304"/>
    <w:rsid w:val="00A1080B"/>
    <w:rsid w:val="00A20C75"/>
    <w:rsid w:val="00A25C54"/>
    <w:rsid w:val="00A55A29"/>
    <w:rsid w:val="00A74C4A"/>
    <w:rsid w:val="00A92E78"/>
    <w:rsid w:val="00A970AB"/>
    <w:rsid w:val="00AA7058"/>
    <w:rsid w:val="00AC1AA5"/>
    <w:rsid w:val="00AC2008"/>
    <w:rsid w:val="00AC5A48"/>
    <w:rsid w:val="00AC6F36"/>
    <w:rsid w:val="00AD6B73"/>
    <w:rsid w:val="00AE5E62"/>
    <w:rsid w:val="00AF2238"/>
    <w:rsid w:val="00AF37F5"/>
    <w:rsid w:val="00B008E8"/>
    <w:rsid w:val="00B10D89"/>
    <w:rsid w:val="00B11A47"/>
    <w:rsid w:val="00B223A5"/>
    <w:rsid w:val="00B227BC"/>
    <w:rsid w:val="00B4169F"/>
    <w:rsid w:val="00B56B1A"/>
    <w:rsid w:val="00B670E3"/>
    <w:rsid w:val="00B72A9D"/>
    <w:rsid w:val="00B91D4A"/>
    <w:rsid w:val="00BA3F97"/>
    <w:rsid w:val="00BB2E0E"/>
    <w:rsid w:val="00BB5A00"/>
    <w:rsid w:val="00BC0814"/>
    <w:rsid w:val="00BC637F"/>
    <w:rsid w:val="00C00F71"/>
    <w:rsid w:val="00C07FCB"/>
    <w:rsid w:val="00C15E8B"/>
    <w:rsid w:val="00C179C9"/>
    <w:rsid w:val="00C263C7"/>
    <w:rsid w:val="00C27A17"/>
    <w:rsid w:val="00C34C4F"/>
    <w:rsid w:val="00C471ED"/>
    <w:rsid w:val="00C51D0F"/>
    <w:rsid w:val="00C710C7"/>
    <w:rsid w:val="00C90516"/>
    <w:rsid w:val="00C9116A"/>
    <w:rsid w:val="00CA1622"/>
    <w:rsid w:val="00CA4DB3"/>
    <w:rsid w:val="00CB70FA"/>
    <w:rsid w:val="00CD7096"/>
    <w:rsid w:val="00CE55B4"/>
    <w:rsid w:val="00D0145E"/>
    <w:rsid w:val="00D22D52"/>
    <w:rsid w:val="00D50E9A"/>
    <w:rsid w:val="00D5333F"/>
    <w:rsid w:val="00D57A27"/>
    <w:rsid w:val="00DD499D"/>
    <w:rsid w:val="00DD59C5"/>
    <w:rsid w:val="00DE449E"/>
    <w:rsid w:val="00E45364"/>
    <w:rsid w:val="00E469E0"/>
    <w:rsid w:val="00E50847"/>
    <w:rsid w:val="00E51D46"/>
    <w:rsid w:val="00EA3B18"/>
    <w:rsid w:val="00ED63F4"/>
    <w:rsid w:val="00EF5FD7"/>
    <w:rsid w:val="00F06469"/>
    <w:rsid w:val="00F105D9"/>
    <w:rsid w:val="00F13926"/>
    <w:rsid w:val="00F17027"/>
    <w:rsid w:val="00F52A52"/>
    <w:rsid w:val="00F710DC"/>
    <w:rsid w:val="00FC3EB7"/>
    <w:rsid w:val="00FD3B5A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9DD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5347"/>
    <w:rPr>
      <w:b/>
      <w:bCs/>
      <w:i w:val="0"/>
      <w:iCs w:val="0"/>
    </w:rPr>
  </w:style>
  <w:style w:type="character" w:customStyle="1" w:styleId="st1">
    <w:name w:val="st1"/>
    <w:basedOn w:val="DefaultParagraphFont"/>
    <w:rsid w:val="0066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x.xoserve.portfoliooffice@xoserv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asgovernance.co.uk/sites/default/files/ggf/page/2018-02/Service%20Description%20Table%20V4%20live%20clean%20for%20publication%2016%20Feb%202018.xlsx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oanne.duncan@xoserv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25F5511BCA4EA7B32F6CABC46939" ma:contentTypeVersion="0" ma:contentTypeDescription="Create a new document." ma:contentTypeScope="" ma:versionID="130191105bd0541e601e07ff564651d9">
  <xsd:schema xmlns:xsd="http://www.w3.org/2001/XMLSchema" xmlns:xs="http://www.w3.org/2001/XMLSchema" xmlns:p="http://schemas.microsoft.com/office/2006/metadata/properties" xmlns:ns2="c0f12137-e3ce-40fc-803f-ae76a605d3ee" targetNamespace="http://schemas.microsoft.com/office/2006/metadata/properties" ma:root="true" ma:fieldsID="b6ef2e895d0c56a935484625db51c960" ns2:_="">
    <xsd:import namespace="c0f12137-e3ce-40fc-803f-ae76a605d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12137-e3ce-40fc-803f-ae76a605d3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c0f12137-e3ce-40fc-803f-ae76a605d3ee">RX7SVKA5HK66-108-15227</_dlc_DocId>
    <_dlc_DocIdUrl xmlns="c0f12137-e3ce-40fc-803f-ae76a605d3ee">
      <Url>https://teams.nationalgrid.com/sites/XPO/Assurance/_layouts/DocIdRedir.aspx?ID=RX7SVKA5HK66-108-15227</Url>
      <Description>RX7SVKA5HK66-108-15227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5096-B7F2-47C3-A247-CAAACA86C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12137-e3ce-40fc-803f-ae76a605d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schemas.microsoft.com/office/2006/metadata/properties"/>
    <ds:schemaRef ds:uri="c0f12137-e3ce-40fc-803f-ae76a605d3ee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D9F82B-80A7-4DED-90EF-46D0B5CB962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88B801-BEF0-4921-A998-65D993CA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National Grid</cp:lastModifiedBy>
  <cp:revision>3</cp:revision>
  <cp:lastPrinted>2018-06-06T10:14:00Z</cp:lastPrinted>
  <dcterms:created xsi:type="dcterms:W3CDTF">2018-09-04T13:16:00Z</dcterms:created>
  <dcterms:modified xsi:type="dcterms:W3CDTF">2018-10-29T09:18:00Z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0x010100314125F5511BCA4EA7B32F6CABC46939</vt:lpwstr>
  </property>
  <property fmtid="{D5CDD505-2E9C-101B-9397-08002B2CF9AE}" pid="3" name="_AdHocReviewCycleID">
    <vt:i4>-357665879</vt:i4>
  </property>
  <property fmtid="{D5CDD505-2E9C-101B-9397-08002B2CF9AE}" pid="4" name="_NewReviewCycle">
    <vt:lpwstr/>
  </property>
  <property fmtid="{D5CDD505-2E9C-101B-9397-08002B2CF9AE}" pid="5" name="_EmailSubject">
    <vt:lpwstr>CCRs 4354 &amp; 4328</vt:lpwstr>
  </property>
  <property fmtid="{D5CDD505-2E9C-101B-9397-08002B2CF9AE}" pid="6" name="_AuthorEmail">
    <vt:lpwstr>Joanne.Duncan@xoserve.com</vt:lpwstr>
  </property>
  <property fmtid="{D5CDD505-2E9C-101B-9397-08002B2CF9AE}" pid="7" name="_AuthorEmailDisplayName">
    <vt:lpwstr>Duncan, Joanne</vt:lpwstr>
  </property>
  <property fmtid="{D5CDD505-2E9C-101B-9397-08002B2CF9AE}" pid="8" name="_PreviousAdHocReviewCycleID">
    <vt:i4>-1136516929</vt:i4>
  </property>
  <property fmtid="{D5CDD505-2E9C-101B-9397-08002B2CF9AE}" pid="9" name="_ReviewingToolsShownOnce">
    <vt:lpwstr/>
  </property>
  <property fmtid="{D5CDD505-2E9C-101B-9397-08002B2CF9AE}" pid="10" name="_dlc_DocIdItemGuid">
    <vt:lpwstr>d2f65e43-d6de-4ace-bc64-68049fdf8483</vt:lpwstr>
  </property>
</Properties>
</file>