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51"/>
        <w:tblW w:w="0" w:type="auto"/>
        <w:tblLook w:val="04A0" w:firstRow="1" w:lastRow="0" w:firstColumn="1" w:lastColumn="0" w:noHBand="0" w:noVBand="1"/>
      </w:tblPr>
      <w:tblGrid>
        <w:gridCol w:w="1719"/>
        <w:gridCol w:w="1791"/>
        <w:gridCol w:w="1985"/>
        <w:gridCol w:w="2126"/>
        <w:gridCol w:w="2268"/>
        <w:gridCol w:w="1985"/>
        <w:gridCol w:w="2300"/>
      </w:tblGrid>
      <w:tr w:rsidR="00D143DF" w:rsidRPr="00D143DF" w:rsidTr="00D2627C">
        <w:trPr>
          <w:trHeight w:val="905"/>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Date</w:t>
            </w:r>
          </w:p>
        </w:tc>
        <w:tc>
          <w:tcPr>
            <w:tcW w:w="1791" w:type="dxa"/>
          </w:tcPr>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24/01/2018</w:t>
            </w:r>
          </w:p>
        </w:tc>
        <w:tc>
          <w:tcPr>
            <w:tcW w:w="1985" w:type="dxa"/>
          </w:tcPr>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Raised by (include contact details)</w:t>
            </w:r>
          </w:p>
        </w:tc>
        <w:tc>
          <w:tcPr>
            <w:tcW w:w="8679" w:type="dxa"/>
            <w:gridSpan w:val="4"/>
          </w:tcPr>
          <w:p w:rsidR="000A3FE7" w:rsidRPr="00A40217" w:rsidRDefault="000A3FE7" w:rsidP="000A3FE7">
            <w:pPr>
              <w:rPr>
                <w:rFonts w:ascii="Arial" w:hAnsi="Arial" w:cs="Arial"/>
                <w:sz w:val="18"/>
                <w:szCs w:val="18"/>
              </w:rPr>
            </w:pPr>
            <w:r w:rsidRPr="00A40217">
              <w:rPr>
                <w:rFonts w:ascii="Arial" w:hAnsi="Arial" w:cs="Arial"/>
                <w:sz w:val="18"/>
                <w:szCs w:val="18"/>
              </w:rPr>
              <w:t>Mark Bellman</w:t>
            </w:r>
          </w:p>
          <w:p w:rsidR="00D143DF" w:rsidRPr="00A40217" w:rsidRDefault="000A3FE7" w:rsidP="000A3FE7">
            <w:pPr>
              <w:rPr>
                <w:rFonts w:ascii="Arial" w:hAnsi="Arial" w:cs="Arial"/>
                <w:sz w:val="18"/>
                <w:szCs w:val="18"/>
              </w:rPr>
            </w:pPr>
            <w:r w:rsidRPr="00A40217">
              <w:rPr>
                <w:rFonts w:ascii="Arial" w:hAnsi="Arial" w:cs="Arial"/>
                <w:sz w:val="18"/>
                <w:szCs w:val="18"/>
              </w:rPr>
              <w:t xml:space="preserve">Scottish Power </w:t>
            </w:r>
            <w:r w:rsidRPr="00A40217">
              <w:rPr>
                <w:rFonts w:ascii="Arial" w:eastAsia="Times New Roman" w:hAnsi="Arial" w:cs="Arial"/>
                <w:sz w:val="18"/>
                <w:szCs w:val="18"/>
              </w:rPr>
              <w:t xml:space="preserve">Tel: </w:t>
            </w:r>
            <w:r w:rsidR="00A40217" w:rsidRPr="00A40217">
              <w:rPr>
                <w:rFonts w:ascii="Arial" w:eastAsia="Times New Roman" w:hAnsi="Arial" w:cs="Arial"/>
                <w:sz w:val="18"/>
                <w:szCs w:val="18"/>
              </w:rPr>
              <w:t xml:space="preserve"> </w:t>
            </w:r>
            <w:r w:rsidR="00A40217" w:rsidRPr="00A40217">
              <w:rPr>
                <w:rFonts w:ascii="Arial" w:eastAsia="Times New Roman" w:hAnsi="Arial" w:cs="Arial"/>
                <w:sz w:val="18"/>
                <w:szCs w:val="18"/>
              </w:rPr>
              <w:t>07841 523648</w:t>
            </w:r>
          </w:p>
          <w:p w:rsidR="000A3FE7" w:rsidRPr="00D143DF" w:rsidRDefault="000A3FE7" w:rsidP="000A3FE7">
            <w:pPr>
              <w:rPr>
                <w:rFonts w:ascii="Arial" w:hAnsi="Arial" w:cs="Arial"/>
                <w:sz w:val="18"/>
                <w:szCs w:val="18"/>
              </w:rPr>
            </w:pPr>
            <w:r w:rsidRPr="00A40217">
              <w:rPr>
                <w:rFonts w:ascii="Arial" w:hAnsi="Arial" w:cs="Arial"/>
                <w:sz w:val="18"/>
                <w:szCs w:val="18"/>
              </w:rPr>
              <w:t>Mark.Bellman@dataserve-uk.com</w:t>
            </w:r>
            <w:bookmarkStart w:id="0" w:name="_GoBack"/>
            <w:bookmarkEnd w:id="0"/>
          </w:p>
        </w:tc>
      </w:tr>
      <w:tr w:rsidR="00D143DF" w:rsidRPr="00D143DF" w:rsidTr="00D2627C">
        <w:trPr>
          <w:trHeight w:val="832"/>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There is a risk that…</w:t>
            </w:r>
          </w:p>
          <w:p w:rsidR="00D143DF" w:rsidRPr="00D143DF" w:rsidRDefault="00D143DF" w:rsidP="00D143DF">
            <w:pPr>
              <w:rPr>
                <w:rFonts w:ascii="Arial" w:hAnsi="Arial" w:cs="Arial"/>
                <w:b/>
                <w:sz w:val="18"/>
                <w:szCs w:val="18"/>
              </w:rPr>
            </w:pPr>
            <w:r w:rsidRPr="00D143DF">
              <w:rPr>
                <w:rFonts w:ascii="Arial" w:hAnsi="Arial" w:cs="Arial"/>
                <w:b/>
                <w:sz w:val="18"/>
                <w:szCs w:val="18"/>
              </w:rPr>
              <w:t>(Risk Description)</w:t>
            </w:r>
          </w:p>
        </w:tc>
        <w:tc>
          <w:tcPr>
            <w:tcW w:w="12455" w:type="dxa"/>
            <w:gridSpan w:val="6"/>
          </w:tcPr>
          <w:p w:rsidR="00D143DF" w:rsidRPr="00D143DF" w:rsidRDefault="00D143DF" w:rsidP="00D143DF">
            <w:pPr>
              <w:rPr>
                <w:rFonts w:ascii="Arial" w:hAnsi="Arial" w:cs="Arial"/>
                <w:sz w:val="18"/>
                <w:szCs w:val="18"/>
              </w:rPr>
            </w:pPr>
          </w:p>
          <w:p w:rsidR="00D143DF" w:rsidRPr="00D143DF" w:rsidRDefault="00D143DF" w:rsidP="00D143DF">
            <w:pPr>
              <w:rPr>
                <w:rFonts w:ascii="Arial" w:hAnsi="Arial" w:cs="Arial"/>
                <w:sz w:val="18"/>
                <w:szCs w:val="18"/>
              </w:rPr>
            </w:pPr>
            <w:r w:rsidRPr="00D143DF">
              <w:rPr>
                <w:rFonts w:ascii="Arial" w:hAnsi="Arial" w:cs="Arial"/>
                <w:sz w:val="18"/>
                <w:szCs w:val="18"/>
              </w:rPr>
              <w:t>There is a risk that across the scale, the use of standard correction factors for domestic meters leads to incorrect attribution of energy.</w:t>
            </w:r>
          </w:p>
          <w:p w:rsidR="00D143DF" w:rsidRPr="00D143DF" w:rsidRDefault="00D143DF" w:rsidP="00D143DF">
            <w:pPr>
              <w:rPr>
                <w:rFonts w:ascii="Arial" w:hAnsi="Arial" w:cs="Arial"/>
                <w:sz w:val="18"/>
                <w:szCs w:val="18"/>
              </w:rPr>
            </w:pPr>
          </w:p>
        </w:tc>
      </w:tr>
      <w:tr w:rsidR="00D143DF" w:rsidRPr="00D143DF" w:rsidTr="00D2627C">
        <w:trPr>
          <w:trHeight w:val="844"/>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 xml:space="preserve">Because of… </w:t>
            </w:r>
          </w:p>
          <w:p w:rsidR="00D143DF" w:rsidRPr="00D143DF" w:rsidRDefault="00D143DF" w:rsidP="00D143DF">
            <w:pPr>
              <w:rPr>
                <w:rFonts w:ascii="Arial" w:hAnsi="Arial" w:cs="Arial"/>
                <w:b/>
                <w:sz w:val="18"/>
                <w:szCs w:val="18"/>
              </w:rPr>
            </w:pPr>
            <w:r w:rsidRPr="00D143DF">
              <w:rPr>
                <w:rFonts w:ascii="Arial" w:hAnsi="Arial" w:cs="Arial"/>
                <w:b/>
                <w:sz w:val="18"/>
                <w:szCs w:val="18"/>
              </w:rPr>
              <w:t>(Cause)</w:t>
            </w:r>
          </w:p>
        </w:tc>
        <w:tc>
          <w:tcPr>
            <w:tcW w:w="12455" w:type="dxa"/>
            <w:gridSpan w:val="6"/>
          </w:tcPr>
          <w:p w:rsidR="00D143DF" w:rsidRPr="00D143DF" w:rsidRDefault="00D143DF" w:rsidP="00D143DF">
            <w:pPr>
              <w:rPr>
                <w:rFonts w:ascii="Arial" w:hAnsi="Arial" w:cs="Arial"/>
                <w:sz w:val="18"/>
                <w:szCs w:val="18"/>
              </w:rPr>
            </w:pPr>
          </w:p>
          <w:p w:rsidR="00D143DF" w:rsidRPr="00D143DF" w:rsidRDefault="00D143DF" w:rsidP="00D143DF">
            <w:pPr>
              <w:rPr>
                <w:rFonts w:ascii="Arial" w:hAnsi="Arial" w:cs="Arial"/>
                <w:sz w:val="18"/>
                <w:szCs w:val="18"/>
              </w:rPr>
            </w:pPr>
            <w:r w:rsidRPr="00D143DF">
              <w:rPr>
                <w:rFonts w:ascii="Arial" w:hAnsi="Arial" w:cs="Arial"/>
                <w:sz w:val="18"/>
                <w:szCs w:val="18"/>
              </w:rPr>
              <w:t>Standard correction factors don’t necessarily account for all variations of temperature and pressure differences.</w:t>
            </w:r>
          </w:p>
        </w:tc>
      </w:tr>
      <w:tr w:rsidR="00D143DF" w:rsidRPr="00D143DF" w:rsidTr="00D2627C">
        <w:trPr>
          <w:trHeight w:val="983"/>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 xml:space="preserve">Leading to… </w:t>
            </w:r>
          </w:p>
          <w:p w:rsidR="00D143DF" w:rsidRPr="00D143DF" w:rsidRDefault="00D143DF" w:rsidP="00D143DF">
            <w:pPr>
              <w:rPr>
                <w:rFonts w:ascii="Arial" w:hAnsi="Arial" w:cs="Arial"/>
                <w:b/>
                <w:sz w:val="18"/>
                <w:szCs w:val="18"/>
              </w:rPr>
            </w:pPr>
            <w:r w:rsidRPr="00D143DF">
              <w:rPr>
                <w:rFonts w:ascii="Arial" w:hAnsi="Arial" w:cs="Arial"/>
                <w:b/>
                <w:sz w:val="18"/>
                <w:szCs w:val="18"/>
              </w:rPr>
              <w:t>(consequence)</w:t>
            </w:r>
          </w:p>
        </w:tc>
        <w:tc>
          <w:tcPr>
            <w:tcW w:w="12455" w:type="dxa"/>
            <w:gridSpan w:val="6"/>
          </w:tcPr>
          <w:p w:rsidR="00D143DF" w:rsidRPr="00D143DF" w:rsidRDefault="00D143DF" w:rsidP="00D143DF">
            <w:pPr>
              <w:rPr>
                <w:rFonts w:ascii="Arial" w:hAnsi="Arial" w:cs="Arial"/>
                <w:sz w:val="18"/>
                <w:szCs w:val="18"/>
              </w:rPr>
            </w:pPr>
          </w:p>
          <w:p w:rsidR="00D143DF" w:rsidRPr="00D143DF" w:rsidRDefault="00D143DF" w:rsidP="00D143DF">
            <w:pPr>
              <w:rPr>
                <w:rFonts w:ascii="Arial" w:hAnsi="Arial" w:cs="Arial"/>
                <w:sz w:val="18"/>
                <w:szCs w:val="18"/>
              </w:rPr>
            </w:pPr>
            <w:r w:rsidRPr="00D143DF">
              <w:rPr>
                <w:rFonts w:ascii="Arial" w:hAnsi="Arial" w:cs="Arial"/>
                <w:sz w:val="18"/>
                <w:szCs w:val="18"/>
              </w:rPr>
              <w:t>Incorrect settlement energy being recorded across the scale.</w:t>
            </w:r>
          </w:p>
        </w:tc>
      </w:tr>
      <w:tr w:rsidR="00D143DF" w:rsidRPr="00D143DF" w:rsidTr="00D2627C">
        <w:trPr>
          <w:trHeight w:val="859"/>
        </w:trPr>
        <w:tc>
          <w:tcPr>
            <w:tcW w:w="1719" w:type="dxa"/>
            <w:vMerge w:val="restart"/>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Risk Scores</w:t>
            </w:r>
          </w:p>
        </w:tc>
        <w:tc>
          <w:tcPr>
            <w:tcW w:w="1791" w:type="dxa"/>
          </w:tcPr>
          <w:p w:rsidR="00D143DF" w:rsidRPr="00D143DF" w:rsidRDefault="00D143DF" w:rsidP="00D143DF">
            <w:pPr>
              <w:rPr>
                <w:rFonts w:ascii="Arial" w:hAnsi="Arial" w:cs="Arial"/>
                <w:b/>
                <w:sz w:val="18"/>
                <w:szCs w:val="18"/>
              </w:rPr>
            </w:pPr>
          </w:p>
        </w:tc>
        <w:tc>
          <w:tcPr>
            <w:tcW w:w="1985" w:type="dxa"/>
          </w:tcPr>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Throughput (1-5)</w:t>
            </w:r>
          </w:p>
        </w:tc>
        <w:tc>
          <w:tcPr>
            <w:tcW w:w="2126" w:type="dxa"/>
          </w:tcPr>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Probability (1-5)</w:t>
            </w:r>
          </w:p>
        </w:tc>
        <w:tc>
          <w:tcPr>
            <w:tcW w:w="2268" w:type="dxa"/>
          </w:tcPr>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Control (Not Effective, Partially Effective, Effective)</w:t>
            </w:r>
          </w:p>
          <w:p w:rsidR="00D143DF" w:rsidRPr="00D143DF" w:rsidRDefault="00D143DF" w:rsidP="00D143DF">
            <w:pPr>
              <w:jc w:val="center"/>
              <w:rPr>
                <w:rFonts w:ascii="Arial" w:hAnsi="Arial" w:cs="Arial"/>
                <w:b/>
                <w:sz w:val="18"/>
                <w:szCs w:val="18"/>
              </w:rPr>
            </w:pPr>
          </w:p>
        </w:tc>
        <w:tc>
          <w:tcPr>
            <w:tcW w:w="1985" w:type="dxa"/>
          </w:tcPr>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Gross Risk</w:t>
            </w:r>
          </w:p>
        </w:tc>
        <w:tc>
          <w:tcPr>
            <w:tcW w:w="2300" w:type="dxa"/>
          </w:tcPr>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Total (Net Risk)</w:t>
            </w:r>
          </w:p>
        </w:tc>
      </w:tr>
      <w:tr w:rsidR="00D143DF" w:rsidRPr="00D143DF" w:rsidTr="00D2627C">
        <w:trPr>
          <w:trHeight w:val="676"/>
        </w:trPr>
        <w:tc>
          <w:tcPr>
            <w:tcW w:w="1719" w:type="dxa"/>
            <w:vMerge/>
          </w:tcPr>
          <w:p w:rsidR="00D143DF" w:rsidRPr="00D143DF" w:rsidRDefault="00D143DF" w:rsidP="00D143DF">
            <w:pPr>
              <w:rPr>
                <w:rFonts w:ascii="Arial" w:hAnsi="Arial" w:cs="Arial"/>
                <w:b/>
                <w:sz w:val="18"/>
                <w:szCs w:val="18"/>
              </w:rPr>
            </w:pPr>
          </w:p>
        </w:tc>
        <w:tc>
          <w:tcPr>
            <w:tcW w:w="1791"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Current</w:t>
            </w:r>
          </w:p>
        </w:tc>
        <w:tc>
          <w:tcPr>
            <w:tcW w:w="1985" w:type="dxa"/>
          </w:tcPr>
          <w:p w:rsidR="00D143DF" w:rsidRPr="00D143DF" w:rsidRDefault="00D143DF" w:rsidP="00D143DF">
            <w:pPr>
              <w:jc w:val="center"/>
              <w:rPr>
                <w:rFonts w:ascii="Arial" w:hAnsi="Arial" w:cs="Arial"/>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3</w:t>
            </w:r>
          </w:p>
        </w:tc>
        <w:tc>
          <w:tcPr>
            <w:tcW w:w="2126" w:type="dxa"/>
          </w:tcPr>
          <w:p w:rsidR="00D143DF" w:rsidRPr="00D143DF" w:rsidRDefault="00D143DF" w:rsidP="00D143DF">
            <w:pPr>
              <w:jc w:val="center"/>
              <w:rPr>
                <w:rFonts w:ascii="Arial" w:hAnsi="Arial" w:cs="Arial"/>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4</w:t>
            </w:r>
          </w:p>
        </w:tc>
        <w:tc>
          <w:tcPr>
            <w:tcW w:w="2268" w:type="dxa"/>
          </w:tcPr>
          <w:p w:rsidR="00D143DF" w:rsidRPr="00D143DF" w:rsidRDefault="00D143DF" w:rsidP="00D143DF">
            <w:pPr>
              <w:jc w:val="center"/>
              <w:rPr>
                <w:rFonts w:ascii="Arial" w:hAnsi="Arial" w:cs="Arial"/>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Not effective</w:t>
            </w:r>
          </w:p>
        </w:tc>
        <w:tc>
          <w:tcPr>
            <w:tcW w:w="1985" w:type="dxa"/>
          </w:tcPr>
          <w:p w:rsidR="00D143DF" w:rsidRPr="00D143DF" w:rsidRDefault="00D143DF" w:rsidP="00D143DF">
            <w:pPr>
              <w:jc w:val="center"/>
              <w:rPr>
                <w:rFonts w:ascii="Arial" w:hAnsi="Arial" w:cs="Arial"/>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12</w:t>
            </w:r>
          </w:p>
        </w:tc>
        <w:tc>
          <w:tcPr>
            <w:tcW w:w="2300" w:type="dxa"/>
          </w:tcPr>
          <w:p w:rsidR="00D143DF" w:rsidRPr="00D143DF" w:rsidRDefault="00D143DF" w:rsidP="00D143DF">
            <w:pPr>
              <w:jc w:val="center"/>
              <w:rPr>
                <w:rFonts w:ascii="Arial" w:hAnsi="Arial" w:cs="Arial"/>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12</w:t>
            </w:r>
          </w:p>
        </w:tc>
      </w:tr>
      <w:tr w:rsidR="00D143DF" w:rsidRPr="00D143DF" w:rsidTr="00D2627C">
        <w:trPr>
          <w:trHeight w:val="685"/>
        </w:trPr>
        <w:tc>
          <w:tcPr>
            <w:tcW w:w="1719" w:type="dxa"/>
            <w:vMerge/>
          </w:tcPr>
          <w:p w:rsidR="00D143DF" w:rsidRPr="00D143DF" w:rsidRDefault="00D143DF" w:rsidP="00D143DF">
            <w:pPr>
              <w:rPr>
                <w:rFonts w:ascii="Arial" w:hAnsi="Arial" w:cs="Arial"/>
                <w:b/>
                <w:sz w:val="18"/>
                <w:szCs w:val="18"/>
              </w:rPr>
            </w:pPr>
          </w:p>
        </w:tc>
        <w:tc>
          <w:tcPr>
            <w:tcW w:w="1791"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Target</w:t>
            </w:r>
          </w:p>
        </w:tc>
        <w:tc>
          <w:tcPr>
            <w:tcW w:w="1985" w:type="dxa"/>
          </w:tcPr>
          <w:p w:rsidR="00D143DF" w:rsidRPr="00D143DF" w:rsidRDefault="00D143DF" w:rsidP="00D143DF">
            <w:pPr>
              <w:jc w:val="center"/>
              <w:rPr>
                <w:rFonts w:ascii="Arial" w:hAnsi="Arial" w:cs="Arial"/>
                <w:sz w:val="18"/>
                <w:szCs w:val="18"/>
              </w:rPr>
            </w:pPr>
          </w:p>
        </w:tc>
        <w:tc>
          <w:tcPr>
            <w:tcW w:w="2126" w:type="dxa"/>
          </w:tcPr>
          <w:p w:rsidR="00D143DF" w:rsidRPr="00D143DF" w:rsidRDefault="00D143DF" w:rsidP="00D143DF">
            <w:pPr>
              <w:jc w:val="center"/>
              <w:rPr>
                <w:rFonts w:ascii="Arial" w:hAnsi="Arial" w:cs="Arial"/>
                <w:sz w:val="18"/>
                <w:szCs w:val="18"/>
              </w:rPr>
            </w:pPr>
          </w:p>
        </w:tc>
        <w:tc>
          <w:tcPr>
            <w:tcW w:w="2268" w:type="dxa"/>
          </w:tcPr>
          <w:p w:rsidR="00D143DF" w:rsidRPr="00D143DF" w:rsidRDefault="00D143DF" w:rsidP="00D143DF">
            <w:pPr>
              <w:jc w:val="center"/>
              <w:rPr>
                <w:rFonts w:ascii="Arial" w:hAnsi="Arial" w:cs="Arial"/>
                <w:sz w:val="18"/>
                <w:szCs w:val="18"/>
              </w:rPr>
            </w:pPr>
          </w:p>
        </w:tc>
        <w:tc>
          <w:tcPr>
            <w:tcW w:w="1985" w:type="dxa"/>
          </w:tcPr>
          <w:p w:rsidR="00D143DF" w:rsidRPr="00D143DF" w:rsidRDefault="00D143DF" w:rsidP="00D143DF">
            <w:pPr>
              <w:jc w:val="center"/>
              <w:rPr>
                <w:rFonts w:ascii="Arial" w:hAnsi="Arial" w:cs="Arial"/>
                <w:sz w:val="18"/>
                <w:szCs w:val="18"/>
              </w:rPr>
            </w:pPr>
          </w:p>
        </w:tc>
        <w:tc>
          <w:tcPr>
            <w:tcW w:w="2300" w:type="dxa"/>
          </w:tcPr>
          <w:p w:rsidR="00D143DF" w:rsidRPr="00D143DF" w:rsidRDefault="00D143DF" w:rsidP="00D143DF">
            <w:pPr>
              <w:jc w:val="center"/>
              <w:rPr>
                <w:rFonts w:ascii="Arial" w:hAnsi="Arial" w:cs="Arial"/>
                <w:sz w:val="18"/>
                <w:szCs w:val="18"/>
              </w:rPr>
            </w:pPr>
          </w:p>
        </w:tc>
      </w:tr>
      <w:tr w:rsidR="00D143DF" w:rsidRPr="00D143DF" w:rsidTr="00D2627C">
        <w:trPr>
          <w:trHeight w:val="695"/>
        </w:trPr>
        <w:tc>
          <w:tcPr>
            <w:tcW w:w="1719" w:type="dxa"/>
            <w:vMerge/>
          </w:tcPr>
          <w:p w:rsidR="00D143DF" w:rsidRPr="00D143DF" w:rsidRDefault="00D143DF" w:rsidP="00D143DF">
            <w:pPr>
              <w:rPr>
                <w:rFonts w:ascii="Arial" w:hAnsi="Arial" w:cs="Arial"/>
                <w:b/>
                <w:sz w:val="18"/>
                <w:szCs w:val="18"/>
              </w:rPr>
            </w:pPr>
          </w:p>
        </w:tc>
        <w:tc>
          <w:tcPr>
            <w:tcW w:w="1791"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Inherent</w:t>
            </w:r>
          </w:p>
        </w:tc>
        <w:tc>
          <w:tcPr>
            <w:tcW w:w="1985" w:type="dxa"/>
          </w:tcPr>
          <w:p w:rsidR="00D143DF" w:rsidRPr="00D143DF" w:rsidRDefault="00D143DF" w:rsidP="00D143DF">
            <w:pPr>
              <w:jc w:val="center"/>
              <w:rPr>
                <w:rFonts w:ascii="Arial" w:hAnsi="Arial" w:cs="Arial"/>
                <w:sz w:val="18"/>
                <w:szCs w:val="18"/>
              </w:rPr>
            </w:pPr>
          </w:p>
        </w:tc>
        <w:tc>
          <w:tcPr>
            <w:tcW w:w="2126" w:type="dxa"/>
          </w:tcPr>
          <w:p w:rsidR="00D143DF" w:rsidRPr="00D143DF" w:rsidRDefault="00D143DF" w:rsidP="00D143DF">
            <w:pPr>
              <w:jc w:val="center"/>
              <w:rPr>
                <w:rFonts w:ascii="Arial" w:hAnsi="Arial" w:cs="Arial"/>
                <w:sz w:val="18"/>
                <w:szCs w:val="18"/>
              </w:rPr>
            </w:pPr>
          </w:p>
        </w:tc>
        <w:tc>
          <w:tcPr>
            <w:tcW w:w="2268" w:type="dxa"/>
          </w:tcPr>
          <w:p w:rsidR="00D143DF" w:rsidRPr="00D143DF" w:rsidRDefault="00D143DF" w:rsidP="00D143DF">
            <w:pPr>
              <w:jc w:val="center"/>
              <w:rPr>
                <w:rFonts w:ascii="Arial" w:hAnsi="Arial" w:cs="Arial"/>
                <w:sz w:val="18"/>
                <w:szCs w:val="18"/>
              </w:rPr>
            </w:pPr>
          </w:p>
        </w:tc>
        <w:tc>
          <w:tcPr>
            <w:tcW w:w="1985" w:type="dxa"/>
          </w:tcPr>
          <w:p w:rsidR="00D143DF" w:rsidRPr="00D143DF" w:rsidRDefault="00D143DF" w:rsidP="00D143DF">
            <w:pPr>
              <w:jc w:val="center"/>
              <w:rPr>
                <w:rFonts w:ascii="Arial" w:hAnsi="Arial" w:cs="Arial"/>
                <w:sz w:val="18"/>
                <w:szCs w:val="18"/>
              </w:rPr>
            </w:pPr>
          </w:p>
        </w:tc>
        <w:tc>
          <w:tcPr>
            <w:tcW w:w="2300" w:type="dxa"/>
          </w:tcPr>
          <w:p w:rsidR="00D143DF" w:rsidRPr="00D143DF" w:rsidRDefault="00D143DF" w:rsidP="00D143DF">
            <w:pPr>
              <w:jc w:val="center"/>
              <w:rPr>
                <w:rFonts w:ascii="Arial" w:hAnsi="Arial" w:cs="Arial"/>
                <w:sz w:val="18"/>
                <w:szCs w:val="18"/>
              </w:rPr>
            </w:pPr>
          </w:p>
        </w:tc>
      </w:tr>
      <w:tr w:rsidR="00D143DF" w:rsidRPr="00D143DF" w:rsidTr="00D2627C">
        <w:trPr>
          <w:trHeight w:val="1103"/>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Current Controls Identified - Explanation</w:t>
            </w:r>
          </w:p>
        </w:tc>
        <w:tc>
          <w:tcPr>
            <w:tcW w:w="3776" w:type="dxa"/>
            <w:gridSpan w:val="2"/>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sz w:val="18"/>
                <w:szCs w:val="18"/>
              </w:rPr>
            </w:pPr>
            <w:r w:rsidRPr="00D143DF">
              <w:rPr>
                <w:rFonts w:ascii="Arial" w:hAnsi="Arial" w:cs="Arial"/>
                <w:sz w:val="18"/>
                <w:szCs w:val="18"/>
              </w:rPr>
              <w:t>None</w:t>
            </w:r>
          </w:p>
        </w:tc>
        <w:tc>
          <w:tcPr>
            <w:tcW w:w="2126" w:type="dxa"/>
          </w:tcPr>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Any additional information  / Supporting information (optional)</w:t>
            </w:r>
          </w:p>
          <w:p w:rsidR="00D143DF" w:rsidRPr="00D143DF" w:rsidRDefault="00D143DF" w:rsidP="00D143DF">
            <w:pPr>
              <w:rPr>
                <w:rFonts w:ascii="Arial" w:hAnsi="Arial" w:cs="Arial"/>
                <w:b/>
                <w:sz w:val="18"/>
                <w:szCs w:val="18"/>
              </w:rPr>
            </w:pPr>
          </w:p>
        </w:tc>
        <w:tc>
          <w:tcPr>
            <w:tcW w:w="6553" w:type="dxa"/>
            <w:gridSpan w:val="3"/>
          </w:tcPr>
          <w:p w:rsidR="00D143DF" w:rsidRPr="00D143DF" w:rsidRDefault="00D143DF" w:rsidP="00D143DF"/>
          <w:p w:rsidR="00D143DF" w:rsidRPr="00D143DF" w:rsidRDefault="00D143DF" w:rsidP="00D143DF">
            <w:r w:rsidRPr="00D143DF">
              <w:t>Ofgem determination on impact on consumer billing:</w:t>
            </w:r>
          </w:p>
          <w:p w:rsidR="00D143DF" w:rsidRPr="00D143DF" w:rsidRDefault="00D105EE" w:rsidP="00D143DF">
            <w:hyperlink r:id="rId7" w:history="1">
              <w:r w:rsidR="00D143DF" w:rsidRPr="00D143DF">
                <w:rPr>
                  <w:color w:val="0000FF"/>
                  <w:u w:val="single"/>
                </w:rPr>
                <w:t>https://www.ofgem.gov.uk/publications-and-updates/open-letter-gas-energy-measurement-consumer-billing</w:t>
              </w:r>
            </w:hyperlink>
          </w:p>
          <w:p w:rsidR="00D143DF" w:rsidRPr="00D143DF" w:rsidRDefault="00D143DF" w:rsidP="00D143DF"/>
        </w:tc>
      </w:tr>
    </w:tbl>
    <w:p w:rsidR="00D143DF" w:rsidRPr="00D143DF" w:rsidRDefault="00D143DF" w:rsidP="00D143DF">
      <w:pPr>
        <w:spacing w:after="0" w:line="240" w:lineRule="auto"/>
        <w:rPr>
          <w:rFonts w:ascii="Arial" w:eastAsia="Times New Roman" w:hAnsi="Arial" w:cs="Arial"/>
          <w:sz w:val="20"/>
          <w:szCs w:val="20"/>
          <w:lang w:eastAsia="en-GB"/>
        </w:rPr>
      </w:pPr>
      <w:r w:rsidRPr="00D143DF">
        <w:rPr>
          <w:rFonts w:ascii="Arial" w:eastAsia="Times New Roman" w:hAnsi="Arial" w:cs="Arial"/>
          <w:b/>
          <w:sz w:val="20"/>
          <w:szCs w:val="20"/>
          <w:lang w:eastAsia="en-GB"/>
        </w:rPr>
        <w:t>Appendix 1 – Performance Assurance: Risk Template</w:t>
      </w:r>
      <w:r w:rsidRPr="00D143DF">
        <w:rPr>
          <w:rFonts w:ascii="Arial" w:eastAsia="Times New Roman" w:hAnsi="Arial" w:cs="Arial"/>
          <w:sz w:val="20"/>
          <w:szCs w:val="20"/>
          <w:lang w:eastAsia="en-GB"/>
        </w:rPr>
        <w:t xml:space="preserve"> Please complete the template with as much information as possible that to aid the registration and initial investigation of the proposed risk.  All fields are mandatory unless otherwise specified.  Please refer to the guidance notes.</w:t>
      </w:r>
    </w:p>
    <w:sectPr w:rsidR="00D143DF" w:rsidRPr="00D143DF" w:rsidSect="00D143D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EE" w:rsidRDefault="00D105EE" w:rsidP="003834B7">
      <w:pPr>
        <w:spacing w:after="0" w:line="240" w:lineRule="auto"/>
      </w:pPr>
      <w:r>
        <w:separator/>
      </w:r>
    </w:p>
  </w:endnote>
  <w:endnote w:type="continuationSeparator" w:id="0">
    <w:p w:rsidR="00D105EE" w:rsidRDefault="00D105EE" w:rsidP="0038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EE" w:rsidRDefault="00D105EE" w:rsidP="003834B7">
      <w:pPr>
        <w:spacing w:after="0" w:line="240" w:lineRule="auto"/>
      </w:pPr>
      <w:r>
        <w:separator/>
      </w:r>
    </w:p>
  </w:footnote>
  <w:footnote w:type="continuationSeparator" w:id="0">
    <w:p w:rsidR="00D105EE" w:rsidRDefault="00D105EE" w:rsidP="00383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DF"/>
    <w:rsid w:val="000A3FE7"/>
    <w:rsid w:val="00285F90"/>
    <w:rsid w:val="003834B7"/>
    <w:rsid w:val="00732FDD"/>
    <w:rsid w:val="00940D7E"/>
    <w:rsid w:val="00A40217"/>
    <w:rsid w:val="00D105EE"/>
    <w:rsid w:val="00D1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4B7"/>
  </w:style>
  <w:style w:type="paragraph" w:styleId="Footer">
    <w:name w:val="footer"/>
    <w:basedOn w:val="Normal"/>
    <w:link w:val="FooterChar"/>
    <w:uiPriority w:val="99"/>
    <w:unhideWhenUsed/>
    <w:rsid w:val="00383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4B7"/>
  </w:style>
  <w:style w:type="character" w:styleId="Hyperlink">
    <w:name w:val="Hyperlink"/>
    <w:basedOn w:val="DefaultParagraphFont"/>
    <w:uiPriority w:val="99"/>
    <w:unhideWhenUsed/>
    <w:rsid w:val="00285F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4B7"/>
  </w:style>
  <w:style w:type="paragraph" w:styleId="Footer">
    <w:name w:val="footer"/>
    <w:basedOn w:val="Normal"/>
    <w:link w:val="FooterChar"/>
    <w:uiPriority w:val="99"/>
    <w:unhideWhenUsed/>
    <w:rsid w:val="00383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4B7"/>
  </w:style>
  <w:style w:type="character" w:styleId="Hyperlink">
    <w:name w:val="Hyperlink"/>
    <w:basedOn w:val="DefaultParagraphFont"/>
    <w:uiPriority w:val="99"/>
    <w:unhideWhenUsed/>
    <w:rsid w:val="00285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4068">
      <w:bodyDiv w:val="1"/>
      <w:marLeft w:val="0"/>
      <w:marRight w:val="0"/>
      <w:marTop w:val="0"/>
      <w:marBottom w:val="0"/>
      <w:divBdr>
        <w:top w:val="none" w:sz="0" w:space="0" w:color="auto"/>
        <w:left w:val="none" w:sz="0" w:space="0" w:color="auto"/>
        <w:bottom w:val="none" w:sz="0" w:space="0" w:color="auto"/>
        <w:right w:val="none" w:sz="0" w:space="0" w:color="auto"/>
      </w:divBdr>
    </w:div>
    <w:div w:id="19101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fgem.gov.uk/publications-and-updates/open-letter-gas-energy-measurement-consumer-billin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2018-01-24T14:11:00Z</dcterms:created>
  <dcterms:modified xsi:type="dcterms:W3CDTF">2018-01-24T14:51:00Z</dcterms:modified>
</cp:coreProperties>
</file>